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568960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586105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2670810</wp:posOffset>
            </wp:positionH>
            <wp:positionV relativeFrom="paragraph">
              <wp:posOffset>149860</wp:posOffset>
            </wp:positionV>
            <wp:extent cx="180022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ectPr>
          <w:pgSz w:w="11900" w:h="16838" w:orient="portrait"/>
          <w:cols w:equalWidth="0" w:num="1">
            <w:col w:w="10139"/>
          </w:cols>
          <w:pgMar w:left="320" w:top="1118" w:right="1440" w:bottom="1440" w:gutter="0" w:footer="0" w:header="0"/>
        </w:sectPr>
      </w:pP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ind w:left="3000" w:firstLine="348"/>
        <w:spacing w:after="0" w:line="2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>Proxy Statement Pursuant to Section 14(a) of the Securities Exchange Act of 1934 (Amendment No.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2670810</wp:posOffset>
            </wp:positionH>
            <wp:positionV relativeFrom="paragraph">
              <wp:posOffset>125730</wp:posOffset>
            </wp:positionV>
            <wp:extent cx="180022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)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840" w:space="340"/>
            <w:col w:w="1959"/>
          </w:cols>
          <w:pgMar w:left="320" w:top="1118" w:right="1440" w:bottom="1440" w:gutter="0" w:footer="0" w:header="0"/>
          <w:type w:val="continuous"/>
        </w:sectPr>
      </w:pP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auto"/>
        </w:rPr>
        <w:t>CANDEL THERAPEUTICS, INC.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655955</wp:posOffset>
            </wp:positionV>
            <wp:extent cx="7157720" cy="42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163195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180340</wp:posOffset>
            </wp:positionV>
            <wp:extent cx="71323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118" w:right="1440" w:bottom="1440" w:gutter="0" w:footer="0" w:header="0"/>
          <w:type w:val="continuous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500380</wp:posOffset>
            </wp:positionV>
            <wp:extent cx="7157720" cy="850773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07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500380</wp:posOffset>
            </wp:positionV>
            <wp:extent cx="7157720" cy="849947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499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2026-04-29T16:22:32Z</dcterms:created>
  <dcterms:modified xsi:type="dcterms:W3CDTF">2026-04-29T16:22:32Z</dcterms:modified>
</cp:coreProperties>
</file>