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149860</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ectPr>
          <w:pgSz w:w="11900" w:h="16838" w:orient="portrait"/>
          <w:cols w:equalWidth="0" w:num="1">
            <w:col w:w="10139"/>
          </w:cols>
          <w:pgMar w:left="320" w:top="225" w:right="1440" w:bottom="1440" w:gutter="0" w:footer="0" w:header="0"/>
        </w:sectPr>
      </w:pPr>
    </w:p>
    <w:p>
      <w:pPr>
        <w:spacing w:after="0" w:line="188" w:lineRule="exact"/>
        <w:rPr>
          <w:sz w:val="24"/>
          <w:szCs w:val="24"/>
          <w:color w:val="auto"/>
        </w:rPr>
      </w:pPr>
    </w:p>
    <w:p>
      <w:pPr>
        <w:ind w:left="3000" w:firstLine="348"/>
        <w:spacing w:after="0" w:line="286" w:lineRule="auto"/>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125730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79" w:lineRule="exact"/>
        <w:rPr>
          <w:sz w:val="24"/>
          <w:szCs w:val="24"/>
          <w:color w:val="auto"/>
        </w:rPr>
      </w:pPr>
    </w:p>
    <w:p>
      <w:pPr>
        <w:sectPr>
          <w:pgSz w:w="11900" w:h="16838" w:orient="portrait"/>
          <w:cols w:equalWidth="0" w:num="2">
            <w:col w:w="7840" w:space="340"/>
            <w:col w:w="1959"/>
          </w:cols>
          <w:pgMar w:left="320" w:top="225" w:right="1440" w:bottom="1440" w:gutter="0" w:footer="0" w:header="0"/>
          <w:type w:val="continuous"/>
        </w:sectPr>
      </w:pPr>
    </w:p>
    <w:p>
      <w:pPr>
        <w:spacing w:after="0" w:line="3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Proxy Statement</w:t>
      </w:r>
    </w:p>
    <w:p>
      <w:pPr>
        <w:spacing w:after="0" w:line="22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CANDEL THERAPEUTICS, INC.</w:t>
      </w:r>
    </w:p>
    <w:p>
      <w:pPr>
        <w:spacing w:after="0" w:line="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7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CANDEL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117 Kendrick St, Suite 450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Needham, MA 02494</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June 23, 2026</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or Annual Meeting, of Candel Therapeutics, Inc., will be held online on June 23, 2026 at 10:00 a.m. Eastern Time. You may attend the meeting virtually via the Internet at www.virtualshareholdermeeting.com/CADL2026 where you will be able to vote electronically and submit questions. You will need the 16-digit control number included with your proxy card in order to attend the Annual Meeting. The purpose of the Annual Meeting is the following:</w:t>
      </w:r>
    </w:p>
    <w:p>
      <w:pPr>
        <w:spacing w:after="0" w:line="72" w:lineRule="exact"/>
        <w:rPr>
          <w:sz w:val="20"/>
          <w:szCs w:val="20"/>
          <w:color w:val="auto"/>
        </w:rPr>
      </w:pPr>
    </w:p>
    <w:p>
      <w:pPr>
        <w:ind w:left="1020" w:right="1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Class II directors to our board of directors, to serve until the 2029 annual meeting of stockholders and until their successor has been duly elected and qualified, or until their earlier death, resignation or removal;</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four Class II directors nominated by the board of directors.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Only Candel Therapeutics, Inc. stockholders of record at the close of business on April 24, 2026, will be entitled to vote at the Annual Meeting and any adjournment or postponement thereof.</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Candel Therapeutics, Inc.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for the fiscal year ended December 31, 2025, or 2025 Annual Report. We plan to mail the Notice on or about April 29, 2026, and it contains instructions on how to access both the 2025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on the Notice.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w:t>
      </w:r>
    </w:p>
    <w:p>
      <w:pPr>
        <w:spacing w:after="0" w:line="1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Peter Tak, M.D., Ph.D., FMedSci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PROXY STATEMENT FOR THE 2026 ANNUAL MEETING OF STOCKHOLDERS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80" w:type="dxa"/>
            <w:vAlign w:val="bottom"/>
            <w:gridSpan w:val="16"/>
            <w:vMerge w:val="continue"/>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GENERAL INFORMATION</w:t>
            </w:r>
          </w:p>
        </w:tc>
        <w:tc>
          <w:tcPr>
            <w:tcW w:w="20" w:type="dxa"/>
            <w:vAlign w:val="bottom"/>
            <w:tcBorders>
              <w:top w:val="single" w:sz="8" w:color="0000FF"/>
              <w:bottom w:val="single" w:sz="8" w:color="0000EE"/>
            </w:tcBorders>
          </w:tcPr>
          <w:p>
            <w:pPr>
              <w:spacing w:after="0"/>
              <w:rPr>
                <w:sz w:val="17"/>
                <w:szCs w:val="17"/>
                <w:color w:val="auto"/>
              </w:rPr>
            </w:pPr>
          </w:p>
        </w:tc>
        <w:tc>
          <w:tcPr>
            <w:tcW w:w="4140" w:type="dxa"/>
            <w:vAlign w:val="bottom"/>
            <w:tcBorders>
              <w:top w:val="single" w:sz="8" w:color="0000FF"/>
            </w:tcBorders>
            <w:gridSpan w:val="7"/>
          </w:tcPr>
          <w:p>
            <w:pPr>
              <w:spacing w:after="0"/>
              <w:rPr>
                <w:sz w:val="17"/>
                <w:szCs w:val="17"/>
                <w:color w:val="auto"/>
              </w:rPr>
            </w:pPr>
          </w:p>
        </w:tc>
        <w:tc>
          <w:tcPr>
            <w:tcW w:w="4460" w:type="dxa"/>
            <w:vAlign w:val="bottom"/>
            <w:gridSpan w:val="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PROPOSAL NO. 1 – ELECTION OF CLASS II DIRECTORS</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PROPOSAL NO. 2 – RATIFICATION OF THE APPOINTMENT OF KPMG LLP AS CANDEL THERAPEUTICS, INC.’S INDEPENDENT</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FOR THE FISCAL YEAR ENDING DECEMBER 31, 2026</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5200" w:type="dxa"/>
            <w:vAlign w:val="bottom"/>
            <w:gridSpan w:val="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7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w:t>
            </w: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498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5800" w:type="dxa"/>
            <w:vAlign w:val="bottom"/>
            <w:gridSpan w:val="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08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HOUSEHOLDING</w:t>
            </w:r>
          </w:p>
        </w:tc>
        <w:tc>
          <w:tcPr>
            <w:tcW w:w="7700" w:type="dxa"/>
            <w:vAlign w:val="bottom"/>
            <w:gridSpan w:val="7"/>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380" w:type="dxa"/>
            <w:vAlign w:val="bottom"/>
            <w:gridSpan w:val="8"/>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STOCKHOLDER PROPOSALS</w:t>
            </w:r>
          </w:p>
        </w:tc>
        <w:tc>
          <w:tcPr>
            <w:tcW w:w="8380" w:type="dxa"/>
            <w:vAlign w:val="bottom"/>
            <w:gridSpan w:val="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OTHER MATTERS</w:t>
            </w:r>
          </w:p>
        </w:tc>
        <w:tc>
          <w:tcPr>
            <w:tcW w:w="20" w:type="dxa"/>
            <w:vAlign w:val="bottom"/>
            <w:tcBorders>
              <w:bottom w:val="single" w:sz="8" w:color="0000EE"/>
            </w:tcBorders>
          </w:tcPr>
          <w:p>
            <w:pPr>
              <w:spacing w:after="0"/>
              <w:rPr>
                <w:sz w:val="17"/>
                <w:szCs w:val="17"/>
                <w:color w:val="auto"/>
              </w:rPr>
            </w:pPr>
          </w:p>
        </w:tc>
        <w:tc>
          <w:tcPr>
            <w:tcW w:w="9260" w:type="dxa"/>
            <w:vAlign w:val="bottom"/>
            <w:gridSpan w:val="1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CANDEL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117 Kendrick St, Suite 450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Needham, MA 02494</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JUNE 23, 2026</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or the Annual Meeting, of Candel Therapeutics, Inc., which will be held online on June 23, 2026 at 10:00 a.m. Eastern Time. You may attend the Annual Meeting virtually via the Internet at www.virtualshareholdermeeting.com/CADL2026, where you will be able to vote electronically and submit questions. You will need the 16-digit control number included with the proxy card in order to attend the Annual Meeting. The board of directors of Candel Therapeutics, Inc. is using this proxy statement to solicit proxies for use at the Annual Meeting. In this proxy statement, the terms “Candel,” “Candel Therapeutics,” the “Company,” “we,” “us,” and “our” refer to Candel Therapeutics, Inc. The mailing address of our principal executive offices is Candel Therapeutics, Inc., 117 Kendrick St, Suite 450, Needham, MA 02494.</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Annual Meeting by giving our Corporate Secretary written notice to that effect.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proxy statement and our 2025 Annual Report to Stockholders for the fiscal year ended December 31, 2025, or the 2025 Annual Report, are first being made available to stockholders on or about April 29,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requirements. As an emerging growth company, we provide in this proxy statement the scaled disclosure permitted under the Jumpstart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Startups Act of 2012, the JOBS Act, including the compensation disclosures required of a “smaller reporting company,” as that term is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12b-2 promulgated under the Securities Exchange Act of 1934, as amended, or the Exchange Act. In addition, as an emerging growth company,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required to conduct votes seeking approval, on an advisory basis, of the compensation of our named executive officers or the frequency with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votes must be conducted. We will remain an “emerging growth company” until the earliest of (i) the last day of the fiscal year following the fifth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our initial public offering in July 2021; (ii) the last day of the fiscal year in which our total annual gross revenue is equal to or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have issued more than $1 billion in nonconvertible debt during the previous three years; or (iv) the date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deemed to be a large accelerated filer under the rules of the Securities and Exchange Commission, or the SEC. Even after we are no longer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we may remain a “smaller reporting company.”</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23, 2026:</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are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and our 2025 Annual Report, as filed with the SEC, except for exhibits, will be furnished without charge to any stockholder upon written request to Candel Therapeutics, Inc., 117 Kendrick St, Suite 450 Needham, MA 02494, Attention: Corporate Secretary. This proxy statement and our 2025 Annual Report are also available on the SEC’s website at </w:t>
      </w:r>
      <w:r>
        <w:rPr>
          <w:rFonts w:ascii="Times New Roman" w:cs="Times New Roman" w:eastAsia="Times New Roman" w:hAnsi="Times New Roman"/>
          <w:sz w:val="18"/>
          <w:szCs w:val="18"/>
          <w:b w:val="1"/>
          <w:bCs w:val="1"/>
          <w:i w:val="1"/>
          <w:iCs w:val="1"/>
          <w:color w:val="auto"/>
        </w:rPr>
        <w:t>www.sec.gov and on the Investors page of our website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at ir.candeltx.com</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CANDEL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year’s Annual Meeting will be a “virtual meeting” of stockholders. 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Annual Meeting online?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 attend and participate in the Annual Meeting, stockholders will need to access the live audio webcast of the meeting. To do so, stockholders of record will need to visit www.virtualshareholdermeeting.com/CADL2026 and use their control number provided in the proxy card to preregister to this website, and beneficial owners of shares held in street name will need to follow the same instructions. Registration will open 15 minutes prior to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live audio webcast of the Annual Meeting will begin promptly at 10:00 a.m. Eastern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will be a support number available on the login page of the virtual meeting 15 minutes before the meeting begins for any shareholders having technical difficulties. The technical support line will not be able to provide control numbers, but will be able to assist with any technical issues.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or about April 29, 2026, our proxy materials, including the Notice, this proxy statement and the accompanying proxy card or, for shares held in street name (i.e., held for your account by a broker, bank or other nominee), a voting instruction form, and the 2025 Annual Report to Stockholders will be mailed and made available to stockholders on the Internet on or about the same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or the board of directors, is soliciting your vote for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24,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were 73,270,239 shares of our common stock, par value $0.01 per share, outstanding on April 24,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April 24,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ind w:left="1020" w:right="8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 www.ProxyVote.com, 24 hours a day, seven days a week. Use the Internet to transmit your voting instructions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 electronic delivery of information up until 11:59 p.m. Eastern Time the day before the meeting date. You will need the control number included on your proxy card.</w:t>
      </w:r>
    </w:p>
    <w:p>
      <w:pPr>
        <w:spacing w:after="0" w:line="62"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You may vote during the Annual Meeting by going to www.virtualshareholdermeeting.com/CADL2026.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need the control number included on your proxy card.</w:t>
      </w:r>
    </w:p>
    <w:p>
      <w:pPr>
        <w:spacing w:after="0" w:line="46"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Use any touch-tone telephone to transmit your voting instructions up until 11:59 p.m. Eastern Time the day before the meeting date. You will need the control number included on your proxy card.</w:t>
      </w:r>
    </w:p>
    <w:p>
      <w:pPr>
        <w:spacing w:after="0" w:line="62" w:lineRule="exact"/>
        <w:rPr>
          <w:rFonts w:ascii="Times New Roman" w:cs="Times New Roman" w:eastAsia="Times New Roman" w:hAnsi="Times New Roman"/>
          <w:sz w:val="18"/>
          <w:szCs w:val="18"/>
          <w:color w:val="auto"/>
        </w:rPr>
      </w:pPr>
    </w:p>
    <w:p>
      <w:pPr>
        <w:ind w:left="1020" w:right="28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 Mark, sign and date your proxy card and return it in the postage-paid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envelope we have provided or return it to Vote Processing, c/o Broadridge, 51 Mercedes Way, Edgewood, NY 11717.</w:t>
      </w:r>
    </w:p>
    <w:p>
      <w:pPr>
        <w:spacing w:after="0" w:line="1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Annual Meeting, we recommend that you also vote by proxy so that your vote will be counted if you later decide not to participate in the Annual Meeting.</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before the start of the Annual Meeting.</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Annual Meeting or over the Internet or via telephone,</w:t>
      </w:r>
    </w:p>
    <w:p>
      <w:pPr>
        <w:spacing w:after="0" w:line="27" w:lineRule="exact"/>
        <w:rPr>
          <w:sz w:val="20"/>
          <w:szCs w:val="20"/>
          <w:color w:val="auto"/>
        </w:rPr>
      </w:pPr>
    </w:p>
    <w:p>
      <w:pPr>
        <w:ind w:firstLine="8"/>
        <w:spacing w:after="0" w:line="253"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Candel Therapeutics, Inc., 117 Kendrick St, Suite 450, Needham, MA 02494, Attention: Corporate Secretary.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as amended, or bylaws, provide that one third of the shares entitled to vote, present or represented by proxy, will constitute a quorum for the transaction of business at the Annual Meeting. A quorum will be present if 24,423,413 shares of our common stock are present in person or represented by executed proxies timely received by us at the Annual Meeting. Shares present virtually during the Annual Meeting will be considered shares of common stock represented in person at the meeting.</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by our Amended and Restated Certificate of Incorporation, or certificate of incorporation, or by our bylaws. Abstentions and broker “non-votes” are not counted as votes cast, and thus,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with respect to this proposal, your broker may not vote for this proposal, and those shares will be counted as broker “non-votes.” Proposal No. 2 is considered to be a discretionary item, and your brokerage firm will be able to vote your shares on this proposal even if it does not receive instructions from you.</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properly cast on the election of directors, meaning that the director nominees receiving the most “FOR” votes will be elected. Shares voting “withheld” and broker non-votes will have no effect on the election of directors.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ratify the appointment of KPMG LLP as the Company’s independent registered public accounting firm for the fiscal year ending December 31, 2026, Proposal No. 2 must receive “FOR” votes from a majority of the votes properly cast on such proposal. Abstentions and broker non-votes, if any, will have no impact on the outcome of this vote.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2027 must also satisfy the requirements of SEC Rule 14a-8 under the Securities Exchange Act of 1934, as amended, or the Exchange Act, and be received not later than December 30,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must also provide notice that sets forth the additional information required by Rule 14a-19 under the Exchange Act no later than March 25, 2027. Stockholder proposals and the required notice should be addressed to Candel Therapeutics, Inc., 117 Kendrick St, Suite 450, Needham, MA 02494, Attention: Corporate Secretary.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 – ELECTION OF CLASS II DIRECTORS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ten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68" w:lineRule="exact"/>
        <w:rPr>
          <w:sz w:val="20"/>
          <w:szCs w:val="20"/>
          <w:color w:val="auto"/>
        </w:rPr>
      </w:pPr>
    </w:p>
    <w:p>
      <w:pPr>
        <w:ind w:left="1020" w:right="4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Renee Gaeta, Gary J. Nabel, M.D., Ph.D., and Joseph C. Papa, R.Ph., M.B.A., and their terms will expire at the annual meeting of stockholders to be held in 2028;</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Edward J. Benz, Jr., M.D., Paul B. Manning, Maha Radhakrishnan, M.D., and Paul Peter Tak, M.D., Ph.D., FMedSci, and their terms will expire at the Annual Meeting;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Nicoletta Loggia, Ph.D., R.Ph., Christopher Martell, and Diem Nguyen, Ph.D., M.B.A., and their terms will expire at the annual meeting of stockholders to be held in 2027.</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 thirds (2/3) or more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Dr. Benz, Mr. Manning, Dr. Radhakrishnan, and Dr. Tak for election as Class II directors at the Annual Meeting. The nominees are presently directors, and have indicated a willingness to continue to serve as directors, if elected. If the nominees become unable or unwilling to serve, however, the proxies may be voted for substitute nominees selected by our board of directors.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Policies and Procedures for Director Candidates, or the Director Guidelines, provide that in evaluating director candidates, the nominating and corporate governance committee will consider factors such as a candidate’s character, integrity, judgment, diversity, independence, skills, education, expertise, business acumen, business experience, length of service, understanding of our business and industry and absence of conflicts of interest.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age as of April 29,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and Offices Held with</w:t>
            </w:r>
          </w:p>
        </w:tc>
        <w:tc>
          <w:tcPr>
            <w:tcW w:w="12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Candel Therapeutics, Inc.</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Edward J. Benz, Jr., M.D.</w:t>
            </w:r>
          </w:p>
        </w:tc>
        <w:tc>
          <w:tcPr>
            <w:tcW w:w="4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2018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Maha Radhakrishnan, M.D.</w:t>
            </w:r>
          </w:p>
        </w:tc>
        <w:tc>
          <w:tcPr>
            <w:tcW w:w="4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Paul Peter Tak, M.D., Ph.D., FMedSci</w:t>
            </w: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J. Benz, Jr., M.D., </w:t>
      </w:r>
      <w:r>
        <w:rPr>
          <w:rFonts w:ascii="Times New Roman" w:cs="Times New Roman" w:eastAsia="Times New Roman" w:hAnsi="Times New Roman"/>
          <w:sz w:val="18"/>
          <w:szCs w:val="18"/>
          <w:color w:val="auto"/>
        </w:rPr>
        <w:t>has served as a member of Candel’s board of directors since September 2017. Dr. Benz is the President and CEO Emeritus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Dana-Farber Cancer Institute and a member of the Dana-Farber Cancer Institute Board of Directors. He is the Richard and Susan Smith Distinguished Professor of Medicine, Professor of Pediatrics and Professor of Genetics at Harvard Medical School, and Executive Director of the Cure Sickle Cell Initiative at National Institutes of Health, or NIH. Dr. Benz is an expert in blood disorders and is board certified in both hematology and internal medicine. He is an active clinical hematologist and a NIH funded researcher with a focus on the molecular basis and genetics around inherited blood disorders. From October 2000 until his retirement in October 2016, Dr. Benz served as President and CEO of Dana-Faber Cancer Institute. Prior to his role at Dana-Farber Cancer Institute, Dr. Benz served as chairman for the Department of Medicine and Sir William Osler Professor of Medicine at Johns Hopkins University School of Medicine, as well as physician in chief at Johns Hopkins Hospital. Dr. Benz has also served as President of the American Society of Hematology, the Association of American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Cancer Institutes, the American Society for Clinical Investigation, the American Clinical and Climatological Society, and the Friends of the National Institute of Nursing Research. Over the course of his career, Dr. Benz has authored more than 300 articles, books, reviews and abstracts and has received numerous awards. Dr. Benz serves on the board of directors of CoRegen, Inc. and he serves on our Research Advisory Board. Dr. Benz previously served on the board of directors of Deciphera Pharmaceuticals, Inc. (Nasdaq: DCPH) from September 2016 to June 2024, F Star Therapeutics, Inc. (formerly Nasdaq: FSTX) from January 2020 to January 2023, and Renovacor (formerly NYSE: RCOR) from July 2019 to September 2022. He serves on the Scientific Advisory Boards of Autoimmunity Biological Solutions, MYKA Labs, Inc. and Kernal Biologics, Inc., all privately held. We believe Dr. Benz’s experience in the field of hematology and blood disorders provides him with the appropriate set of skills to serve as a member of our board of directors.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B. Manning </w:t>
      </w:r>
      <w:r>
        <w:rPr>
          <w:rFonts w:ascii="Times New Roman" w:cs="Times New Roman" w:eastAsia="Times New Roman" w:hAnsi="Times New Roman"/>
          <w:sz w:val="18"/>
          <w:szCs w:val="18"/>
          <w:color w:val="auto"/>
        </w:rPr>
        <w:t>has served as a member of Candel’s board of directors since November 2018. Mr. Manning currently serves as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PBM Capital Group, LLC, or PBM Capital, a private equity investment firm in the business of investing in healthcare and life-science related companies, which he founded in 2010. Mr. Manning is a member of the board of directors of Liquidia Corporation (Nasdaq: LQDA) and Taysha Gene Therapies, Inc. (Nasdaq: TSHA), and he currently serves as Chairman of the board of directors of Verrica Pharmaceuticals Inc. (Nasdaq: VRCA). Mr. Manning received a B.S. in microbiology from the University of Massachusetts. We believe Mr. Manning’s 30 years of managerial and operational experience in the healthcare industry and as an investor in healthcare related companies provides him with the appropriate set of skills to serve as a member of our board of directors.</w:t>
      </w:r>
    </w:p>
    <w:p>
      <w:pPr>
        <w:spacing w:after="0" w:line="18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Maha Radhakrishnan, M.D. </w:t>
      </w:r>
      <w:r>
        <w:rPr>
          <w:rFonts w:ascii="Times New Roman" w:cs="Times New Roman" w:eastAsia="Times New Roman" w:hAnsi="Times New Roman"/>
          <w:sz w:val="17"/>
          <w:szCs w:val="17"/>
          <w:color w:val="auto"/>
        </w:rPr>
        <w:t>has served as a member of Candel’s board of directors since June 2025. Since August 2024, Dr. Radhakrishnan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Partner at Sofinnova Investments, a biopharmaceutical investment firm. Dr. Radhakrishnan has served as a director of Entrada Therapeutics, Inc. (Nasdaq: TRDA) since June 2025. From March 2024 to May 2025, Dr. Radhakrishnan served as a director of Alto Neuroscience, Inc. (NYSE: ANRO).</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From January 2020 to March 2024, Dr. Radhakrishnan served as Group Senior Vice President and Chief Medical Officer of Biogen, Inc. (Nasdaq: BIIB), a global biotechnology company. Previously, Dr. Radhakrishnan served as Senior Vice President and Global Head of Medical, Primary Care Business Unit at Sanofi S.A. (Nasdaq: SNY), a global biopharmaceutical company focused on human health, from October 2018 to January 2020. Dr. Radhakrishnan served as the Senior Vice President, Head of Worldwide Medical at Bioverativ Inc. from November 2016 to September 2018. She served as a member of the board of directors of Minovia Therapeutics from January 2023 to April 2025. Dr. Radhakrishnan received an M.D. and a Masters in the Russian language from the People’s Friendship University (Russia). We believe Dr. Radhakrishnan’s technical expertise and leadership experience at various biopharmaceutical companies provides her with the appropriate set of skills to serve as a member of our board of directors.</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Peter Tak, M.D., Ph.D., FMedSci, </w:t>
      </w:r>
      <w:r>
        <w:rPr>
          <w:rFonts w:ascii="Times New Roman" w:cs="Times New Roman" w:eastAsia="Times New Roman" w:hAnsi="Times New Roman"/>
          <w:sz w:val="18"/>
          <w:szCs w:val="18"/>
          <w:color w:val="auto"/>
        </w:rPr>
        <w:t>has served as President and Chief Executive Officer and as a member of the board of directors of Candel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2020. He received his medical degree cum laude from the Free University in Amsterdam and was trained as an internist, rheumatologist and immunologist at Leiden University Medical Center, where he also received his Ph.D. He has been Clinical Associate Professor of Medicine at the University of California San Diego. Next, he served as Professor of Medicine and founding Chair of the Department of Clinical Immunology and Rheumatology at the Academic Medical Centre/University Medical Center Amsterdam. During this time, he founded Arthrogen b.v., a biotech company focused on gene therapy. He has published over 600 papers in peer-reviewed journals and received numerous awards. He has been elected Honorary Senior Visiting Fellow at the University of Cambridge and Fellow of the Academy of Medical Sciences (U.K.). At GSK plc, formerly known as GlaxoSmithKline, or GSK (NYSE: GSK), he served as Senior Vice President, Chief Immunology Officer, and Global Development Leader from 2011 to 2018. In his role as Global Head of a cluster of Therapy Area Units at GSK (Dermatology, ImmunoInflammation, Infectious Disease, and Oncology), he oversaw the creation of a portfolio of new medicines, including belimumab sc (approved in 2017 [Benlysta® sc]), mafodotin (approved in 2020 [Blenrep®]), cabotegravir/rilpivirine (approved in 2021 [Cabenuva®]), and tapinarof (acquired by Dermavant Sciences; approved in 2022 [VTAMAR®]), and gepotidacin (approved in 2025 [Blujepa®]). He was the Chair of the Scientific Review Board, the governing body accountable for the scientific assessment of GSK’s R&amp;D portfolio. He was also the President and CEO of Tempero Pharmaceuticals, which was integrated into GSK in 2015. From 2018 to 2020, Dr. Tak served as venture partner at Flagship Pioneering and also as President and CEO of Kintai Therapeutics (merged with Senda Biosciences). In addition, he has served as board director of Galvani Bioelectronics, ViiV Healthcare Ltd., and Omega Therapeutics. Currently, he is also on the board of Sitryx Therapeutics (co-founder), Levicept, and Citryll (Chair). He is also on the Board of Trustees of the Lorna &amp; Yuti Chernajovsky Biomedical Research Foundation and the Kennedy Trust for Rheumatology Research, and Visiting Professor at the University of Lisbon. He is a 2021 PharmaVOICE100 honoree (100 most inspiring people in life sciences) and was included in the 2023 and 2024 Medicine Maker Power List. We believe Dr. Tak’s scientific expertise, extensive managerial and operational experience in the biotechnology industry, and familiarity with Candel as our Chief Executive Officer provide him with the appropriate set of skills to serve as a member of our board of directors.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properly cast on the election of directors, meaning that the director nominees receiving the most “FOR” votes will be elected. Shares voting “withheld” and broker non-votes will have no effect on the election of directors.</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Edward J. Benz, Jr., M.D., Paul B. Manning, Maha Radhakrishnan, M.D., and Paul Peter Tak, M.D., Ph.D., FMedSci, as Class II directors, to serve for a three-year term ending at the annual meeting of stockholders to be held in 2029.</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directors continuing in office, and sets forth their principal occupation and business experience during the last five years and their ages as of April 29,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and Offices</w:t>
            </w:r>
          </w:p>
        </w:tc>
        <w:tc>
          <w:tcPr>
            <w:tcW w:w="12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with</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Which Term</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Candel Therapeutics, Inc.</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4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24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Renee Gaeta</w:t>
            </w:r>
          </w:p>
        </w:tc>
        <w:tc>
          <w:tcPr>
            <w:tcW w:w="2620" w:type="dxa"/>
            <w:vAlign w:val="bottom"/>
            <w:gridSpan w:val="2"/>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2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Class I—2028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Gary J. Nabel, M.D., Ph.D.</w:t>
            </w:r>
          </w:p>
        </w:tc>
        <w:tc>
          <w:tcPr>
            <w:tcW w:w="2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2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Class I—2028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Joseph C. Papa, R.Ph., M.B.A.</w:t>
            </w:r>
          </w:p>
        </w:tc>
        <w:tc>
          <w:tcPr>
            <w:tcW w:w="2620" w:type="dxa"/>
            <w:vAlign w:val="bottom"/>
            <w:gridSpan w:val="2"/>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2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Class I—2028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Nicoletta Loggia, Ph.D., R.Ph.</w:t>
            </w:r>
          </w:p>
        </w:tc>
        <w:tc>
          <w:tcPr>
            <w:tcW w:w="2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2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Class III—2027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Christopher Martell</w:t>
            </w:r>
          </w:p>
        </w:tc>
        <w:tc>
          <w:tcPr>
            <w:tcW w:w="2620" w:type="dxa"/>
            <w:vAlign w:val="bottom"/>
            <w:gridSpan w:val="2"/>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2018</w:t>
            </w:r>
          </w:p>
        </w:tc>
        <w:tc>
          <w:tcPr>
            <w:tcW w:w="2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Class III—2027</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Diem Nguyen, Ph.D.</w:t>
            </w:r>
          </w:p>
        </w:tc>
        <w:tc>
          <w:tcPr>
            <w:tcW w:w="2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2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Class III—2027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2028 Annual Meeting)</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Renee Gaeta </w:t>
      </w:r>
      <w:r>
        <w:rPr>
          <w:rFonts w:ascii="Times New Roman" w:cs="Times New Roman" w:eastAsia="Times New Roman" w:hAnsi="Times New Roman"/>
          <w:sz w:val="18"/>
          <w:szCs w:val="18"/>
          <w:color w:val="auto"/>
        </w:rPr>
        <w:t>has served as a member of Candel’s board of directors since August 2022. Ms. Gaeta has served as the Chief Financial Officer of Outset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Inc. (Nasdaq: OM) since June 2025. Prior to that, Ms. Gaeta served as the Chief Financial Officer of Shockwave Medical (Nasdaq: SWAV), from February 2024 until June 2024, when it was acquired by Johnson &amp; Johnson (NYSE: JNJ). Prior to that, from July 2021 to February 2024, Ms. Gaeta served as Chief Financial Officer of Eko Devices, Inc., a private company focused on cardiopulmonary digital health solutions. Prior to that, from July</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2017 to July 2021, Ms. Gaeta was Chief Financial Officer at Establishment Labs Holdings, Inc., a publicly traded global medical device company focused on aesthetic technologies. From August 2014 to June 2017, Ms. Gaeta was Vice President and Corporate Controller at Sientra, Inc., a publicly traded global medical aesthetics company, where she was a member of the executive team and headed the finance department. From 2004 to 2014, Ms. Gaeta worked at KPMG, LLP, or KPMG. Ms. Gaeta held various positions at KPMG, most recently as an Advisory Director in the Transactions and Restructuring Group. Ms. Gaeta also served as a director of SeaSpine Holdings Corp (Nasdaq: SPNE) from February 2019 until January 2023, when it was acquired by Orthofix Medical Inc. (Nasdaq: OFIX). Ms. Gaeta received her B.S., cum laude, in Accounting from Loyola Marymount University and is a Certified Public Accountant in the State of California. We believe Ms. Gaeta’s extensive experience and expertise in financial operations, particularly in the medical device industry, provide her with the appropriate set of skills to serve as a member of our board of directors.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J. Nabel, M.D., Ph.D., </w:t>
      </w:r>
      <w:r>
        <w:rPr>
          <w:rFonts w:ascii="Times New Roman" w:cs="Times New Roman" w:eastAsia="Times New Roman" w:hAnsi="Times New Roman"/>
          <w:sz w:val="18"/>
          <w:szCs w:val="18"/>
          <w:color w:val="auto"/>
        </w:rPr>
        <w:t>has served as a member of Candel’s board of directors since August 2022. Dr. Nabel, a renowned virologist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immunologist, has served as Chief Innovation Officer of OPKO Health, Inc., or OPKO Health (Nasdaq: OPK), and as a member of its board of directors since May 2022. Dr. Nabel also serves as President and Chief Executive Officer of ModeX Therapeutics, Inc., or ModeX, a wholly-owned subsidiary of OPKO Health, since November 2020 when he co-founded ModeX prior to its merger with OPKO Health. Dr. Nabel previously served as Chief Scientific Officer and Senior Vice President of Sanofi, S.A. from 2012 to November 2020, where he directed the breakthrough laboratory that developed tri-specific products now in early clinical development. He was the founding director of the National Institute of Health’s Vaccine Research Center, working on vaccines and broadly neutralizing antibodies against HIV, influenza, SARS, Ebola, Chikungunya and Epstein-Barr virus. He was previously an investigator at the Howard Hughes Medical Institute at the University of Michigan from 1987 to 1999. In recognition of his expertise at the forefront of virology, immunology, gene therapy and molecular biology, Dr. Nabel was elected to the National Academy of Medicine, is a fellow of the American Association of Physicians and the American Academy of Arts Sciences, and was awarded the Geoffrey Beene Builders of Science Award from Research!America. He has served on the board of Siga Technologies, Inc. (Nasdaq: SIGA) since 2021. Dr. Nabel graduated magna cum laude from Harvard College in 1975 and completed his Ph.D. in 1980 and his M.D. two years later, each from Harvard, followed by a post-doctoral fellowship at the Whitehead Institute. We believe Dr. Nabel’s broad experience in leadership roles and expertise in the pharmaceutical and biotechnology industries provide him with the appropriate set of skills to serve as a member of our board of directors.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C. Papa, R.Ph., M.B.A. </w:t>
      </w:r>
      <w:r>
        <w:rPr>
          <w:rFonts w:ascii="Times New Roman" w:cs="Times New Roman" w:eastAsia="Times New Roman" w:hAnsi="Times New Roman"/>
          <w:sz w:val="18"/>
          <w:szCs w:val="18"/>
          <w:color w:val="auto"/>
        </w:rPr>
        <w:t>has served as a member of Candel’s board of directors since August 2022. Mr. Papa serves as the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Emergent BioSolutions (NYSE: EBS), a position he has held since February 2024. Mr. Papa previously served as the interim Chief Executive Officer of Bausch + Lomb Corporation (NYSE: BLCO) from July 2022 to March 2023, and he previously served as chairman of the board of directors and Chief Executive Officer of Bausch + Lomb Corporation from May 2022 to July 2022. Mr. Papa also served as chairman of the board of directors and Chief Executive Officer of Bausch Health Companies Inc. (NYSE: BHC) from May 2016 to May 2022. Mr. Papa has more than 35 years of experience in the pharmaceutical, healthcare and specialty pharmaceutical industries, including 20 years of branded prescription drug experience. He served as the Chief Executive Officer of Perrigo Company plc, or Perrigo, from 2006 to April 2016, where he also served as chairman of the board of directors from 2007 to April 2016. Prior to joining Perrigo, Mr. Papa served from 2004 to</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2006 as chairman and Chief Executive Officer of the Pharmaceutical and Technologies Services segment of Cardinal Health, Inc. From 2001 to 2004, he served as President and Chief Operating Officer of Watson Pharmaceuticals, Inc., or Watson. Prior to joining Watson, Mr. Papa held management positions at DuPont Pharmaceuticals, Pharmacia/Searle and Novartis AG. Mr. Papa joined the board of directors of Prometheus Biosciences, Inc. (Nasdaq: RXDX), a publicly traded biopharmaceutical company, in August 2020, and previously served as a director of Smith &amp; Nephew plc (NYSE: SNN), a publicly traded medical device company, from 2008 to April 2018. Mr. Papa holds a B.S. in pharmacy from the University of Connecticut and an M.B.A. from Northwestern University’s Kellogg Graduate School of Management. We believe Mr. Papa’s substantial leadership experience in the pharmaceutical industry provides him with the appropriate set of skills to serve as a member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2027 Annual Meeting)</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Nicoletta Loggia, Ph.D., R.Ph.</w:t>
      </w:r>
      <w:r>
        <w:rPr>
          <w:rFonts w:ascii="Times New Roman" w:cs="Times New Roman" w:eastAsia="Times New Roman" w:hAnsi="Times New Roman"/>
          <w:sz w:val="18"/>
          <w:szCs w:val="18"/>
          <w:color w:val="auto"/>
        </w:rPr>
        <w:t>, has served as a member of Candel’s board of directors since June 2023. Dr. Loggia also serves as chief technical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Orchard Therapeutics plc (Nasdaq: ORTX), a position she has held since September 2021. Prior to that, from 2004 to August 2021, Dr. Loggia served in various positions at Novartis AG (NYSE: NVS), most recently as Global Head of Cell and Gene Therapies from April 2020 to August 2021, as Global Head of Technical Development Biologics and Cell Gene Therapies from January 2019 to April 2020, and as Global Head of Technical Development of Novel Biologic Entities and Early Phase Project Management from 2015 until December 2018. Earlier in her career, Dr. Loggia served as a Formulation Senior and Principal Scientist at Pfizer (NYSE: PFE). Dr. Loggia is also an advisory board member of Sarcura GmbH, a position she has held since May 2022. Dr. Loggia received her master’s degree in Chemistry and Pharmaceutical Technologies, and her Ph.D. in Pharmaceutical Technologies, from the University of Pavia. Dr. Loggia also received her accreditation from the Startup Board Member Academy of the École polytechnique fédérale de Lausanne. We believe Dr. Loggia’s experience and expertise in biopharmaceutical manufacturing and technical operations provides her with the appropriate set of skills to serve as a member of our board of directors.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Martell </w:t>
      </w:r>
      <w:r>
        <w:rPr>
          <w:rFonts w:ascii="Times New Roman" w:cs="Times New Roman" w:eastAsia="Times New Roman" w:hAnsi="Times New Roman"/>
          <w:sz w:val="18"/>
          <w:szCs w:val="18"/>
          <w:color w:val="auto"/>
        </w:rPr>
        <w:t>has served as a member of Candel’s board of directors since November 2018. Mr. Martell is the manager of GTAM1 2012 ADV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 investor at Martell Capital. Previously, Mr. Martell was a Partner at PBM Capital in 2018. Prior to joining PBM Capital, Mr. Martell had an 18-year career at J.P. Morgan where he was a managing director in the Healthcare Investment Banking and Mergers and Acquisitions groups. He led the execution of a wide range of transactions including mergers and acquisitions, spin-offs and corporate separations, initial public offerings and equity and debt financings for medical device, life science tool and diagnostic, pharmaceutical and biotechnology companies. Mr. Martell graduated from Yale University with a B.A. in Ethics, Politics and Economics. We believe Mr. Martell’s broad financial and investment banking experience, financial and transactional expertise and acumen in mergers and acquisitions and complex financial transactions provides him with the appropriate set of skills to serve as a member of our board of directors.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Diem Nguyen, Ph.D., M.B.A.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Candel’s board of directors since July 2021. Dr. Nguyen serves as the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SIGA Technologies, Inc. (Nasdaq: SIGA), a position she has held since January 2024. Prior to that, from October 2020 to January 2024, Dr. Nguyen served as the Chief Executive Officer and member of the board of directors of Xalud Therapeutics, Inc., a private biotechnology company, which is majority-owned by PBM Capital. Previously, Dr. Nguyen was the Executive Vice President of PPD, Inc. a leading global clinical research organization providing drug development services, a position she held from April 2018 to April 2020. Beginning in 2008, Dr. Nguyen held various leadership roles at Pfizer Inc. (NYSE: PFE), last serving as Global President, Americas of Pfizer Essential Health from January 2017 to March 2018. Dr. Nguyen is a director at Verrica Pharmaceuticals Inc. (Nasdaq: VRCA), Vitara Biomedical, Inc. and Children’s Hospital of Philadelphia. She received a B.A. in Chemistry with Specialization in Biochemistry and a Ph.D. in Biochemistry and Molecular Genetics from the University of Virginia, and an M.B.A. in General Management from the University of Virginia’s Darden Graduate School of Business Administration. We believe that Dr. Nguyen’s managerial, commercial and medical experience in the pharmaceutical industry provides her with the appropriate set of skills to serve as a member of our board of directors.</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KPMG LLP AS CANDEL THERAPEUTICS, INC.’S INDEPENDENT REGISTERED PUBLIC ACCOUNTING FIRM FOR THE FISCAL YEAR ENDING DECEMBER 31, 2026</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Candel’s stockholders are being asked to ratify the appointment by the audit committee of the board of directors of KPMG LLP as Candel’s independent registered public accounting firm for the fiscal year ending December 31, 2026. KPMG LLP has served as Candel’s independent registered public accounting firm since 2019.</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Candel’s independent registered public accounting firm for the fiscal year ending December 31, 2026. Stockholder approval is not required to appoint KPMG LLP as Candel’s independent registered public accounting firm. However, the board of directors believes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the best interest of Candel and its stockholders.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representative of KPMG LLP is expected to be present at the Annual Meeting and will have an opportunity to make a statement if he or she desires to do so and to respond to appropriate questions from our stockholders.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Candel incurred the following fees from KPMG LLP for the audit of the financial statements provided during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869,500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714,000</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3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869,500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714,000</w:t>
            </w:r>
          </w:p>
        </w:tc>
        <w:tc>
          <w:tcPr>
            <w:tcW w:w="100" w:type="dxa"/>
            <w:vAlign w:val="bottom"/>
            <w:shd w:val="clear" w:color="auto" w:fill="CFF0FC"/>
          </w:tcPr>
          <w:p>
            <w:pPr>
              <w:spacing w:after="0"/>
              <w:rPr>
                <w:sz w:val="18"/>
                <w:szCs w:val="18"/>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rendered in connection with the audit of our annual consolidated financial statements, the review of the interim consolidated financial statements included in quarterly reports, services rendered in connection with SEC registration statements, costs associated with securities offerings and services that are normally provided by KPMG LLP, such as comfort letters, in connection with statutory and regulatory filings or engagements.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2025 and 2024 fiscal years, no services other than those described above were provided by KPMG LLP.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regardless of amount.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KPMG LLP other than in accordance with the pre-approval policies and procedures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ratify the appointment of KPMG LLP as the Company’s independent registered public accounting firm for the fiscal year ending December 31, 2026, this Proposal No. 2 must receive “FOR” votes from a majority of the votes properly cast on the proposal. Abstentions and broker non-votes, if any, will have no impact on the outcome of this vote.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KPMG LLP as Candel Therapeutics, Inc.’s, independent registered public accounting firm for the fiscal year ending December 31, 2026.</w:t>
      </w:r>
    </w:p>
    <w:p>
      <w:pPr>
        <w:spacing w:after="0" w:line="1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of directors. The qualifications, qualities and skills that our nominating and corporate governance committee believes must be met by a committee-recommended nominee for a position on our board of directors are as follows:</w:t>
      </w:r>
    </w:p>
    <w:p>
      <w:pPr>
        <w:spacing w:after="0" w:line="7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demonstrate 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proven achievement and competence in the nominee’s field and the ability to exercise sound business judgment.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skills that are complementary to those of the existing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ability to assist and support management and make significant contributions to the Company’s success.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understanding of the fiduciary responsibilities that are required of a member of the board of directors and the commitment of time and energy necessary to diligently carry out those responsibilities.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Candel Therapeutics, Inc., 117 Kendrick St, Suite 450, Needham, MA 02494,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Nasdaq listing rules, independent directors must comprise a majority of a listed company’s board of directors within twelve months from the date of listing. In addition,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consulting advisory or other compensatory fee paid by such company to the director, and whether the director is affiliated with the company or any of its subsidiaries or affiliates.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reviews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all members of the board of directors, except Paul Peter Tak, M.D., Ph.D., FMedSci, are independent directors, including for purposes of Nasdaq and the SEC rules. In making that determination, our board of directors considered the relationships that each director has with us and all other facts and circumstances the board of directors deemed relevant in determining independence, including the potential deemed beneficial ownership of our capital stock by each director and respective affiliations, including non-employee directors that are affiliated with certain of our major stockholders. We expect that the composition and functioning of our board of directors and each of our committees will continue to comply with all applicable requirements of Nasdaq and the rules and regulations of the SEC. There are no family relationships among any of our directors or executive officers. Dr. Tak is not an independent director under these rules because he is currently employed as the chief executive officer and president of our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operate pursuant to a charter adopted by our board of directors. We believe that the composition and functioning of all of our committees comply with the applicable requirements of Nasdaq, the Sarbanes-Oxley Act of 2002 and the SEC rules and regulations that are applicable to us. We intend to comply with future requirements to the extent they become applicable to us.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full text of our audit committee charter, compensation committee charter and nominating and corporate governance charter is posted on the investor relations portion of our website at https://ir.candeltx.com/corporate-governance/governance-overview. We do not incorporate the information contained on, or accessible through, our corporate website into this prospectus, and you should not consider it a part of this prospectus.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Renee Gaeta, Nicoletta Loggia, Ph.D. and Maha Radhakrishnan, M.D. serve on the audit committee, which is chaired by Ms. Gaeta.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Ms. Gaeta as an “audit committee financial expert,” as defined under the applicable rules of the SEC. During the fiscal year ended December 31, 2025, the audit committee met four times. The report of the audit committee is included in this proxy statement under “Report of the Audit Committee.” The audit committee’s responsibilities include:</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consolidated financial statements;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consolidated financial statements and related disclosures as well as critical accounting policies and practices used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17" w:lineRule="exact"/>
        <w:rPr>
          <w:rFonts w:ascii="Times New Roman" w:cs="Times New Roman" w:eastAsia="Times New Roman" w:hAnsi="Times New Roman"/>
          <w:sz w:val="18"/>
          <w:szCs w:val="18"/>
          <w:color w:val="auto"/>
        </w:rPr>
      </w:pPr>
    </w:p>
    <w:p>
      <w:pPr>
        <w:ind w:left="1020" w:right="84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based upon the audit committee’s review and discussions with management and our independent registered public accounting firm, whether our audited consolidated financial statements shall be included in our Annual Report on Form 10-K;</w:t>
      </w:r>
    </w:p>
    <w:p>
      <w:pPr>
        <w:spacing w:after="0" w:line="31" w:lineRule="exact"/>
        <w:rPr>
          <w:rFonts w:ascii="Times New Roman" w:cs="Times New Roman" w:eastAsia="Times New Roman" w:hAnsi="Times New Roman"/>
          <w:sz w:val="17"/>
          <w:szCs w:val="17"/>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consolidated financial statements and our compliance with legal and regulatory requirements as they relate to our consolidated financial statements and accounting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22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Nicoletta Loggia, Ph.D., R.Ph., Paul B. Manning, and Joseph C. Papa, R.Ph., M.B.A. serve on the compensation committee, which is chaired by Dr. Loggia. Our board of directors has determined that each member of the compensation committee is “independent” as defined in the applicable Nasdaq rules. During the fiscal year ended December 31, 2025, the compensation committee met four times. The compensation committee’s responsibilities include:</w:t>
      </w:r>
    </w:p>
    <w:p>
      <w:pPr>
        <w:spacing w:after="0" w:line="72" w:lineRule="exact"/>
        <w:rPr>
          <w:sz w:val="20"/>
          <w:szCs w:val="20"/>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of directors the corporate goals and objectives relevant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recommending to the board of directors the cash compensation of our Chief Executive Officer;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 of equity-based awards;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compensation committee report if and when required by SEC rules, to be included in our annual proxy statement.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Consultant</w:t>
      </w:r>
    </w:p>
    <w:p>
      <w:pPr>
        <w:spacing w:after="0" w:line="22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compensation committee has engaged Radford, an Aon company, or Radford, as its independent compensation consultant. When requested, Radford consultants attend meetings of our compensation committee, including executive sessions in which executive compensation-related matters are discussed without the presence of our management. Radford reports to our compensation committee and not to our management, although Radford meets with our management for purposes of gathering information for its analyses and recommendations. Our Compensation Committee has assessed the independence of Radford consistent with SEC rules and Nasdaq listing standards and has concluded that the engagement of Radford does not raise any conflict of interest.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Edward J. Benz, Jr., M.D., Nicoletta Loggia, Ph.D., R.Ph., Christopher Martell, and Gary J. Nabel, M.D., Ph.D., serve on the nominating and corporate governance committee, which is chaired by Dr. Benz. Our board of directors has determined that each member of the nominating and corporate governance committee is “independent” as defined in the applicable Nasdaq rules. The nominating and corporate governance committee did not meet during the fiscal year ended December 31, 2025. The nominating and corporate governance committee’s responsibilities include:</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8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Our board of directors is responsible for filling vacancies on our board of directors and for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full board of directors met eleven times during the fiscal year ended December 31, 2025. During the fiscal year ended December 31, 2025,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Directors are responsible for attending the annual meeting of stockholders to the extent practicable and seven of our directors at the time attended our prior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that applies to all personnel of the Company and its subsidiaries, including directors, officers, employees, consultants, contractors and other related individuals of the Company. We believe that our insider trading policies and procedures are reasonably designed to promote compliance with insider trading laws, rules and regulations, as well as applicable listing standards. A copy of our insider trading policy is included as Exhibit 19.1 to our Annual Report. In addition, it is our policy to comply with applicable insider trading laws, rules and regulations, and any exchange listing standards that apply to the Company itself when engaging in transactions in Candel’s securities.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and purchases or sales of puts, calls, or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by our executive officers, directors and employees.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fiscal year 2025, Nicoletta Loggia, Ph.D., R.Ph., Paul B. Manning, Diem Nguyen, Ph.D., M.B.A. and Joseph C. Papa, R.Ph., M.B.A. were the only members of our compensation committee. None of the members of our compensation committee is, or has at any time during the prior three years been, one of our officers or employees. None of our executive officers currently serve, or have in the past fiscal year served, as a member of the board of directors or compensation committee of any entity that has one or more of its executive officers serving as a member of our board of directors or our compensation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in connection with our initial public offering in July 2021. The Code of Business Conduct and Ethics applies to our directors, officers, and employees, including our principal executive officer, principal financial officer, principal accounting officer, or controller, or persons performing similar functions. The full text of our Code of Business Conduct and Ethics is posted on our website at https://ir.candeltx.com/corporate-governance/governance-overview. If we make any substantive amendments to, or grant any waivers from, our Code of Business Conduct and Ethics for any officer or director, we will disclose the nature of such amendment or waiver on our website or in a current report on Form 8-K.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Paul B. Manning is the current chairman of our board of directors. We believe that separating the positions of chief executive officer and chairperson of the board of directors allows our chief executive officer to focus on our day-to-day business, while allowing a chairperson of the board of directors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bylaws and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 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9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Candel Therapeutics, Inc.</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Stockholders who want to communicate with members of the board of directors, including the independent directors, individually or as a group, should address their communications to the board of directors, the members of the board of directors or the committee, as the case may be, and send them by mail to c/o Candel Therapeutics, Inc., 117 Kendrick St, Suite 450, Needham,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Massachusetts 02494. The chair of the audit committee will forward all such communications directly to such members of the board of directors. Any such communications may be made on an anonymous and confidential basis.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Candel’s legal counsel and a copy of such communication may be retained for a reasonable period of time. The director may discuss the matter with Candel’s legal counsel, with independent advisors, with non-management directors, or with Candel’s management, or may take other action or no action as the director determines in good faith, using reasonable judgment, and applying his or her own discretion.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Candel Therapeutics regarding accounting, internal accounting controls, or audit matters, and the confidential, anonymous submission by employees of concerns regarding questionable accounting, internal accounting controls or auditing matters. Candel Therapeutics has also established a toll-free telephone number for the reporting of such activity, which is 855-590-2335.</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and received compensation for such service during the year ended December 31, 2025. Other than as set forth in the table and described more fully below, we did not pay any compensation, make any equity awards to, or pay any other compensation to any of the non-employee members of our board of directors in 2025. Dr. Tak, our President and Chief Executive Officer, did not receive any additional compensation for his service as a member of our board of directors. Dr. Tak’s compensation for service as an employee for the year ended December 31, 2025 is presented in “Executive Compensation-Summary Compensation Table.” We reimburse non-employee members of our board of directors for reasonable travel and out-of-pocket expenses incurred in connection with attending board of directors and committee meetings.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40" w:type="dxa"/>
            <w:vAlign w:val="bottom"/>
          </w:tcPr>
          <w:p>
            <w:pPr>
              <w:spacing w:after="0"/>
              <w:rPr>
                <w:sz w:val="13"/>
                <w:szCs w:val="13"/>
                <w:color w:val="auto"/>
              </w:rPr>
            </w:pPr>
          </w:p>
        </w:tc>
        <w:tc>
          <w:tcPr>
            <w:tcW w:w="9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40" w:type="dxa"/>
            <w:vAlign w:val="bottom"/>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40" w:type="dxa"/>
            <w:vAlign w:val="bottom"/>
          </w:tcPr>
          <w:p>
            <w:pPr>
              <w:spacing w:after="0"/>
              <w:rPr>
                <w:sz w:val="12"/>
                <w:szCs w:val="12"/>
                <w:color w:val="auto"/>
              </w:rPr>
            </w:pPr>
          </w:p>
        </w:tc>
        <w:tc>
          <w:tcPr>
            <w:tcW w:w="9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2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Edward J. Benz, Jr., M.D.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Renee Gaeta</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Nicoletta Loggia, Ph.D., R.Ph.</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46,473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Martell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Gary J. Nabel, M.D., Ph.D.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Diem Nguyen, Ph.D. M.B.A.</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43,764</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Joseph C. Papa, R.Ph., M.B.A.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Maha Radhakrishnan, M.D.</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42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in 2025. In accordance with SEC rules, these columns reflect the aggregate grant date fair value of the option awards granted during 2025 computed in accordance with Financial Accounting Standard Board ASC Topic 718 for stock-based compensation transactions. See Note 11 to our consolidated financial statements in the Annual Report on Form 10-K for the year ended December 31, 2025 regarding assumptions underlying the valuation of equity awards.</w:t>
      </w:r>
    </w:p>
    <w:p>
      <w:pPr>
        <w:spacing w:after="0" w:line="71"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number of shares of common stock underlying stock options held by our non-employee directors that were outstanding as of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Unexercised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148"/>
        </w:trPr>
        <w:tc>
          <w:tcPr>
            <w:tcW w:w="5120" w:type="dxa"/>
            <w:vAlign w:val="bottom"/>
            <w:vMerge w:val="restart"/>
          </w:tcPr>
          <w:p>
            <w:pPr>
              <w:ind w:left="4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auto"/>
            </w:tcBorders>
            <w:vMerge w:val="continue"/>
          </w:tcPr>
          <w:p>
            <w:pPr>
              <w:spacing w:after="0"/>
              <w:rPr>
                <w:sz w:val="15"/>
                <w:szCs w:val="15"/>
                <w:color w:val="auto"/>
              </w:rPr>
            </w:pPr>
          </w:p>
        </w:tc>
        <w:tc>
          <w:tcPr>
            <w:tcW w:w="3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6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Edward J. Benz, Jr., M.D.</w:t>
            </w:r>
          </w:p>
        </w:tc>
        <w:tc>
          <w:tcPr>
            <w:tcW w:w="6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Renee Gaeta</w:t>
            </w:r>
          </w:p>
        </w:tc>
        <w:tc>
          <w:tcPr>
            <w:tcW w:w="6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Nicoletta Loggia, Ph.D., R.Ph.</w:t>
            </w:r>
          </w:p>
        </w:tc>
        <w:tc>
          <w:tcPr>
            <w:tcW w:w="6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Martell</w:t>
            </w:r>
          </w:p>
        </w:tc>
        <w:tc>
          <w:tcPr>
            <w:tcW w:w="6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Gary J. Nabel, M.D., Ph.D.</w:t>
            </w:r>
          </w:p>
        </w:tc>
        <w:tc>
          <w:tcPr>
            <w:tcW w:w="6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Diem Nguyen, Ph.D. M.B.A.</w:t>
            </w:r>
          </w:p>
        </w:tc>
        <w:tc>
          <w:tcPr>
            <w:tcW w:w="6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Joseph C. Papa, R.Ph., M.B.A.</w:t>
            </w:r>
          </w:p>
        </w:tc>
        <w:tc>
          <w:tcPr>
            <w:tcW w:w="6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Maha Radhakrishnan, M.D.</w:t>
            </w:r>
          </w:p>
        </w:tc>
        <w:tc>
          <w:tcPr>
            <w:tcW w:w="6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120" w:type="dxa"/>
            <w:vAlign w:val="bottom"/>
          </w:tcPr>
          <w:p>
            <w:pPr>
              <w:spacing w:after="0"/>
              <w:rPr>
                <w:sz w:val="24"/>
                <w:szCs w:val="24"/>
                <w:color w:val="auto"/>
              </w:rPr>
            </w:pPr>
          </w:p>
        </w:tc>
        <w:tc>
          <w:tcPr>
            <w:tcW w:w="390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policy, which was most recently amended and restated on December 24, 2025, that is designed to enable us to attract and retain, on a long-term basis, highly qualified non-employee directors. The fees paid to independent non-employee directors for service on our board of directors and for service on each committee of our board of directors on which the director is a member are set forth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Annual Retainer</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149"/>
        </w:trPr>
        <w:tc>
          <w:tcPr>
            <w:tcW w:w="6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(January-December 23,</w:t>
            </w:r>
          </w:p>
        </w:tc>
        <w:tc>
          <w:tcPr>
            <w:tcW w:w="280" w:type="dxa"/>
            <w:vAlign w:val="bottom"/>
          </w:tcPr>
          <w:p>
            <w:pPr>
              <w:spacing w:after="0"/>
              <w:rPr>
                <w:sz w:val="12"/>
                <w:szCs w:val="12"/>
                <w:color w:val="auto"/>
              </w:rPr>
            </w:pPr>
          </w:p>
        </w:tc>
        <w:tc>
          <w:tcPr>
            <w:tcW w:w="16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(Effective December 24,</w:t>
            </w:r>
          </w:p>
        </w:tc>
      </w:tr>
      <w:tr>
        <w:trPr>
          <w:trHeight w:val="173"/>
        </w:trPr>
        <w:tc>
          <w:tcPr>
            <w:tcW w:w="6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All non-employee members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compensation for service as non-executive chair of the board of directors</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bl>
    <w:p>
      <w:pPr>
        <w:spacing w:after="0" w:line="31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amending and restating our non-employee director compensation policy on December 24, 2025, we added a provision to permit directors to elect to receive a stock option in lieu of their annual cash retainer. Each stock option granted in lieu of cash retainers will be granted quarterly in arrears on the same date cash retainers are paid for such quarter, subject to the director’s continued service relationship on such grant date, with a Black-Scholes value equal to the amount of cash retainers earned for such quarter. Such stock options will be fully vested at the time of grant.</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each non-employee director elected or appointed to our board of directors will be granted an initial one-time non-qualified stock option to purchase 28,480 shares of our common stock, based on the current fair market value of our common stock, which shall vest in equal monthly installments over three years from the date of grant, subject to continued service through such vesting date(s). In addition, at the end of each year, each non-employee director, other than a director receiving an initial equity award, will be granted a non-qualified stock option to purchase 14,240 shares of our common stock, based on the then fair market value of our common stock, which will vest and become fully exercisable upon the earlier of (i) the first anniversary of the grant date or (ii) our next annual meeting of stockholders, subject to such director’s continued service as a director through such vesting 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at Candel Therapeutics, Inc. and their ages as of April 29, 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53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 Held with Candel Therapeutics, Inc.</w:t>
            </w:r>
          </w:p>
        </w:tc>
        <w:tc>
          <w:tcPr>
            <w:tcW w:w="12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2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Peter Tak, M.D., Ph.D., FMedSci</w:t>
            </w:r>
          </w:p>
        </w:tc>
        <w:tc>
          <w:tcPr>
            <w:tcW w:w="5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Charles Schoch</w:t>
            </w:r>
          </w:p>
        </w:tc>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Francesca Barone, M.D., Ph.D.</w:t>
            </w:r>
          </w:p>
        </w:tc>
        <w:tc>
          <w:tcPr>
            <w:tcW w:w="5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Scientific Officer</w:t>
            </w: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 Garrett Nichols, M.D., M.S.</w:t>
            </w:r>
          </w:p>
        </w:tc>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Medical Officer</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Seshu Tyagarajan, Ph.D., RAC</w:t>
            </w:r>
          </w:p>
        </w:tc>
        <w:tc>
          <w:tcPr>
            <w:tcW w:w="5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Technical and Development Officer</w:t>
            </w: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Class II Directors</w:t>
      </w:r>
      <w:r>
        <w:rPr>
          <w:rFonts w:ascii="Times New Roman" w:cs="Times New Roman" w:eastAsia="Times New Roman" w:hAnsi="Times New Roman"/>
          <w:sz w:val="18"/>
          <w:szCs w:val="18"/>
          <w:color w:val="auto"/>
        </w:rPr>
        <w:t>” above for information about our Chief Executive Officer and President, Paul Peter Tak, M.D., Ph.D., FMedSci.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other executive officers, as of April 29, 2026, is set forth below.</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Schoch </w:t>
      </w:r>
      <w:r>
        <w:rPr>
          <w:rFonts w:ascii="Times New Roman" w:cs="Times New Roman" w:eastAsia="Times New Roman" w:hAnsi="Times New Roman"/>
          <w:sz w:val="18"/>
          <w:szCs w:val="18"/>
          <w:color w:val="auto"/>
        </w:rPr>
        <w:t>has served as Candel’s Chief Financial Officer since June 2025 and previously served as our interim Chief Financial Officer,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and principal accounting officer, since January 2024. Prior to that he served as Candel’s Vice President of Finance and Corporate Controller from March 2023 to January 2024. Mr. Schoch joined Candel in November 2021 as Corporate Controller and has served in various financial reporting and accounting positions of increasing responsibility. Prior to joining Candel, Mr. Schoch was the Corporate Controller at Corbus Pharmaceuticals from September 2020 to November 2021 and previously worked in the Health Industry assurance practice of PricewaterhouseCoopers from September 2013 to August 2020. Mr. Schoch holds an M.B.A. and M.S.A. from Northeastern University and a B.S. in Business Administration with a concentration in Finance from Elon University.</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Francesca Barone, M.D., Ph.D.</w:t>
      </w:r>
      <w:r>
        <w:rPr>
          <w:rFonts w:ascii="Times New Roman" w:cs="Times New Roman" w:eastAsia="Times New Roman" w:hAnsi="Times New Roman"/>
          <w:sz w:val="18"/>
          <w:szCs w:val="18"/>
          <w:color w:val="auto"/>
        </w:rPr>
        <w:t>, has been Candel’s Chief Scientific Officer since February 2022 and previously served as our Vice President,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from November 2020 to February 2022. She joined Candel in November 2020 as head of experimental medicine and discovery, overseeing the implementation of biological measures of outcome and biomarker studies in the clinical pipeline, and directing the design of Candel’s novel discovery platform. Before joining Candel, Dr. Barone served as VP and Head of Experimental Medicine at Kintai Therapeutics, Inc, a Flagship Pioneering, Inc. company, from May 2019 through its merger into Senda Biosciences, Inc., in November 2021. Prior to moving to industry, Dr. Barone served as Reader (Associate Professor) in Experimental Rheumatology at the University of Birmingham (UK) from February 2010 until December 2019. During her tenure she also served as Academic Director of Business Engagement for the College of Medical and Dental Sciences and Director of the laboratories for Immuno-phenotyping in the Institute of Translational Medicine. She has published extensively in peer-reviewed journals, was the recipient of two fellowships to support her research program and led efforts to establish collaborative alliances between the University of Birmingham and world leader pharmacology industries. She received her medical degree cum laude from the University of Rome, Sapienza and was trained in the same university as a Rheumatologist. She received her Ph.D. at Kings College, London.</w:t>
      </w:r>
    </w:p>
    <w:p>
      <w:pPr>
        <w:spacing w:after="0" w:line="18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 Garrett Nichols, M.D., M.S.</w:t>
      </w:r>
      <w:r>
        <w:rPr>
          <w:rFonts w:ascii="Times New Roman" w:cs="Times New Roman" w:eastAsia="Times New Roman" w:hAnsi="Times New Roman"/>
          <w:sz w:val="17"/>
          <w:szCs w:val="17"/>
          <w:color w:val="auto"/>
        </w:rPr>
        <w:t>, has been Candel’s Chief Medical Officer since September 2022. Dr. Nichols has also served as the Chief Medical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Istari Oncology, Inc. since April 2020. Previously, Dr. Nichols served as the Chief Medical Officer of Chimerix, Inc., from September 2014 until April 2020. From April 2014 until September 2014, Dr. Nichols was Head of Global Development of ViiV Healthcare, LTD. Dr. Nichols served in various positions of increasing responsibility at GSK from December 2008 until April 2014, most recently serving as Vice President of Clinical Development and Medicine Development Leader for Dolutegravir (Tivicay, S/GSK1349572, HIV Integrase Inhibitor). Dr. Nichols received an M.D. from Duke University School of Medicine, an M.S. in Epidemiology and Biostatistics from the University of Washington, and a B.A. from the University of Virginia.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Seshu Tyagarajan, Ph.D., RAC</w:t>
      </w:r>
      <w:r>
        <w:rPr>
          <w:rFonts w:ascii="Times New Roman" w:cs="Times New Roman" w:eastAsia="Times New Roman" w:hAnsi="Times New Roman"/>
          <w:sz w:val="18"/>
          <w:szCs w:val="18"/>
          <w:color w:val="auto"/>
        </w:rPr>
        <w:t>, has been Chief Technical and Development Officer at Candel Therapeutics since April 2022. She brings over two decades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technical, manufacturing and development experience in biologics and cell and gene therapies (CGT). Before joining Candel, Dr. Tyagarajan served as Executive Director and Global Head, Late Stage CMC Strategy for CGT at Novartis AG, or Novartis (NYSE: NVS), from August 2020 to February 2022. She also served as the Business Leader of Microsoft-NVS AI Partnership at Novartis from August 2019 to March 2021. Prior to that, Dr. Tyagarajan served as Director and Global Program CMC Team Leader for CAR-T at Novartis from June 2014 to July 2020. As a member of the Novartis leadership team, she was responsible for building a CGT pipeline by integrating, development and manufacturing, and for driving clinical and commercial manufacturing strategy for the CAR-T platform. She successfully led several BLAs/MAAs and INDs and was a key contributor to the groundbreaking BLA submission for Kymriah</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first ever CAR-T therapy approved by the FDA. Prior to Novartis, Dr. Tyagarajan held roles of increasing responsibility at Merck &amp; Co Inc. (NYSE: MRK), Roche Holding AG (OTCM: RRHBY), Biogen Idec (now Biogen Inc. (Nasdaq: BIIB)), and ImClone, a subsidiary of Eli Lilly and Co. (NYSE: LLY). Dr. Tyagarajan holds a Ph.D. in Chemical and Biochemical Engineering from Rutgers University and an M.S. in Bioengineering from Purdue University.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and earned by each individual who served as our principal executive officer at any time during the year ended December 31, 2025 and to our next two most highly compensated executive officers in respect of their service to our Company for our year ended December 31, 2025. We refer to these individuals as our named executive officers. Our named executive officers are:</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Peter Tak, M.D., Ph.D., FMedSci, our President and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Francesca Barone, M.D., Ph.D., our Chief Scientific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Schoch, our Chief Financial Officer.</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based on a pay-for-performance philosophy. Compensation for our executive officers is composed primarily of the following main components: base salary, bonus and equity incentives in the form of stock options and restricted stock units, or RSUs. Our executive officers, like all full-time employees, are eligible to participate in our health and welfare benefit plans. As we complete our transition from a private company to a publicly traded company, we intend to evaluate our compensation values and philosophy and compensation plans and arrangements as circumstances require.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We will also review whether we are meeting our retention objectives and the potential cost of replacing a key employee.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and earned by our named executive officers for services rendered to us in all capacities during our years ended December 31, 2025 and, if applicable,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Nonqualified</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Bonus</w:t>
            </w: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0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Year</w:t>
            </w:r>
          </w:p>
        </w:tc>
        <w:tc>
          <w:tcPr>
            <w:tcW w:w="90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center"/>
              <w:ind w:left="124"/>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180" w:type="dxa"/>
            <w:vAlign w:val="bottom"/>
            <w:gridSpan w:val="2"/>
          </w:tcPr>
          <w:p>
            <w:pPr>
              <w:jc w:val="center"/>
              <w:ind w:left="142"/>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Earnings ($)</w:t>
            </w:r>
          </w:p>
        </w:tc>
        <w:tc>
          <w:tcPr>
            <w:tcW w:w="1180" w:type="dxa"/>
            <w:vAlign w:val="bottom"/>
            <w:gridSpan w:val="2"/>
          </w:tcPr>
          <w:p>
            <w:pPr>
              <w:jc w:val="center"/>
              <w:ind w:left="122"/>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 ($)</w:t>
            </w:r>
          </w:p>
        </w:tc>
      </w:tr>
      <w:tr>
        <w:trPr>
          <w:trHeight w:val="180"/>
        </w:trPr>
        <w:tc>
          <w:tcPr>
            <w:tcW w:w="208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i w:val="1"/>
                <w:iCs w:val="1"/>
                <w:color w:val="auto"/>
              </w:rPr>
              <w:t>Paul Peter Tak, M.D.,</w:t>
            </w:r>
          </w:p>
        </w:tc>
        <w:tc>
          <w:tcPr>
            <w:tcW w:w="12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Ph.D., FMedSci,</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8"/>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743,592</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3,916,028</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396,653</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288,289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5,344,561</w:t>
            </w:r>
          </w:p>
        </w:tc>
        <w:tc>
          <w:tcPr>
            <w:tcW w:w="100" w:type="dxa"/>
            <w:vAlign w:val="bottom"/>
            <w:shd w:val="clear" w:color="auto" w:fill="CFF0FC"/>
          </w:tcPr>
          <w:p>
            <w:pPr>
              <w:spacing w:after="0"/>
              <w:rPr>
                <w:sz w:val="18"/>
                <w:szCs w:val="18"/>
                <w:color w:val="auto"/>
              </w:rPr>
            </w:pPr>
          </w:p>
        </w:tc>
      </w:tr>
      <w:tr>
        <w:trPr>
          <w:trHeight w:val="203"/>
        </w:trPr>
        <w:tc>
          <w:tcPr>
            <w:tcW w:w="20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688,940</w:t>
            </w:r>
          </w:p>
        </w:tc>
        <w:tc>
          <w:tcPr>
            <w:tcW w:w="2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498,061</w:t>
            </w:r>
          </w:p>
        </w:tc>
        <w:tc>
          <w:tcPr>
            <w:tcW w:w="220" w:type="dxa"/>
            <w:vAlign w:val="bottom"/>
          </w:tcPr>
          <w:p>
            <w:pPr>
              <w:spacing w:after="0"/>
              <w:rPr>
                <w:sz w:val="17"/>
                <w:szCs w:val="17"/>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262,221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1,449,222</w:t>
            </w:r>
          </w:p>
        </w:tc>
        <w:tc>
          <w:tcPr>
            <w:tcW w:w="100" w:type="dxa"/>
            <w:vAlign w:val="bottom"/>
          </w:tcPr>
          <w:p>
            <w:pPr>
              <w:spacing w:after="0"/>
              <w:rPr>
                <w:sz w:val="17"/>
                <w:szCs w:val="17"/>
                <w:color w:val="auto"/>
              </w:rPr>
            </w:pPr>
          </w:p>
        </w:tc>
      </w:tr>
      <w:tr>
        <w:trPr>
          <w:trHeight w:val="187"/>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Francesca Barone, M.D.,</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Ph.D.</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8"/>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Chief Scientific Officer</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483,312</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857,797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206,427</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1,561,536</w:t>
            </w:r>
          </w:p>
        </w:tc>
        <w:tc>
          <w:tcPr>
            <w:tcW w:w="100" w:type="dxa"/>
            <w:vAlign w:val="bottom"/>
            <w:shd w:val="clear" w:color="auto" w:fill="CFF0FC"/>
          </w:tcPr>
          <w:p>
            <w:pPr>
              <w:spacing w:after="0"/>
              <w:rPr>
                <w:sz w:val="18"/>
                <w:szCs w:val="18"/>
                <w:color w:val="auto"/>
              </w:rPr>
            </w:pPr>
          </w:p>
        </w:tc>
      </w:tr>
      <w:tr>
        <w:trPr>
          <w:trHeight w:val="203"/>
        </w:trPr>
        <w:tc>
          <w:tcPr>
            <w:tcW w:w="20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443,303</w:t>
            </w:r>
          </w:p>
        </w:tc>
        <w:tc>
          <w:tcPr>
            <w:tcW w:w="240" w:type="dxa"/>
            <w:vAlign w:val="bottom"/>
          </w:tcPr>
          <w:p>
            <w:pPr>
              <w:spacing w:after="0"/>
              <w:rPr>
                <w:sz w:val="17"/>
                <w:szCs w:val="17"/>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269,119</w:t>
            </w:r>
          </w:p>
        </w:tc>
        <w:tc>
          <w:tcPr>
            <w:tcW w:w="220" w:type="dxa"/>
            <w:vAlign w:val="bottom"/>
          </w:tcPr>
          <w:p>
            <w:pPr>
              <w:spacing w:after="0"/>
              <w:rPr>
                <w:sz w:val="17"/>
                <w:szCs w:val="17"/>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726,222</w:t>
            </w:r>
          </w:p>
        </w:tc>
        <w:tc>
          <w:tcPr>
            <w:tcW w:w="100" w:type="dxa"/>
            <w:vAlign w:val="bottom"/>
          </w:tcPr>
          <w:p>
            <w:pPr>
              <w:spacing w:after="0"/>
              <w:rPr>
                <w:sz w:val="17"/>
                <w:szCs w:val="17"/>
                <w:color w:val="auto"/>
              </w:rPr>
            </w:pPr>
          </w:p>
        </w:tc>
      </w:tr>
      <w:tr>
        <w:trPr>
          <w:trHeight w:val="187"/>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Charles Schoch</w:t>
            </w: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398,500</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826,465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232,320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1,470,817</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20" w:right="14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share-based compensation awarded during the indicated year computed in accordance with the provisions of Financial Accounting Standards Board ASC Topic 718. See Note 11 to our consolidated financial statements in the Annual Report on Form 10-K for the year ended December 31, 2025 regarding assumptions underlying the valuation of equity awards.</w:t>
      </w:r>
    </w:p>
    <w:p>
      <w:pPr>
        <w:spacing w:after="0" w:line="71" w:lineRule="exact"/>
        <w:rPr>
          <w:rFonts w:ascii="Times New Roman" w:cs="Times New Roman" w:eastAsia="Times New Roman" w:hAnsi="Times New Roman"/>
          <w:sz w:val="18"/>
          <w:szCs w:val="18"/>
          <w:color w:val="auto"/>
        </w:rPr>
      </w:pPr>
    </w:p>
    <w:p>
      <w:pPr>
        <w:ind w:left="520" w:right="34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annual bonuses earned based upon the achievement of Company and individual performance metrics. Amounts reflected are paid in the year subsequent to the performance year. In addition, the amounts reported in 2024 include an additional $134,000 and $80,560 for Dr. Tak and Dr. Barone, respectively, which was payable in connection with the successful completion of our offering in December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right="2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consists of the following: (1) 401(k) employer match and (2) for Dr. Tak only, $274,289 and $248,421 of housing and travel benefits for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executive compensation programs and related policies. In fiscal year 2025, the compensation committee continued to retain Aon Plc d/b/a Radford (Aon) to provide it with market information, analysis and other advice relating to executive compensation on an ongoing basis. The compensation committee engaged Aon to, among other things, assist in developing a group of peer companies to help us determine overall compensation for our executive officers, as well as to assess each separate element of compensation. The goal was to ensure that the compensation we offer to our executive officers, individually as well as in the aggregate, is competitive and aligned with our business and executive talent requirements. We do not believe the retention of, and the work performed by, Aon creates any conflict of interest because Aon performs no other work for the Company besides advising the compensation committee.</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compensation committee is responsible for determining the compensation for all executive officers. Based on its discretion, taking into account the factors noted above, the compensation committee sets the compensation for each executive officer, including for the Chief Executive Officer, without the Chief Executive Officer present.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the compensation committee, and may be adjusted from time to time to realign salaries with market levels after taking into account individual responsibilities, performance, and experience.</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the annual base salaries for Dr. Tak and Dr. Barone were $721,188 and $469,153, respectively. From January 1, 2025 until June 20, 2025, Mr. Schoch’s annual base salary was $377,000 and was increased to $440,000, effective June 20, 2025, when he became our Chief Financial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2025, each of the named executive officers was eligible to earn an annual cash bonus based on the achievement of certain corporate and individual performance milestones. The target annual bonuses for each of Dr. Tak, Dr. Barone and Mr. Schoch for the fiscal year ended December 31, 2025 were 50%, 40% and 40% of annual base salary, respectively. Based on our achievement of the applicable performance goals for 2025, the Compensation Committee determined that we had achieved 110% of our corporate goals. Taking into account individual performance, each of Dr. Tak, Dr. Barone and Mr. Schoch earned the amounts set forth in the 2026 Summary Compensation Table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incentives our executive officers to remain in our employment during the vesting period. Accordingly, our board of directors periodically reviews the equity incentive compensation of our executives, including our named executive officers, and from time to time may grant equity incentive awards to them in the form of stock options and RSUs.</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typically grant stock option awards at the start of employment to each executive officer and our other employees as well as on an annual basis for retention purposes. We award our stock options and RSUs on the date our board of directors or the CEO approves the grant. We set the option exercise price equal to the fair market value of our common stock on the date of grant.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maintain a tax-qualified retirement plan (the 401(k) Plan) that provides eligible U.S. employees with an opportunity to save for retirement on a tax advantaged basis. Eligible employees are able to defer eligible compensation subject to applicable annual</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Code limits. Employees’ pre-tax or Roth contributions are allocated to each participant’s individual account and are then invested in selected investment alternatives according to the participants’ directions. Employees are immediately and fully vested in their contributions. Our 401(k) Plan is intended to be qualified under Section 401(a) of the Code with our 401(k) Plan’s related trust intended to be tax exempt under Section 501(a) of the Code. As a tax-qualified retirement plan, contributions to our 401(k) Plan and earnings on those contributions are not taxable to the employees until distributed from our 401(k)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of our named executive officers are eligible to participate in our employee benefit plans, including our medical, dental and vision insurance plans, in each case on the same basis as all of our other full-time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perquisites described above are necessary and appropriate to provide a competitive compensation package to our named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Sales Plans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we maintain a compensation recovery policy (the “clawback policy”). The clawback policy provides that in the event we are required to prepare a restatement of financial statements due to material noncompliance with any financial reporting requirement under securities laws, we must (subject to certain limited exceptions described in the clawback policy and permitted under the SEC and Nasdaq listing rules)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 A copy of our compensation recovery policy is filed with our Annual Report as Exhibit 97.1.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Timing of Awards of Options and Other Option-Like Instruments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compensation committee does not have a regular practice or policy with regard to the timing of the grants of equity awards to our employees. During 2025,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named executive officers during any period beginning four business days before and ending one business day after the filing or furnishing of a Form 10-Q, 10-K or 8-K that discloses material nonpublic information.</w:t>
      </w:r>
    </w:p>
    <w:p>
      <w:pPr>
        <w:spacing w:after="0" w:line="287" w:lineRule="exact"/>
        <w:rPr>
          <w:sz w:val="20"/>
          <w:szCs w:val="20"/>
          <w:color w:val="auto"/>
        </w:rPr>
      </w:pPr>
    </w:p>
    <w:p>
      <w:pPr>
        <w:ind w:right="420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Employment Arrangements and Severance Agreements with our Named Executive Officers </w:t>
      </w:r>
      <w:r>
        <w:rPr>
          <w:rFonts w:ascii="Times New Roman" w:cs="Times New Roman" w:eastAsia="Times New Roman" w:hAnsi="Times New Roman"/>
          <w:sz w:val="17"/>
          <w:szCs w:val="17"/>
          <w:color w:val="auto"/>
        </w:rPr>
        <w:t>We have entered into employment agreements with each of our named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Paul Peter Tak, M.D., Ph.D., FMedSci</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September 12, 2020, we entered into an employment agreement with Dr. Tak, or the Tak Employment Agreement, for the position of President and Chief Executive Officer. The Tak Employment Agreement provides for an annual base salary and an annual bonus opportunity. Pursuant to the Tak Employment Agreement, Dr. Tak’s annual base salary increased to $670,000 per year effective on the first anniversary of the commencement of his employment because the Company completed an underwritten public offering prior to such date. Pursuant to the Tak Employment Agreement, we will reimburse Dr. Tak for reasonable costs related to travel to Massachusetts and temporary housing in Massachusetts, not to exceed $20,000 per month, which amount will be grossed up in respect of any related taxes, reasonable legal fees related to obtaining a visa, and reasonable fees for independent tax and accounting advice not to exceed $10,000 per year. Dr. Tak is eligible to participate in the employee benefit plans available to our employees, subject to the terms of those plans.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Tak Employment Agreement, in the event that Dr. Tak’s employment is terminated by us without cause or by Dr. Tak for good reason outside of the 3 month period preceding and 12 month period following the first event constituting a change in control (such period, the “change in control period”), subject to the execution and effectiveness of a severance and release of claims agreement within 60 days of such termination, he will be entitled to receive (i) an amount equal to 12 months of base salary plus Dr. Tak’s target bonus for the then-current year, less any payments Dr. Tak receives pursuant to his restrictive covenants agreement with the Company, payable in installments over 12 months commencing within 60 days of termination, and (ii) subject to the Dr. Tak’s timely election to continue COBRA health coverage and copayment of premium amounts at the applicable active employees’ rate, we will continue to pay the share of the premiums that we would have paid to provide health insurance to Dr. Tak until the earlier of (A) 12 months following termination or (B) Dr. Tak’s eligibility for group medical plan benefits under any other employer’s group medical plan. In the event that such termination occurs during the change in control period, Dr. Tak will, subject to the execution and effectiveness of a general severance and release of claims agreement within 60 days of such termination, be entitled to receive (x) a lump sum payment equal to 1.5 times the sum of Dr. Tak’s then-current base salary (or base salary in effect immediately prior to the change in control, if higher), plus his target bonus for the then-current year (or his target bonus in effect immediately prior to the change in control, if higher), less any payments Dr. Tak receives pursuant to his restrictive covenants agreement with the Company, and (y) the benefits set forth in clause (ii) of the preceding sentence but for a period of 18 months. In addition, pursuant to the Tak Employment Agreement, all equity awards held by Dr. Tak that are subject to time-based vesting will fully accelerate as of the earlier of the consummation of a “change in control” of the Company (as defined in the Tak Employment Agreement) or the termination of Dr. Tak’s employment by the Company without cause or by Dr. Tak for good reason. Furthermore, in the event of a change of control or Dr. Tak’s termination without cause or for good reason, Dr. Tak will have no less than 12 months to exercise vested, unexpired stock options.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Francesca Barone, M.D., Ph.D.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Effective February 3, 2022, we entered into an employment agreement with Dr. Barone, or the Barone Employment Agreement, for the position of Chief Scientific Officer. The Barone Employment Agreement provides for an annual base salary and an annual target bonus opportunity. Dr. Barone is eligible to participate in the employee benefit plans available to our employees, subject to the terms of those plans.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Pursuant to the Barone Employment Agreement, in the event that Dr. Barone’s employment is terminated by us without cause or by Dr. Barone for good reason, subject to the execution and effectiveness of a severance and release of claims agreement within 60 days of such termination, she will be entitled to receive (i) an amount equal to nine months of base salary plus Dr. Barone’s target bonus for the then-current year, less any payments Dr. Barone receives pursuant to her restrictive covenants agreement with the Company, payable in installments over 9 months commencing within 60 days of termination, and</w:t>
      </w:r>
    </w:p>
    <w:p>
      <w:pPr>
        <w:spacing w:after="0" w:line="3" w:lineRule="exact"/>
        <w:rPr>
          <w:sz w:val="20"/>
          <w:szCs w:val="20"/>
          <w:color w:val="auto"/>
        </w:rPr>
      </w:pPr>
    </w:p>
    <w:p>
      <w:pPr>
        <w:ind w:right="20" w:firstLine="8"/>
        <w:spacing w:after="0" w:line="251"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Dr. Barone’s timely election to continue COBRA health coverage and copayment of premium amounts at the applicable active employees’ rate, we will continue to pay the share of the premiums that we would have paid to provide health insurance to Dr. Barone until the earlier of (A) nine months following termination, (B) Dr. Barone’s eligibility for group medical plan benefits under any other employer’s group medical plan or (C) the cessation of Dr. Barone’s health continuation rights under COBRA; provided, however, that if the Company determines that it cannot pay such amounts to the group health plan provider or the COBRA provider (if applicable) without potentially violating applicable law, then the Company shall convert such payments to payroll payments directly to Dr. Barone for the time period specified above. Pursuant to the Barone Employment Agreement, all equity awards held by Dr. Barone that are subject to time-based vesting will fully accelerate if Dr. Barone’s employment is terminated by the Company without “cause” or by Dr. Barone for “good reason” within one month prior to or 12 months following the consummation of a “change in control” (as such terms are defined in the Barone Employment Agreement).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Schoch</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Effective November 16, 2021, we entered into an employment offer letter with Mr. Schoch, or the Schoch Employment Offer Letter. The Schoch Employment Offer Letter provides for an annual base salary and an annual target bonus opportunity. Pursuant to the Schoch Employment Offer Letter, Mr. Schoch is eligible to participate in the employee benefit plans available to our employees, subject to the terms of those plans.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our named executive officers as of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16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w w:val="98"/>
              </w:rPr>
              <w:t>Option Awards (1)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6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1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1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Vesting</w:t>
            </w:r>
          </w:p>
        </w:tc>
        <w:tc>
          <w:tcPr>
            <w:tcW w:w="120" w:type="dxa"/>
            <w:vAlign w:val="bottom"/>
          </w:tcPr>
          <w:p>
            <w:pPr>
              <w:spacing w:after="0"/>
              <w:rPr>
                <w:sz w:val="11"/>
                <w:szCs w:val="11"/>
                <w:color w:val="auto"/>
              </w:rPr>
            </w:pPr>
          </w:p>
        </w:tc>
        <w:tc>
          <w:tcPr>
            <w:tcW w:w="1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28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Commencement</w:t>
            </w:r>
          </w:p>
        </w:tc>
        <w:tc>
          <w:tcPr>
            <w:tcW w:w="120" w:type="dxa"/>
            <w:vAlign w:val="bottom"/>
          </w:tcPr>
          <w:p>
            <w:pPr>
              <w:spacing w:after="0"/>
              <w:rPr>
                <w:sz w:val="11"/>
                <w:szCs w:val="11"/>
                <w:color w:val="auto"/>
              </w:rPr>
            </w:pPr>
          </w:p>
        </w:tc>
        <w:tc>
          <w:tcPr>
            <w:tcW w:w="17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(Exercisable)</w:t>
            </w:r>
          </w:p>
        </w:tc>
        <w:tc>
          <w:tcPr>
            <w:tcW w:w="1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28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Expiration</w:t>
            </w:r>
          </w:p>
        </w:tc>
        <w:tc>
          <w:tcPr>
            <w:tcW w:w="0" w:type="dxa"/>
            <w:vAlign w:val="bottom"/>
          </w:tcPr>
          <w:p>
            <w:pPr>
              <w:spacing w:after="0"/>
              <w:rPr>
                <w:sz w:val="1"/>
                <w:szCs w:val="1"/>
                <w:color w:val="auto"/>
              </w:rPr>
            </w:pPr>
          </w:p>
        </w:tc>
      </w:tr>
      <w:tr>
        <w:trPr>
          <w:trHeight w:val="145"/>
        </w:trPr>
        <w:tc>
          <w:tcPr>
            <w:tcW w:w="2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2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80" w:type="dxa"/>
            <w:vAlign w:val="bottom"/>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0" w:type="dxa"/>
            <w:vAlign w:val="bottom"/>
          </w:tcPr>
          <w:p>
            <w:pPr>
              <w:spacing w:after="0"/>
              <w:rPr>
                <w:sz w:val="1"/>
                <w:szCs w:val="1"/>
                <w:color w:val="auto"/>
              </w:rPr>
            </w:pPr>
          </w:p>
        </w:tc>
      </w:tr>
      <w:tr>
        <w:trPr>
          <w:trHeight w:val="142"/>
        </w:trPr>
        <w:tc>
          <w:tcPr>
            <w:tcW w:w="25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Paul Peter Tak</w:t>
            </w:r>
          </w:p>
        </w:tc>
        <w:tc>
          <w:tcPr>
            <w:tcW w:w="18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10/10/2020</w:t>
            </w:r>
          </w:p>
        </w:tc>
        <w:tc>
          <w:tcPr>
            <w:tcW w:w="16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1,763,968</w:t>
            </w:r>
          </w:p>
        </w:tc>
        <w:tc>
          <w:tcPr>
            <w:tcW w:w="2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16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10/10/2030</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2/28/2022</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103,125</w:t>
            </w:r>
          </w:p>
        </w:tc>
        <w:tc>
          <w:tcPr>
            <w:tcW w:w="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6,875</w:t>
            </w:r>
          </w:p>
        </w:tc>
        <w:tc>
          <w:tcPr>
            <w:tcW w:w="60" w:type="dxa"/>
            <w:vAlign w:val="bottom"/>
          </w:tcPr>
          <w:p>
            <w:pPr>
              <w:spacing w:after="0"/>
              <w:rPr>
                <w:sz w:val="12"/>
                <w:szCs w:val="12"/>
                <w:color w:val="auto"/>
              </w:rPr>
            </w:pPr>
          </w:p>
        </w:tc>
        <w:tc>
          <w:tcPr>
            <w:tcW w:w="5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2/28/2032</w:t>
            </w:r>
          </w:p>
        </w:tc>
        <w:tc>
          <w:tcPr>
            <w:tcW w:w="0" w:type="dxa"/>
            <w:vAlign w:val="bottom"/>
          </w:tcPr>
          <w:p>
            <w:pPr>
              <w:spacing w:after="0"/>
              <w:rPr>
                <w:sz w:val="1"/>
                <w:szCs w:val="1"/>
                <w:color w:val="auto"/>
              </w:rPr>
            </w:pPr>
          </w:p>
        </w:tc>
      </w:tr>
      <w:tr>
        <w:trPr>
          <w:trHeight w:val="149"/>
        </w:trPr>
        <w:tc>
          <w:tcPr>
            <w:tcW w:w="25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4/28/2023</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24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4/28/2033</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4/28/2023</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240" w:type="dxa"/>
            <w:vAlign w:val="bottom"/>
          </w:tcPr>
          <w:p>
            <w:pPr>
              <w:spacing w:after="0"/>
              <w:rPr>
                <w:sz w:val="12"/>
                <w:szCs w:val="12"/>
                <w:color w:val="auto"/>
              </w:rPr>
            </w:pPr>
          </w:p>
        </w:tc>
        <w:tc>
          <w:tcPr>
            <w:tcW w:w="1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4/28/2033</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4/28/2023</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2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4/28/2033</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2/12/2025</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109,375</w:t>
            </w:r>
          </w:p>
        </w:tc>
        <w:tc>
          <w:tcPr>
            <w:tcW w:w="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415,625</w:t>
            </w:r>
          </w:p>
        </w:tc>
        <w:tc>
          <w:tcPr>
            <w:tcW w:w="60" w:type="dxa"/>
            <w:vAlign w:val="bottom"/>
          </w:tcPr>
          <w:p>
            <w:pPr>
              <w:spacing w:after="0"/>
              <w:rPr>
                <w:sz w:val="12"/>
                <w:szCs w:val="12"/>
                <w:color w:val="auto"/>
              </w:rPr>
            </w:pPr>
          </w:p>
        </w:tc>
        <w:tc>
          <w:tcPr>
            <w:tcW w:w="5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2/12/2035</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Francesca Barone</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12/30/2020</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30,822</w:t>
            </w:r>
          </w:p>
        </w:tc>
        <w:tc>
          <w:tcPr>
            <w:tcW w:w="24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12/30/2030</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2/3/2022</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38,333</w:t>
            </w:r>
          </w:p>
        </w:tc>
        <w:tc>
          <w:tcPr>
            <w:tcW w:w="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60" w:type="dxa"/>
            <w:vAlign w:val="bottom"/>
          </w:tcPr>
          <w:p>
            <w:pPr>
              <w:spacing w:after="0"/>
              <w:rPr>
                <w:sz w:val="12"/>
                <w:szCs w:val="12"/>
                <w:color w:val="auto"/>
              </w:rPr>
            </w:pPr>
          </w:p>
        </w:tc>
        <w:tc>
          <w:tcPr>
            <w:tcW w:w="5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2/2/2032</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2/28/2022</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34,375</w:t>
            </w:r>
          </w:p>
        </w:tc>
        <w:tc>
          <w:tcPr>
            <w:tcW w:w="24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2,292</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2/28/2032</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4/28/2023</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60" w:type="dxa"/>
            <w:vAlign w:val="bottom"/>
          </w:tcPr>
          <w:p>
            <w:pPr>
              <w:spacing w:after="0"/>
              <w:rPr>
                <w:sz w:val="12"/>
                <w:szCs w:val="12"/>
                <w:color w:val="auto"/>
              </w:rPr>
            </w:pPr>
          </w:p>
        </w:tc>
        <w:tc>
          <w:tcPr>
            <w:tcW w:w="5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4/28/2033</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2/12/2025</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23,958</w:t>
            </w:r>
          </w:p>
        </w:tc>
        <w:tc>
          <w:tcPr>
            <w:tcW w:w="24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91,042</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2/12/2035</w:t>
            </w: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Charles Schoch</w:t>
            </w: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11/30/2021</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240" w:type="dxa"/>
            <w:vAlign w:val="bottom"/>
          </w:tcPr>
          <w:p>
            <w:pPr>
              <w:spacing w:after="0"/>
              <w:rPr>
                <w:sz w:val="12"/>
                <w:szCs w:val="12"/>
                <w:color w:val="auto"/>
              </w:rPr>
            </w:pPr>
          </w:p>
        </w:tc>
        <w:tc>
          <w:tcPr>
            <w:tcW w:w="1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11/30/2031</w:t>
            </w:r>
          </w:p>
        </w:tc>
        <w:tc>
          <w:tcPr>
            <w:tcW w:w="0" w:type="dxa"/>
            <w:vAlign w:val="bottom"/>
          </w:tcPr>
          <w:p>
            <w:pPr>
              <w:spacing w:after="0"/>
              <w:rPr>
                <w:sz w:val="1"/>
                <w:szCs w:val="1"/>
                <w:color w:val="auto"/>
              </w:rPr>
            </w:pPr>
          </w:p>
        </w:tc>
      </w:tr>
      <w:tr>
        <w:trPr>
          <w:trHeight w:val="149"/>
        </w:trPr>
        <w:tc>
          <w:tcPr>
            <w:tcW w:w="25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4/28/2023</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26,332</w:t>
            </w:r>
          </w:p>
        </w:tc>
        <w:tc>
          <w:tcPr>
            <w:tcW w:w="24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13,166</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4/28/2033</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2/12/2025</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17,291</w:t>
            </w:r>
          </w:p>
        </w:tc>
        <w:tc>
          <w:tcPr>
            <w:tcW w:w="24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65,709</w:t>
            </w:r>
          </w:p>
        </w:tc>
        <w:tc>
          <w:tcPr>
            <w:tcW w:w="60" w:type="dxa"/>
            <w:vAlign w:val="bottom"/>
          </w:tcPr>
          <w:p>
            <w:pPr>
              <w:spacing w:after="0"/>
              <w:rPr>
                <w:sz w:val="12"/>
                <w:szCs w:val="12"/>
                <w:color w:val="auto"/>
              </w:rPr>
            </w:pPr>
          </w:p>
        </w:tc>
        <w:tc>
          <w:tcPr>
            <w:tcW w:w="58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2/12/2035</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6/20/2025</w:t>
            </w:r>
          </w:p>
        </w:tc>
        <w:tc>
          <w:tcPr>
            <w:tcW w:w="12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6/20/2035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right="2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each of the outstanding option and restricted stock unit, or RSU, awards in the table above was granted pursuant to our 2021 Stock Option and Grant Plan.</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February 28, 2022. The shares underlying this option vest and become exercisable in forty-eight (48) equal monthly installments following February 28, 2022, subject to the named executive officer’s continued service on each such vesting date.</w:t>
      </w:r>
    </w:p>
    <w:p>
      <w:pPr>
        <w:spacing w:after="0" w:line="53"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April 28, 2023. The shares underlying this option vest and become exercisable in forty-eight (48) equal monthly installments following April 28, 2023, subject to the named executive officer’s continued service on each such vesting date.</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February 12, 2025. The shares underlying this option vest and become exercisable in forty-eight (48) equal monthly installments following February 12, 2025, subject to the named executive officer’s continued service on each such vesting date.</w:t>
      </w:r>
    </w:p>
    <w:p>
      <w:pPr>
        <w:spacing w:after="0" w:line="53"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February 3, 2022. The shares underlying this option shall vest and become exercisable in forty-eight equal monthly installments over four years following February 3, 2022, subject to Dr. Barone’s continued service on each such vesting date.</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stock option granted on June 20, 2025. 25% of the shares underlying this option shall vest and become exercisable on the first anniversary of June 20, 2025, and the remaining shares will vest in thirty-six (36) equal monthly installments following June 20, 2026, subject to Mr. Schoch's continued employment with the Company on each such vesting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our equity compensation plans as of December 31, 2025. As of December 31, 2025, we had three equity compensation plans, our 2021 Stock Option and Incentive Plan, or 2021 Plan, and our Employee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 Purchase Plan, or ESPP, which were approved by our Board of Directors and our stockholders, and our 2025 Inducement Plan, which was approved by our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upon</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19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9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2"/>
                <w:szCs w:val="12"/>
                <w:color w:val="auto"/>
              </w:rPr>
            </w:pPr>
          </w:p>
        </w:tc>
        <w:tc>
          <w:tcPr>
            <w:tcW w:w="19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40" w:type="dxa"/>
            <w:vAlign w:val="bottom"/>
          </w:tcPr>
          <w:p>
            <w:pPr>
              <w:spacing w:after="0"/>
              <w:rPr>
                <w:sz w:val="12"/>
                <w:szCs w:val="12"/>
                <w:color w:val="auto"/>
              </w:rPr>
            </w:pPr>
          </w:p>
        </w:tc>
        <w:tc>
          <w:tcPr>
            <w:tcW w:w="19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9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 (#)</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48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 compensation plans approved by stockholders (1)</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6,246,920</w:t>
            </w:r>
          </w:p>
        </w:tc>
        <w:tc>
          <w:tcPr>
            <w:tcW w:w="2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4.21  (3)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3,354,479</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 compensation plans not approved by stockholders (2)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6,246,920</w:t>
            </w:r>
          </w:p>
        </w:tc>
        <w:tc>
          <w:tcPr>
            <w:tcW w:w="2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4,354,479</w:t>
            </w:r>
          </w:p>
        </w:tc>
        <w:tc>
          <w:tcPr>
            <w:tcW w:w="4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our 2021 Plan and our ESPP.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 our 2025 Inducement Plan.</w:t>
      </w:r>
    </w:p>
    <w:p>
      <w:pPr>
        <w:spacing w:after="0" w:line="117"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issuable upon the exercise of outstanding options under the 2021 Plan. This does not include purchase rights under the ESPP because the purchase right (and therefore the number of shares to be purchased) will not be determined until the end of the current purchase period. No RSUs were outstanding as of December 31, 2025 and are not included in the weighted average exercise price calculation.</w:t>
      </w:r>
    </w:p>
    <w:p>
      <w:pPr>
        <w:spacing w:after="0" w:line="67" w:lineRule="exact"/>
        <w:rPr>
          <w:rFonts w:ascii="Times New Roman" w:cs="Times New Roman" w:eastAsia="Times New Roman" w:hAnsi="Times New Roman"/>
          <w:sz w:val="18"/>
          <w:szCs w:val="18"/>
          <w:color w:val="auto"/>
        </w:rPr>
      </w:pPr>
    </w:p>
    <w:p>
      <w:pPr>
        <w:ind w:left="520" w:right="60" w:hanging="512"/>
        <w:spacing w:after="0" w:line="25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1,900,246 shares of our common stock have been reserved for future issuance pursuant to the 2021 Plan, which number excludes the 2,195,932 shares that were added to the plan as a result of the automatic annual increase on January 1, 2026. The 2021 Plan provides that the number of shares reserved and available for issuance under the plan will automatically increase each January 1, beginning on January 1, 2022, by 4%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will be added back to the shares of common stock available for issuance under the 2021 Plan. As of December 31, 2025, a total of 1,454,233 shares of our common stock have been reserved for issuance pursuant to the ESPP, which number excludes the 293,000 shares that were added to the plan as a result of the automatic annual increase on January 1, 2026. The ESPP provides that the number of shares reserved and available for issuance under the plan will automatically increase each January 1, beginning on January 1, 2022, by the lesser of (i) 293,000 shares of our common stock, (ii) 1% of the outstanding number of shares of our common stock on the immediately preceding December 31, or (iii) such lesser number of shares as determined by the compensation committee. This number will be subject to adjustment in the event of a stock split, stock dividend or other change in our capitalization.</w:t>
      </w:r>
    </w:p>
    <w:p>
      <w:pPr>
        <w:spacing w:after="0" w:line="89" w:lineRule="exact"/>
        <w:rPr>
          <w:rFonts w:ascii="Times New Roman" w:cs="Times New Roman" w:eastAsia="Times New Roman" w:hAnsi="Times New Roman"/>
          <w:sz w:val="18"/>
          <w:szCs w:val="18"/>
          <w:color w:val="auto"/>
        </w:rPr>
      </w:pPr>
    </w:p>
    <w:p>
      <w:pPr>
        <w:ind w:left="520" w:right="140" w:hanging="512"/>
        <w:spacing w:after="0" w:line="253"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1,000,000 shares of our common stock have been reserved for issuance pursuant to the 2025 Inducement Plan.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the 2025 Inducement Plan will be added back to the shares of common stock available for issuance under the 2025 Inducement Plan. The 2025 Inducement Plan was adopted by the Board of Directors without stockholder approval pursuant to Rule 5635(c)(4) of the Nasdaq Listing Rules. In accordance with Rule 5635(c)(4) of the Nasdaq Listing Rules, awards under the 2025 Inducement Plan may only be made to a newly hired employee who has not previously been an employee or director of the Company or any subsidiary, or following a bona fide period of non-employment by the Company or subsidiary, if that individual is granted such award in connection with their commencement of employment with the Company or a subsidiary and such grant is an inducement material to their entering into employment with the Company or such subsidiary.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2024 to which we were or will be a party, in which:</w:t>
      </w:r>
    </w:p>
    <w:p>
      <w:pPr>
        <w:spacing w:after="0" w:line="117" w:lineRule="exact"/>
        <w:rPr>
          <w:sz w:val="20"/>
          <w:szCs w:val="20"/>
          <w:color w:val="auto"/>
        </w:rPr>
      </w:pPr>
    </w:p>
    <w:p>
      <w:pPr>
        <w:ind w:left="1020" w:right="7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$120,000 (or, if less, 1% of the average of our total assets amount at December 31, 2025 and 2024);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 of five percent or more of any class of our capital stock, including their immediate family members or affiliated entities, had or will have a direct or indirect material interest.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Compensation arrangements for our named executive officers and our non-employee directors are described elsewhere in this proxy statement under “Non-Employee Director Compensation” and “Executive Compensation.” All amounts are in thousands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our December 2024 Follow-On Offering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2024, we issued and sold 12,000,001 shares of common stock at a price to the public of $6.00 per share and pre-funded warrants to purchase up to an aggregate of 3,333,333 shares of common stock at a price to the public of $5.99 per pre-funded warrant to purchase one share of the common stock for aggregate gross proceeds of approximately $92.0 million in a public follow-on offering. We received approximately $85.9 million in net proceeds from the 2024 follow-on offering after deducting underwriting discounts and commissions and offering expenses.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Certain of our directors, 5% stockholders and their affiliates purchased shares of our common stock in our 2024 follow-on offering at a purchase price of $6.00. The following table sets forth the number of shares of our common stock purchased by directors, 5% stockholders and their affiliates and the aggregate purchase price paid for such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20" w:type="dxa"/>
            <w:vAlign w:val="bottom"/>
          </w:tcPr>
          <w:p>
            <w:pPr>
              <w:spacing w:after="0"/>
              <w:rPr>
                <w:sz w:val="22"/>
                <w:szCs w:val="22"/>
                <w:color w:val="auto"/>
              </w:rPr>
            </w:pPr>
          </w:p>
        </w:tc>
      </w:tr>
      <w:tr>
        <w:trPr>
          <w:trHeight w:val="203"/>
        </w:trPr>
        <w:tc>
          <w:tcPr>
            <w:tcW w:w="508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Baker Bros. Advisors LP (1)</w:t>
            </w:r>
          </w:p>
        </w:tc>
        <w:tc>
          <w:tcPr>
            <w:tcW w:w="3260" w:type="dxa"/>
            <w:vAlign w:val="bottom"/>
            <w:tcBorders>
              <w:top w:val="single" w:sz="8" w:color="CFF0FC"/>
            </w:tcBorders>
            <w:gridSpan w:val="3"/>
            <w:shd w:val="clear" w:color="auto" w:fill="CFF0FC"/>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3,333,333</w:t>
            </w:r>
          </w:p>
        </w:tc>
        <w:tc>
          <w:tcPr>
            <w:tcW w:w="1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CFF0FC"/>
            </w:tcBorders>
            <w:gridSpan w:val="2"/>
            <w:shd w:val="clear" w:color="auto" w:fill="CFF0FC"/>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19,999,998.00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CVI Investments, Inc. (2)</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14,100,000.00</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Paul B. Manning (3)</w:t>
            </w:r>
          </w:p>
        </w:tc>
        <w:tc>
          <w:tcPr>
            <w:tcW w:w="3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1,250,000</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7,500,000.00</w:t>
            </w:r>
          </w:p>
        </w:tc>
      </w:tr>
    </w:tbl>
    <w:p>
      <w:pPr>
        <w:spacing w:after="0" w:line="265" w:lineRule="exact"/>
        <w:rPr>
          <w:sz w:val="20"/>
          <w:szCs w:val="20"/>
          <w:color w:val="auto"/>
        </w:rPr>
      </w:pPr>
    </w:p>
    <w:p>
      <w:pPr>
        <w:ind w:left="380" w:right="160" w:hanging="372"/>
        <w:spacing w:after="0" w:line="261"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Bros. Advisors LP, together with its affiliates (“Baker Bros.”), became a holder of greater than 5% of the Company’s outstanding common stock as a result of the 2024 follow-on offering. As of March 31, 2025, Baker Bros. no longer held more than 5% of our total outstanding shares of common stock, based solely on the Schedule 13G/A filed with the SEC on May 15, 2025 by Baker Bros., Baker Bros. Advisors (GP) LLC, Julian C. Baker and Felix J. Baker.</w:t>
      </w:r>
    </w:p>
    <w:p>
      <w:pPr>
        <w:spacing w:after="0" w:line="44"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CVI Investments, Inc., together with its affiliates (“CVI”), became a holder of greater than 5% of the Company’s outstanding common stock as a result of the 2024 follow-on offering. As of December 31, 2024, CVI no longer held more than 5% of our total outstanding shares of common stock, based solely on the Schedule 13G/A filed with the SEC on February 7, 2025 by CVI and Heights Capital Management, Inc.</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Manning is a member of our board of directors and beneficially owns five percent or more of our outstanding capital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our June 2025 Registered Direct Offering</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June 2025, we issued and sold 3,221,395 shares of common stock at a price per share of $4.67 to purchasers including existing healthcare-focused institutional investors, executive officers, and directors of the Company in a registered direct offering for aggregate gross proceeds of approximately $15.0 million, before deducting offering expenses payable by us. We received approximately $14.3 million in net proceeds from the registered direct offering after deducting offering expenses.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our directors, executive officers, 5% stockholders and their affiliates purchased shares of our common stock in our registered direct offering at a purchase price of $4.67. The following table sets forth the number of shares of our common stock purchased by directors, executive officers, 5% stockholders and their affiliates and the aggregate purchase price paid for such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20" w:type="dxa"/>
            <w:vAlign w:val="bottom"/>
          </w:tcPr>
          <w:p>
            <w:pPr>
              <w:spacing w:after="0"/>
              <w:rPr>
                <w:sz w:val="22"/>
                <w:szCs w:val="22"/>
                <w:color w:val="auto"/>
              </w:rPr>
            </w:pPr>
          </w:p>
        </w:tc>
      </w:tr>
      <w:tr>
        <w:trPr>
          <w:trHeight w:val="203"/>
        </w:trPr>
        <w:tc>
          <w:tcPr>
            <w:tcW w:w="508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Fidelity (1)</w:t>
            </w:r>
          </w:p>
        </w:tc>
        <w:tc>
          <w:tcPr>
            <w:tcW w:w="3260" w:type="dxa"/>
            <w:vAlign w:val="bottom"/>
            <w:tcBorders>
              <w:top w:val="single" w:sz="8" w:color="CFF0FC"/>
            </w:tcBorders>
            <w:gridSpan w:val="3"/>
            <w:shd w:val="clear" w:color="auto" w:fill="CFF0FC"/>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621,834</w:t>
            </w:r>
          </w:p>
        </w:tc>
        <w:tc>
          <w:tcPr>
            <w:tcW w:w="1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CFF0FC"/>
            </w:tcBorders>
            <w:gridSpan w:val="2"/>
            <w:shd w:val="clear" w:color="auto" w:fill="CFF0FC"/>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2,903,964.78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Paul B. Manning Revocable Trust dated May 10, 2000 (2)</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1,070,663</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4,999,996.21</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Arianna Martell (3)</w:t>
            </w:r>
          </w:p>
        </w:tc>
        <w:tc>
          <w:tcPr>
            <w:tcW w:w="3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111,349</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519,999.83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Paul Peter Tak, M.D., Ph.D., FMedSci (4)</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42,826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199,997.42</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C. Papa Revocable Living Trust (5)</w:t>
            </w:r>
          </w:p>
        </w:tc>
        <w:tc>
          <w:tcPr>
            <w:tcW w:w="3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64,239</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299,996.13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Gary J. Nabel, M.D., Ph.D. (6)</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5,353</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24,998.51</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Nicoletta Loggia, Ph.D., R.Ph. (7)</w:t>
            </w:r>
          </w:p>
        </w:tc>
        <w:tc>
          <w:tcPr>
            <w:tcW w:w="3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9,998.47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Francesca Barone, M.D., Ph.D. (8)</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4,282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19,996.94</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 Schoch (9)</w:t>
            </w:r>
          </w:p>
        </w:tc>
        <w:tc>
          <w:tcPr>
            <w:tcW w:w="3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5,353</w:t>
            </w:r>
          </w:p>
        </w:tc>
        <w:tc>
          <w:tcPr>
            <w:tcW w:w="4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24,998.51</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Seshu Tyagarajan, Ph.D., RAC (10)</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5,353</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24,998.51</w:t>
            </w:r>
          </w:p>
        </w:tc>
      </w:tr>
    </w:tbl>
    <w:p>
      <w:pPr>
        <w:spacing w:after="0" w:line="31"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Fidelity beneficially own five percent or more of our outstanding capital stock.</w:t>
      </w:r>
    </w:p>
    <w:p>
      <w:pPr>
        <w:spacing w:after="0" w:line="9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Manning is a member of our board of directors and beneficially owns five percent or more of our outstanding capital stock.</w:t>
      </w:r>
    </w:p>
    <w:p>
      <w:pPr>
        <w:spacing w:after="0" w:line="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Martell is an immediate family member of Christopher Martell, a member of our board of directors.</w:t>
      </w:r>
    </w:p>
    <w:p>
      <w:pPr>
        <w:spacing w:after="0" w:line="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Tak is our chief executive officer and a member of our board of directors.</w:t>
      </w:r>
    </w:p>
    <w:p>
      <w:pPr>
        <w:spacing w:after="0" w:line="9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Papa is a member of our board of directors.</w:t>
      </w:r>
    </w:p>
    <w:p>
      <w:pPr>
        <w:spacing w:after="0" w:line="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Nabel is a member of our board of directors.</w:t>
      </w:r>
    </w:p>
    <w:p>
      <w:pPr>
        <w:spacing w:after="0" w:line="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Loggia is a member of our board of directors.</w:t>
      </w:r>
    </w:p>
    <w:p>
      <w:pPr>
        <w:spacing w:after="0" w:line="9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Barone is our chief scientific officer.</w:t>
      </w:r>
    </w:p>
    <w:p>
      <w:pPr>
        <w:spacing w:after="0" w:line="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Schoch is our chief financial officer.</w:t>
      </w:r>
    </w:p>
    <w:p>
      <w:pPr>
        <w:spacing w:after="0" w:line="76"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Tyagarajan is our chief technical and development officer.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our February 2026 Follow-On Offering</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February 2026, we issued and sold 18,348,624 shares of common stock at a price to the public of $5.45 per share for aggregate gross proceeds of approximately $100 million in a public follow-on offering. We received approximately $93.5 million in net proceeds from the 2026 follow-on offering after deducting underwriting discounts and commissions and offering expenses.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Certain of our directors, 5% stockholders and their affiliates purchased shares of our common stock in our 2026 follow-on offering at a purchase price of $5.45. The following table sets forth the number of shares of our common stock purchased by directors, 5% stockholders and their affiliates and the aggregate purchase price paid for such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20" w:type="dxa"/>
            <w:vAlign w:val="bottom"/>
          </w:tcPr>
          <w:p>
            <w:pPr>
              <w:spacing w:after="0"/>
              <w:rPr>
                <w:sz w:val="22"/>
                <w:szCs w:val="22"/>
                <w:color w:val="auto"/>
              </w:rPr>
            </w:pPr>
          </w:p>
        </w:tc>
      </w:tr>
      <w:tr>
        <w:trPr>
          <w:trHeight w:val="203"/>
        </w:trPr>
        <w:tc>
          <w:tcPr>
            <w:tcW w:w="508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Fidelity (1)</w:t>
            </w:r>
          </w:p>
        </w:tc>
        <w:tc>
          <w:tcPr>
            <w:tcW w:w="3260" w:type="dxa"/>
            <w:vAlign w:val="bottom"/>
            <w:tcBorders>
              <w:top w:val="single" w:sz="8" w:color="CFF0FC"/>
            </w:tcBorders>
            <w:gridSpan w:val="3"/>
            <w:shd w:val="clear" w:color="auto" w:fill="CFF0FC"/>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2,752,293</w:t>
            </w:r>
          </w:p>
        </w:tc>
        <w:tc>
          <w:tcPr>
            <w:tcW w:w="1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CFF0FC"/>
            </w:tcBorders>
            <w:gridSpan w:val="2"/>
            <w:shd w:val="clear" w:color="auto" w:fill="CFF0FC"/>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14,999,996.85</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Paul B. Manning Revocable Trust dated May 10, 2000 (2)</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550,458</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2,999,996.10</w:t>
            </w:r>
          </w:p>
        </w:tc>
      </w:tr>
    </w:tbl>
    <w:p>
      <w:pPr>
        <w:spacing w:after="0" w:line="31"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Fidelity beneficially own five percent or more of our outstanding capital stock.</w:t>
      </w:r>
    </w:p>
    <w:p>
      <w:pPr>
        <w:spacing w:after="0" w:line="7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Manning is a member of our board of directors and beneficially owns five percent or more of our outstanding capital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connection with our Series C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initial public offering in July 2021, except for the amended and restated investors’ rights agreement and the registration rights granted thereunder, as more fully described in our Description of Securities, filed as Exhibit 4.2 to the Annual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See “Executive Compensation – Employment Arrangements and Severance Agreements with our Named Executive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granted stock options and RSUs to certain of our executive officers and members of our board of directors. See “Executive Compensation” and “Non-employee Director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in July 2021, we entered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5% or more of our voting securities and their affiliates, each a related party.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in July 2021, our board of directors adopted a written related party transactions policy that provides that such transactions must be approved by our audit committee. This policy became effective on the date on which the registration statement related to our initial public offering was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capital stock outstanding as of April 24, 2026 for:</w:t>
      </w:r>
    </w:p>
    <w:p>
      <w:pPr>
        <w:spacing w:after="0" w:line="117" w:lineRule="exact"/>
        <w:rPr>
          <w:sz w:val="20"/>
          <w:szCs w:val="20"/>
          <w:color w:val="auto"/>
        </w:rPr>
      </w:pPr>
    </w:p>
    <w:p>
      <w:pPr>
        <w:ind w:left="1020" w:right="4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the beneficial owner of five percent or more of our outstanding common stock, based solely on the information reported by such persons in their most recent Form 4, Schedule 13D and Schedule 13G filings with the SEC unless otherwise specified herein;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April 24, 2026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Candel Therapeutics, Inc., 117 Kendrick St, Suite 450, Needham, Massachusetts 02494.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beneficial ownership in the table below is based on 73,270,239 shares of common stock deemed to be outstanding as of April 24,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ind w:left="3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5"/>
                <w:szCs w:val="15"/>
                <w:color w:val="auto"/>
              </w:rPr>
            </w:pPr>
          </w:p>
        </w:tc>
        <w:tc>
          <w:tcPr>
            <w:tcW w:w="36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0" w:type="dxa"/>
            <w:vAlign w:val="bottom"/>
          </w:tcPr>
          <w:p>
            <w:pPr>
              <w:spacing w:after="0"/>
              <w:rPr>
                <w:sz w:val="1"/>
                <w:szCs w:val="1"/>
                <w:color w:val="auto"/>
              </w:rPr>
            </w:pPr>
          </w:p>
        </w:tc>
      </w:tr>
      <w:tr>
        <w:trPr>
          <w:trHeight w:val="142"/>
        </w:trPr>
        <w:tc>
          <w:tcPr>
            <w:tcW w:w="75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Fidelity (1)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9,692,848</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Estuardo Aguilar-Cordova, M.D., inf., Ph.D. (2)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4,431,832</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K. Aguilar (2)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4,431,832</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Peter Tak, M.D., Ph.D. FMedSci (3)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2,536,200</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B. Manning (4)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7,006,015</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 Benz, Jr., M.D. (5)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Renee Gaeta (6)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Nicoletta Loggia, Ph.D., R.Ph. (7)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Martell (8)</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919,885</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J. Nabel, M.D., Ph.D. (9)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Diem Nguyen, Ph.D. M.B.A. (10)</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C. Papa, R.Ph., M.B.A. (11)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Maha Radhakrishnan, M.D. (12)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Francesca Barone, M.D., Ph.D. (13)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335,339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 Garrett Nichols, M.D., M.S. (14)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207,848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Schoch (15)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Seshu Tyagarajan, Ph.D., RAC (16)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294,739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(14 persons) (17)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12,073,318</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7" w:lineRule="exact"/>
        <w:rPr>
          <w:sz w:val="20"/>
          <w:szCs w:val="20"/>
          <w:color w:val="auto"/>
        </w:rPr>
      </w:pPr>
    </w:p>
    <w:p>
      <w:pPr>
        <w:ind w:left="520" w:right="80" w:hanging="512"/>
        <w:spacing w:after="0" w:line="253"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in part on the Schedule 13G/A filed with the SEC on February 7, 2025 by FMR LLC and Abigail P. Johnson and on the Company’s knowledge from its records. Consists of 9,692,848 shares of common stock held by FMR LLC. All of the shares of common stock are beneficially owned, or may be deemed to be beneficially owned, by FMR LLC, certain of its subsidiaries and affiliates, and other companies. Members of the Johnson family, including Abigail P. Johnson, are the predominant owners, directly or through trusts, of Series B voting common shares of FMR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color w:val="auto"/>
        </w:rPr>
        <w:t>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each of the entities and individuals identified in this footnote is c/o FMR LLC, 245 Summer Street, Boston, MA 02210.</w:t>
      </w:r>
    </w:p>
    <w:p>
      <w:pPr>
        <w:spacing w:after="0" w:line="3" w:lineRule="exact"/>
        <w:rPr>
          <w:sz w:val="20"/>
          <w:szCs w:val="20"/>
          <w:color w:val="auto"/>
        </w:rPr>
      </w:pPr>
    </w:p>
    <w:p>
      <w:pPr>
        <w:ind w:left="520" w:right="20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the Form 4 filed with the SEC on February 25, 2025 by Estuardo Aguilar-Cordova and Laura K. Aguilar. Consists of (i) 162,929 shares of common stock held solely by Estuardo Aguilar-Cordova, (ii) 60,000 shares of common stock held jointly by Estuardo Aguilar-Cordova and his spouse, Laura K. Aguilar, M.D., Ph.D., (iii) 2,074,942 shares of common stock held for the benefit of Estuardo Aguilar-Cordova by the Estuardo Aguilar-Cordova 2020 Irrevocable Trust, (iii) 120,861 shares of common stock held for the benefit of Laura K. Aguilar by the LKA 2022 Revocable Trust, and (iv) 2,013,100 shares of common stock held for the benefit of Laura K. Aguilar by the Laura K. Aguilar 2020 Irrevocable Trust. Estuardo Aguilar-Cordova shares voting and investment power over the securities held by Laura K. Aguilar. Estuardo Aguilar-Cordova’s term as a director of the Company expired at our 2024 annual meeting of stockholders held on June 26, 2024.</w:t>
      </w:r>
    </w:p>
    <w:p>
      <w:pPr>
        <w:spacing w:after="0" w:line="2" w:lineRule="exact"/>
        <w:rPr>
          <w:rFonts w:ascii="Times New Roman" w:cs="Times New Roman" w:eastAsia="Times New Roman" w:hAnsi="Times New Roman"/>
          <w:sz w:val="18"/>
          <w:szCs w:val="18"/>
          <w:color w:val="auto"/>
        </w:rPr>
      </w:pPr>
    </w:p>
    <w:p>
      <w:pPr>
        <w:ind w:left="520" w:right="36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268,566 shares of common stock and 2,267,634 shares of common stock issuable upon the exercise of options exercisable within 60 days after April 24, 2026.</w:t>
      </w:r>
    </w:p>
    <w:p>
      <w:pPr>
        <w:ind w:left="52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in part on the Schedule 13D/A filed with the SEC on March 18, 2026 by Paul B. Manning, The Paul B. Manning Revocable Trust dated May 10, 2000 and BKB Growth Investments, LLC. Consists of (i) 1,681,000 shares of common stock held by Paul and Diane Manning, JTWROS; (ii) 2,763,527 shares of common stock held by The Paul B. Manning Revocable Trust dated May 10, 2000; (iii) 1,303,752 shares of common stock held by BKB Growth Investments, LLC, (iv) 642,406 shares of common stock issuable upon the exercise of a warrant within 60 days of December 31, 2021 held by The Paul B. Manning Revocable Trust dated May 10, 2000; (v) 553,752 shares of common stock issuable upon the exercise of a warrant within 60 days of December 31, 2021 held by BKB Growth Investments, LLC, and (vi) 61,578 shares of common stock issuable upon the exercise of options exercisable within 60 days after April 24, 2026. Mr. Manning is co-manager of Tiger Lily Capital, LLC, which is manager of BKB Growth Investments, LLC. Mr. Manning shares voting and disposition power over the shares owned by BKB Growth Investments, LLC with Bradford Manning, the other co-manager.</w:t>
      </w:r>
    </w:p>
    <w:p>
      <w:pPr>
        <w:spacing w:after="0" w:line="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126,124 shares of common stock issuable upon the exercise of options exercisable within 60 days after April 24, 2026.</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71,200 shares of common stock issuable upon the exercise of options exercisable within 60 days after April 24, 2026.</w:t>
      </w:r>
    </w:p>
    <w:p>
      <w:pPr>
        <w:spacing w:after="0" w:line="9"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2,141 shares of common stock and 57,739 shares of common stock issuable upon the exercise of options exercisable within 60 days after April 24, 2026.</w:t>
      </w:r>
    </w:p>
    <w:p>
      <w:pPr>
        <w:ind w:left="520" w:right="200" w:hanging="512"/>
        <w:spacing w:after="0" w:line="265" w:lineRule="auto"/>
        <w:tabs>
          <w:tab w:leader="none" w:pos="5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89,508 shares of common stock issuable upon the exercise of options exercisable within 60 days after April 24, 2026, (ii) 283,514 shares of common stock held by GTAM1 2012 ADV LLC, of which Mr. Martell serves as Manager, (iii) 283,514 warrants held by GTAM1 2012 Trust, of which Mr. Martell serves as trustee but is not a beneficiary, (iv) 111,349 shares of common stock held by spouse of Mr. Martell, and (v) 152,000 shares of common stock held by GTAM1 2012 LLC. Mr. Martell disclaims beneficial ownership over all of these interests, except for his beneficial ownership in the 89,508 shares of common stock issuable upon the exercise of options exercisable within 60 days after April 24, 2026.</w:t>
      </w:r>
    </w:p>
    <w:p>
      <w:pPr>
        <w:ind w:left="520" w:right="2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5,353 shares of common stock and 71,200 shares of common stock issuable upon the exercise of options exercisable within 60 days after April 24, 2026.</w:t>
      </w:r>
    </w:p>
    <w:p>
      <w:pPr>
        <w:ind w:left="520" w:right="30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 shares of common stock and 85,440 shares of common stock issuable upon the exercise of options exercisable within 60 days after April 24, 2026.</w:t>
      </w:r>
    </w:p>
    <w:p>
      <w:pPr>
        <w:ind w:left="520" w:right="20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102,271 shares of common stock and 73,995 shares of common stock issuable upon the exercise of options exercisable within 60 days after April 24, 2026.</w:t>
      </w: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9,493 shares of common stock issuable upon the exercise of options exercisable within 60 days after April 24, 2026.</w:t>
      </w:r>
    </w:p>
    <w:p>
      <w:pPr>
        <w:spacing w:after="0" w:line="9"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100,809 shares of common stock and 234,530 shares of common stock issuable upon the exercise of options exercisable within 60 days after April 24, 2026.</w:t>
      </w:r>
    </w:p>
    <w:p>
      <w:pPr>
        <w:ind w:left="520" w:right="20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52,493 shares of common stock and 155,355 shares of common stock issuable upon the exercise of options exercisable within 60 days after April 24, 2026.</w:t>
      </w:r>
    </w:p>
    <w:p>
      <w:pPr>
        <w:ind w:left="520" w:right="20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43,391 shares of common stock and 114,945 shares of common stock issuable upon the exercise of options exercisable within 60 days after April 24, 2026.</w:t>
      </w:r>
    </w:p>
    <w:p>
      <w:pPr>
        <w:ind w:left="520" w:right="200" w:hanging="512"/>
        <w:spacing w:after="0" w:line="250"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90,865 shares of common stock and 203,874 shares of common stock issuable upon the exercise of options exercisable within 60 days after April 24, 2026.</w:t>
      </w:r>
    </w:p>
    <w:p>
      <w:pPr>
        <w:ind w:left="520" w:right="120" w:hanging="512"/>
        <w:spacing w:after="0" w:line="255"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6,971,031 shares of common stock, (ii) options to purchase 3,622,615 shares of common stock exercisable within 60 days of April 24, 2026, and (iii) warrants to purchase 1,479,672 shares of common stock exercisable within 60 days of April 24, 2026 held by fourteen executive officers and directors.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integrity of Candel’s financial statements and financial reporting process and systems of internal controls regarding finance, accounting, and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legal and regulatory requirements, (2) the qualifications, independence, and performance of Candel’s independent registered public accounting firm,</w:t>
      </w:r>
    </w:p>
    <w:p>
      <w:pPr>
        <w:spacing w:after="0" w:line="9" w:lineRule="exact"/>
        <w:rPr>
          <w:sz w:val="20"/>
          <w:szCs w:val="20"/>
          <w:color w:val="auto"/>
        </w:rPr>
      </w:pPr>
    </w:p>
    <w:p>
      <w:pPr>
        <w:ind w:firstLine="8"/>
        <w:spacing w:after="0" w:line="26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Candel’s internal audit function, if any, and (4) other matters as set forth in the charter of the audit committee approved by the board of directors.</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Candel’s consolidated financial statements and the financial reporting process, including its system of internal control over financial reporting and its disclosure controls and procedures. The independent registered public accounting firm is responsible for performing an audit of Candel’s financial statements in accordance with the standards of the Public Company Accounting Oversight Board (PCAOB) and issuing a report thereon. The audit committee’s responsibility is to monitor and oversee these processes.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consolidated financial statements of Candel for the fiscal year ended December 31, 2025.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In addition, the audit committee received written communications from the independent registered public accounting firm confirming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independence as required by the applicable requirements of the PCAOB and has discussed with the independent registered public accounting firm their independence.</w:t>
      </w:r>
    </w:p>
    <w:p>
      <w:pPr>
        <w:spacing w:after="0" w:line="18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Based on the reviews and discussions referred to above, the audit committee recommended to the board of directors that the audited consolidated financial statements of Candel be included in Candel’s Annual Report on Form 10-K for the year ended December 31, 2025,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DIRECTORS OF CANDEL THERAPEUTICS, INC.</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Renee Gaeta, Chairperson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Nicoletta Loggia, Ph.D., R.Ph.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Maha Radhakrishnan, M.D.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2025 Annual Report and proxy statement, may have been sent to multiple stockholders in your household. We will promptly deliver a separate copy of either document to you upon written or oral request to Candel Therapeutics, Inc., 117 Kendrick St, Suite 450, Needham, MA 02494, Attention: Corporate Secretary, telephone: (617) 916-5445.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30,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The SEC rules set standards for eligibility and specify the types of stockholder proposals that may be excluded from a proxy statement. Stockholder proposals should be addressed to Candel Therapeutics, Inc., 117 Kendrick St, Suite 450, Needham, MA 02494, Attention: Corporate Secretary.</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must also provide notice that sets forth the additional information required by Rule 14a-19 under the Securities Exchange Act of 1934 no later than March 25, 2027.</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23, 2027 and no later than March 25, 2027. Stockholder proposals and the required notice should be addressed to Candel Therapeutics, Inc., 117 Kendrick St, Suite 450, Needham, MA 02494, Attention: Corporate Secretary.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577215</wp:posOffset>
            </wp:positionV>
            <wp:extent cx="7157720" cy="8508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850836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83623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836231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3"/>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2"/>
    </w:lvl>
  </w:abstractNum>
  <w:abstractNum w:abstractNumId="30">
    <w:nsid w:val="7C3DBD3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2026-04-29T15:58:11Z</dcterms:created>
  <dcterms:modified xsi:type="dcterms:W3CDTF">2026-04-29T15:58:11Z</dcterms:modified>
</cp:coreProperties>
</file>