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20" w:hanging="3652"/>
        <w:spacing w:after="0" w:line="312"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2780" w:right="1540" w:hanging="2772"/>
        <w:spacing w:after="0" w:line="320"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CANDEL THERAPEUTICS,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p>
      <w:pPr>
        <w:spacing w:after="0" w:line="171"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Delaware</w:t>
      </w:r>
    </w:p>
    <w:p>
      <w:pPr>
        <w:spacing w:after="0" w:line="10"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52-2214851</w:t>
      </w:r>
    </w:p>
    <w:p>
      <w:pPr>
        <w:spacing w:after="0" w:line="12"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43" w:lineRule="exact"/>
        <w:rPr>
          <w:sz w:val="24"/>
          <w:szCs w:val="24"/>
          <w:color w:val="auto"/>
        </w:rPr>
      </w:pPr>
    </w:p>
    <w:p>
      <w:pPr>
        <w:sectPr>
          <w:pgSz w:w="11900" w:h="16838" w:orient="portrait"/>
          <w:cols w:equalWidth="0" w:num="2">
            <w:col w:w="7180" w:space="720"/>
            <w:col w:w="3340"/>
          </w:cols>
          <w:pgMar w:left="320" w:top="1230" w:right="339" w:bottom="1440" w:gutter="0" w:footer="0" w:header="0"/>
          <w:type w:val="continuous"/>
        </w:sectPr>
      </w:pPr>
    </w:p>
    <w:p>
      <w:pPr>
        <w:ind w:left="1800"/>
        <w:spacing w:after="0"/>
        <w:rPr>
          <w:sz w:val="20"/>
          <w:szCs w:val="20"/>
          <w:color w:val="auto"/>
        </w:rPr>
      </w:pPr>
      <w:r>
        <w:rPr>
          <w:rFonts w:ascii="Arial" w:cs="Arial" w:eastAsia="Arial" w:hAnsi="Arial"/>
          <w:sz w:val="16"/>
          <w:szCs w:val="16"/>
          <w:b w:val="1"/>
          <w:bCs w:val="1"/>
          <w:color w:val="auto"/>
        </w:rPr>
        <w:t>117 Kendrick St, Suite 450</w:t>
      </w:r>
    </w:p>
    <w:p>
      <w:pPr>
        <w:spacing w:after="0" w:line="18"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6"/>
          <w:szCs w:val="16"/>
          <w:b w:val="1"/>
          <w:bCs w:val="1"/>
          <w:color w:val="auto"/>
        </w:rPr>
        <w:t>Needham, MA</w:t>
      </w:r>
      <w:r>
        <w:rPr>
          <w:sz w:val="20"/>
          <w:szCs w:val="20"/>
          <w:color w:val="auto"/>
        </w:rPr>
        <w:tab/>
      </w:r>
      <w:r>
        <w:rPr>
          <w:rFonts w:ascii="Arial" w:cs="Arial" w:eastAsia="Arial" w:hAnsi="Arial"/>
          <w:sz w:val="16"/>
          <w:szCs w:val="16"/>
          <w:b w:val="1"/>
          <w:bCs w:val="1"/>
          <w:color w:val="auto"/>
        </w:rPr>
        <w:t>02494</w:t>
      </w: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45"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CADL</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2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4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5140" w:type="dxa"/>
            <w:vAlign w:val="bottom"/>
          </w:tcPr>
          <w:p>
            <w:pPr>
              <w:ind w:left="288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2025, the registrant had 50,102,679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74" w:lineRule="exact"/>
        <w:rPr>
          <w:sz w:val="20"/>
          <w:szCs w:val="20"/>
          <w:color w:val="auto"/>
        </w:rPr>
      </w:pPr>
    </w:p>
    <w:p>
      <w:pPr>
        <w:ind w:left="1020" w:right="4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(international non-proprietary name: aglatimagene besadenovec) and CAN-3110 and any other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14" w:lineRule="exact"/>
        <w:rPr>
          <w:rFonts w:ascii="Times New Roman" w:cs="Times New Roman" w:eastAsia="Times New Roman" w:hAnsi="Times New Roman"/>
          <w:sz w:val="17"/>
          <w:szCs w:val="17"/>
          <w:color w:val="auto"/>
        </w:rPr>
      </w:pPr>
    </w:p>
    <w:p>
      <w:pPr>
        <w:ind w:left="1020" w:right="7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114"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II, Item 1A - Risk Factors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6" w:right="4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4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8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will need to raise substantial additional funding. If we are unable to raise capital when needed, we would be forced to delay, reduce or eliminate some of our product development programs or commercialization efforts or initiate steps to cease operations.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(SPA)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36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ongoing geopolitical conflicts, or trade wars or other trade restrictions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ind w:left="503" w:hanging="503"/>
        <w:spacing w:after="0" w:line="243"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869950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6"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NOTE REGARDING COMPANY REFERENCES</w:t>
      </w:r>
    </w:p>
    <w:p>
      <w:pPr>
        <w:spacing w:after="0" w:line="195"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Unless the context otherwise requires, the terms “Candel Therapeutics,” “the Company,” “we,” “us,” and “our” in this Form 10-Q refer to Candel Therapeutics, Inc. and its consolidated subsidiary.</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REGARDING TRADEMARKS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9"/>
            <w:vMerge w:val="restart"/>
          </w:tcPr>
          <w:p>
            <w:pPr>
              <w:ind w:left="80"/>
              <w:spacing w:after="0" w:line="202" w:lineRule="exact"/>
              <w:rPr>
                <w:sz w:val="20"/>
                <w:szCs w:val="20"/>
                <w:color w:val="auto"/>
              </w:rPr>
            </w:pPr>
            <w:r>
              <w:rPr>
                <w:rFonts w:ascii="Arial" w:cs="Arial" w:eastAsia="Arial" w:hAnsi="Arial"/>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11"/>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98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Operations and Comprehensive Income (Loss) (Unaudited)</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12"/>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940" w:type="dxa"/>
            <w:vAlign w:val="bottom"/>
            <w:gridSpan w:val="19"/>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 (Unaudited)</w:t>
            </w:r>
          </w:p>
        </w:tc>
        <w:tc>
          <w:tcPr>
            <w:tcW w:w="1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22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4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Cash Flows (Unaudited)</w:t>
            </w:r>
          </w:p>
        </w:tc>
        <w:tc>
          <w:tcPr>
            <w:tcW w:w="1240" w:type="dxa"/>
            <w:vAlign w:val="bottom"/>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3820" w:type="dxa"/>
            <w:vAlign w:val="bottom"/>
            <w:gridSpan w:val="4"/>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5480" w:type="dxa"/>
            <w:vAlign w:val="bottom"/>
            <w:gridSpan w:val="1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82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2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7080" w:type="dxa"/>
            <w:vAlign w:val="bottom"/>
            <w:gridSpan w:val="1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80" w:type="dxa"/>
            <w:vAlign w:val="bottom"/>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2"/>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3"/>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4"/>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vMerge w:val="continue"/>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28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840" w:type="dxa"/>
            <w:vAlign w:val="bottom"/>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76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540" w:type="dxa"/>
            <w:vAlign w:val="bottom"/>
            <w:gridSpan w:val="10"/>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1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631"/>
              <w:spacing w:after="0"/>
              <w:rPr>
                <w:sz w:val="20"/>
                <w:szCs w:val="20"/>
                <w:color w:val="auto"/>
              </w:rPr>
            </w:pPr>
            <w:r>
              <w:rPr>
                <w:rFonts w:ascii="Arial" w:cs="Arial" w:eastAsia="Arial" w:hAnsi="Arial"/>
                <w:sz w:val="14"/>
                <w:szCs w:val="14"/>
                <w:b w:val="1"/>
                <w:bCs w:val="1"/>
                <w:color w:val="auto"/>
              </w:rPr>
              <w:t>2024</w:t>
            </w:r>
          </w:p>
        </w:tc>
      </w:tr>
      <w:tr>
        <w:trPr>
          <w:trHeight w:val="171"/>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96"/>
        </w:trPr>
        <w:tc>
          <w:tcPr>
            <w:tcW w:w="75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92,165</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102,654</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983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1,150</w:t>
            </w:r>
          </w:p>
        </w:tc>
      </w:tr>
      <w:tr>
        <w:trPr>
          <w:trHeight w:val="196"/>
        </w:trPr>
        <w:tc>
          <w:tcPr>
            <w:tcW w:w="758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93,148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103,804</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Fixed assets, net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1,965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2,191</w:t>
            </w: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right of use assets</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468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542</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266</w:t>
            </w: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58</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63</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assets</w:t>
            </w:r>
          </w:p>
        </w:tc>
        <w:tc>
          <w:tcPr>
            <w:tcW w:w="4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95,905</w:t>
            </w: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106,866</w:t>
            </w:r>
          </w:p>
        </w:tc>
      </w:tr>
      <w:tr>
        <w:trPr>
          <w:trHeight w:val="20"/>
        </w:trPr>
        <w:tc>
          <w:tcPr>
            <w:tcW w:w="7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5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760</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237</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2,720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5,113</w:t>
            </w: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Current portion of term loan payable to a bank</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9,172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9,895</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Current portion of lease liability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580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566</w:t>
            </w:r>
          </w:p>
        </w:tc>
      </w:tr>
      <w:tr>
        <w:trPr>
          <w:trHeight w:val="203"/>
        </w:trPr>
        <w:tc>
          <w:tcPr>
            <w:tcW w:w="758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6,837</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21,718</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20,069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37,529</w:t>
            </w: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payable to a bank</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1,733</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870</w:t>
            </w: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 net of current portion</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257</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407</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21,230</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40,539</w:t>
            </w:r>
          </w:p>
        </w:tc>
      </w:tr>
      <w:tr>
        <w:trPr>
          <w:trHeight w:val="196"/>
        </w:trPr>
        <w:tc>
          <w:tcPr>
            <w:tcW w:w="75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Commitments and contingencies (Note 14)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4"/>
        </w:trPr>
        <w:tc>
          <w:tcPr>
            <w:tcW w:w="7580" w:type="dxa"/>
            <w:vAlign w:val="bottom"/>
            <w:shd w:val="clear" w:color="auto" w:fill="CFF0FC"/>
          </w:tcPr>
          <w:p>
            <w:pPr>
              <w:ind w:left="400"/>
              <w:spacing w:after="0" w:line="183" w:lineRule="exact"/>
              <w:rPr>
                <w:sz w:val="20"/>
                <w:szCs w:val="20"/>
                <w:color w:val="auto"/>
              </w:rPr>
            </w:pPr>
            <w:r>
              <w:rPr>
                <w:rFonts w:ascii="Arial" w:cs="Arial" w:eastAsia="Arial" w:hAnsi="Arial"/>
                <w:sz w:val="18"/>
                <w:szCs w:val="18"/>
                <w:color w:val="auto"/>
              </w:rPr>
              <w:t>Preferred stock, $0.01 par value; 10,000,000 shares authorized at March 31, 2025 and</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December 31, 2024; no shares issued or outstanding at March 31, 2025 and December</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21"/>
        </w:trPr>
        <w:tc>
          <w:tcPr>
            <w:tcW w:w="75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31, 2024, respectively.</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184"/>
        </w:trPr>
        <w:tc>
          <w:tcPr>
            <w:tcW w:w="7580" w:type="dxa"/>
            <w:vAlign w:val="bottom"/>
          </w:tcPr>
          <w:p>
            <w:pPr>
              <w:ind w:left="400"/>
              <w:spacing w:after="0" w:line="183" w:lineRule="exact"/>
              <w:rPr>
                <w:sz w:val="20"/>
                <w:szCs w:val="20"/>
                <w:color w:val="auto"/>
              </w:rPr>
            </w:pPr>
            <w:r>
              <w:rPr>
                <w:rFonts w:ascii="Arial" w:cs="Arial" w:eastAsia="Arial" w:hAnsi="Arial"/>
                <w:sz w:val="18"/>
                <w:szCs w:val="18"/>
                <w:color w:val="auto"/>
              </w:rPr>
              <w:t>Common stock, $0.01 par value; 150,000,000 shares authorized at March 31, 2025 and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December 31, 2024; 49,369,749 and 46,933,088 shares issued at March 31, 2025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December 31, 2024, respectively; 49,247,141 and 46,810,480 shares outstanding at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1"/>
        </w:trPr>
        <w:tc>
          <w:tcPr>
            <w:tcW w:w="7580" w:type="dxa"/>
            <w:vAlign w:val="bottom"/>
          </w:tcPr>
          <w:p>
            <w:pPr>
              <w:ind w:left="400"/>
              <w:spacing w:after="0"/>
              <w:rPr>
                <w:sz w:val="20"/>
                <w:szCs w:val="20"/>
                <w:color w:val="auto"/>
              </w:rPr>
            </w:pPr>
            <w:r>
              <w:rPr>
                <w:rFonts w:ascii="Arial" w:cs="Arial" w:eastAsia="Arial" w:hAnsi="Arial"/>
                <w:sz w:val="18"/>
                <w:szCs w:val="18"/>
                <w:color w:val="auto"/>
              </w:rPr>
              <w:t>March 31, 2025 and December 31, 2024, respectively.</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469</w:t>
            </w: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Treasury stock (at cost)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259,456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258,511</w:t>
            </w:r>
          </w:p>
        </w:tc>
      </w:tr>
      <w:tr>
        <w:trPr>
          <w:trHeight w:val="203"/>
        </w:trPr>
        <w:tc>
          <w:tcPr>
            <w:tcW w:w="758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(184,826)</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(192,205)</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74,675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66,327</w:t>
            </w:r>
          </w:p>
        </w:tc>
      </w:tr>
      <w:tr>
        <w:trPr>
          <w:trHeight w:val="216"/>
        </w:trPr>
        <w:tc>
          <w:tcPr>
            <w:tcW w:w="758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95,905</w:t>
            </w:r>
          </w:p>
        </w:tc>
        <w:tc>
          <w:tcPr>
            <w:tcW w:w="3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106,866</w:t>
            </w: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-3573780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-2510790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-1988185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-299720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r>
      <w:tr>
        <w:trPr>
          <w:trHeight w:val="203"/>
        </w:trPr>
        <w:tc>
          <w:tcPr>
            <w:tcW w:w="5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1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83"/>
        </w:trPr>
        <w:tc>
          <w:tcPr>
            <w:tcW w:w="5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r>
      <w:tr>
        <w:trPr>
          <w:trHeight w:val="183"/>
        </w:trPr>
        <w:tc>
          <w:tcPr>
            <w:tcW w:w="59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Operating expenses:</w:t>
            </w:r>
          </w:p>
        </w:tc>
        <w:tc>
          <w:tcPr>
            <w:tcW w:w="1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189"/>
        </w:trPr>
        <w:tc>
          <w:tcPr>
            <w:tcW w:w="596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4,016</w:t>
            </w:r>
          </w:p>
        </w:tc>
        <w:tc>
          <w:tcPr>
            <w:tcW w:w="6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4,102</w:t>
            </w:r>
          </w:p>
        </w:tc>
        <w:tc>
          <w:tcPr>
            <w:tcW w:w="160" w:type="dxa"/>
            <w:vAlign w:val="bottom"/>
          </w:tcPr>
          <w:p>
            <w:pPr>
              <w:spacing w:after="0"/>
              <w:rPr>
                <w:sz w:val="16"/>
                <w:szCs w:val="16"/>
                <w:color w:val="auto"/>
              </w:rPr>
            </w:pPr>
          </w:p>
        </w:tc>
      </w:tr>
      <w:tr>
        <w:trPr>
          <w:trHeight w:val="189"/>
        </w:trPr>
        <w:tc>
          <w:tcPr>
            <w:tcW w:w="5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16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4,114</w:t>
            </w:r>
          </w:p>
        </w:tc>
        <w:tc>
          <w:tcPr>
            <w:tcW w:w="1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3,800</w:t>
            </w:r>
          </w:p>
        </w:tc>
        <w:tc>
          <w:tcPr>
            <w:tcW w:w="160" w:type="dxa"/>
            <w:vAlign w:val="bottom"/>
            <w:tcBorders>
              <w:bottom w:val="single" w:sz="8" w:color="CFF0FC"/>
            </w:tcBorders>
            <w:shd w:val="clear" w:color="auto" w:fill="CFF0FC"/>
          </w:tcPr>
          <w:p>
            <w:pPr>
              <w:spacing w:after="0"/>
              <w:rPr>
                <w:sz w:val="16"/>
                <w:szCs w:val="16"/>
                <w:color w:val="auto"/>
              </w:rPr>
            </w:pPr>
          </w:p>
        </w:tc>
      </w:tr>
      <w:tr>
        <w:trPr>
          <w:trHeight w:val="183"/>
        </w:trPr>
        <w:tc>
          <w:tcPr>
            <w:tcW w:w="5960" w:type="dxa"/>
            <w:vAlign w:val="bottom"/>
          </w:tcPr>
          <w:p>
            <w:pPr>
              <w:ind w:left="580"/>
              <w:spacing w:after="0" w:line="183" w:lineRule="exact"/>
              <w:rPr>
                <w:sz w:val="20"/>
                <w:szCs w:val="20"/>
                <w:color w:val="auto"/>
              </w:rPr>
            </w:pPr>
            <w:r>
              <w:rPr>
                <w:rFonts w:ascii="Arial" w:cs="Arial" w:eastAsia="Arial" w:hAnsi="Arial"/>
                <w:sz w:val="16"/>
                <w:szCs w:val="16"/>
                <w:b w:val="1"/>
                <w:bCs w:val="1"/>
                <w:color w:val="auto"/>
              </w:rPr>
              <w:t>Total operating expenses</w:t>
            </w:r>
          </w:p>
        </w:tc>
        <w:tc>
          <w:tcPr>
            <w:tcW w:w="1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8,130</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7,902</w:t>
            </w:r>
          </w:p>
        </w:tc>
        <w:tc>
          <w:tcPr>
            <w:tcW w:w="160" w:type="dxa"/>
            <w:vAlign w:val="bottom"/>
          </w:tcPr>
          <w:p>
            <w:pPr>
              <w:spacing w:after="0"/>
              <w:rPr>
                <w:sz w:val="15"/>
                <w:szCs w:val="15"/>
                <w:color w:val="auto"/>
              </w:rPr>
            </w:pPr>
          </w:p>
        </w:tc>
      </w:tr>
      <w:tr>
        <w:trPr>
          <w:trHeight w:val="183"/>
        </w:trPr>
        <w:tc>
          <w:tcPr>
            <w:tcW w:w="5960" w:type="dxa"/>
            <w:vAlign w:val="bottom"/>
            <w:tcBorders>
              <w:bottom w:val="single" w:sz="8" w:color="CFF0FC"/>
            </w:tcBorders>
            <w:shd w:val="clear" w:color="auto" w:fill="CFF0FC"/>
          </w:tcPr>
          <w:p>
            <w:pPr>
              <w:ind w:left="580"/>
              <w:spacing w:after="0" w:line="183" w:lineRule="exact"/>
              <w:rPr>
                <w:sz w:val="20"/>
                <w:szCs w:val="20"/>
                <w:color w:val="auto"/>
              </w:rPr>
            </w:pPr>
            <w:r>
              <w:rPr>
                <w:rFonts w:ascii="Arial" w:cs="Arial" w:eastAsia="Arial" w:hAnsi="Arial"/>
                <w:sz w:val="16"/>
                <w:szCs w:val="16"/>
                <w:b w:val="1"/>
                <w:bCs w:val="1"/>
                <w:color w:val="auto"/>
              </w:rPr>
              <w:t>Loss from operations</w:t>
            </w:r>
          </w:p>
        </w:tc>
        <w:tc>
          <w:tcPr>
            <w:tcW w:w="16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(8,130)</w:t>
            </w:r>
          </w:p>
        </w:tc>
        <w:tc>
          <w:tcPr>
            <w:tcW w:w="1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(7,902)</w:t>
            </w:r>
          </w:p>
        </w:tc>
        <w:tc>
          <w:tcPr>
            <w:tcW w:w="160" w:type="dxa"/>
            <w:vAlign w:val="bottom"/>
            <w:tcBorders>
              <w:bottom w:val="single" w:sz="8" w:color="CFF0FC"/>
            </w:tcBorders>
            <w:shd w:val="clear" w:color="auto" w:fill="CFF0FC"/>
          </w:tcPr>
          <w:p>
            <w:pPr>
              <w:spacing w:after="0"/>
              <w:rPr>
                <w:sz w:val="15"/>
                <w:szCs w:val="15"/>
                <w:color w:val="auto"/>
              </w:rPr>
            </w:pPr>
          </w:p>
        </w:tc>
      </w:tr>
      <w:tr>
        <w:trPr>
          <w:trHeight w:val="183"/>
        </w:trPr>
        <w:tc>
          <w:tcPr>
            <w:tcW w:w="5960" w:type="dxa"/>
            <w:vAlign w:val="bottom"/>
          </w:tcPr>
          <w:p>
            <w:pPr>
              <w:spacing w:after="0" w:line="183" w:lineRule="exact"/>
              <w:rPr>
                <w:sz w:val="20"/>
                <w:szCs w:val="20"/>
                <w:color w:val="auto"/>
              </w:rPr>
            </w:pPr>
            <w:r>
              <w:rPr>
                <w:rFonts w:ascii="Arial" w:cs="Arial" w:eastAsia="Arial" w:hAnsi="Arial"/>
                <w:sz w:val="16"/>
                <w:szCs w:val="16"/>
                <w:b w:val="1"/>
                <w:bCs w:val="1"/>
                <w:color w:val="auto"/>
              </w:rPr>
              <w:t>Other income (expense):</w:t>
            </w: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9"/>
        </w:trPr>
        <w:tc>
          <w:tcPr>
            <w:tcW w:w="5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income</w:t>
            </w:r>
          </w:p>
        </w:tc>
        <w:tc>
          <w:tcPr>
            <w:tcW w:w="16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934</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320</w:t>
            </w:r>
          </w:p>
        </w:tc>
        <w:tc>
          <w:tcPr>
            <w:tcW w:w="160" w:type="dxa"/>
            <w:vAlign w:val="bottom"/>
            <w:shd w:val="clear" w:color="auto" w:fill="CFF0FC"/>
          </w:tcPr>
          <w:p>
            <w:pPr>
              <w:spacing w:after="0"/>
              <w:rPr>
                <w:sz w:val="16"/>
                <w:szCs w:val="16"/>
                <w:color w:val="auto"/>
              </w:rPr>
            </w:pPr>
          </w:p>
        </w:tc>
      </w:tr>
      <w:tr>
        <w:trPr>
          <w:trHeight w:val="189"/>
        </w:trPr>
        <w:tc>
          <w:tcPr>
            <w:tcW w:w="596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w:t>
            </w:r>
          </w:p>
        </w:tc>
        <w:tc>
          <w:tcPr>
            <w:tcW w:w="160" w:type="dxa"/>
            <w:vAlign w:val="bottom"/>
          </w:tcPr>
          <w:p>
            <w:pPr>
              <w:spacing w:after="0"/>
              <w:rPr>
                <w:sz w:val="16"/>
                <w:szCs w:val="16"/>
                <w:color w:val="auto"/>
              </w:rPr>
            </w:pPr>
          </w:p>
        </w:tc>
      </w:tr>
      <w:tr>
        <w:trPr>
          <w:trHeight w:val="189"/>
        </w:trPr>
        <w:tc>
          <w:tcPr>
            <w:tcW w:w="5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Change in fair value of warrant liability</w:t>
            </w:r>
          </w:p>
        </w:tc>
        <w:tc>
          <w:tcPr>
            <w:tcW w:w="16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14,881</w:t>
            </w:r>
          </w:p>
        </w:tc>
        <w:tc>
          <w:tcPr>
            <w:tcW w:w="1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FF0FC"/>
            </w:tcBorders>
            <w:shd w:val="clear" w:color="auto" w:fill="CFF0FC"/>
          </w:tcPr>
          <w:p>
            <w:pPr>
              <w:spacing w:after="0"/>
              <w:rPr>
                <w:sz w:val="16"/>
                <w:szCs w:val="16"/>
                <w:color w:val="auto"/>
              </w:rPr>
            </w:pPr>
          </w:p>
        </w:tc>
      </w:tr>
      <w:tr>
        <w:trPr>
          <w:trHeight w:val="183"/>
        </w:trPr>
        <w:tc>
          <w:tcPr>
            <w:tcW w:w="5960" w:type="dxa"/>
            <w:vAlign w:val="bottom"/>
          </w:tcPr>
          <w:p>
            <w:pPr>
              <w:ind w:left="580"/>
              <w:spacing w:after="0" w:line="183" w:lineRule="exact"/>
              <w:rPr>
                <w:sz w:val="20"/>
                <w:szCs w:val="20"/>
                <w:color w:val="auto"/>
              </w:rPr>
            </w:pPr>
            <w:r>
              <w:rPr>
                <w:rFonts w:ascii="Arial" w:cs="Arial" w:eastAsia="Arial" w:hAnsi="Arial"/>
                <w:sz w:val="16"/>
                <w:szCs w:val="16"/>
                <w:b w:val="1"/>
                <w:bCs w:val="1"/>
                <w:color w:val="auto"/>
              </w:rPr>
              <w:t>Total other income (expense), net</w:t>
            </w:r>
          </w:p>
        </w:tc>
        <w:tc>
          <w:tcPr>
            <w:tcW w:w="1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15,509</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(319)</w:t>
            </w:r>
          </w:p>
        </w:tc>
        <w:tc>
          <w:tcPr>
            <w:tcW w:w="160" w:type="dxa"/>
            <w:vAlign w:val="bottom"/>
          </w:tcPr>
          <w:p>
            <w:pPr>
              <w:spacing w:after="0"/>
              <w:rPr>
                <w:sz w:val="15"/>
                <w:szCs w:val="15"/>
                <w:color w:val="auto"/>
              </w:rPr>
            </w:pPr>
          </w:p>
        </w:tc>
      </w:tr>
      <w:tr>
        <w:trPr>
          <w:trHeight w:val="203"/>
        </w:trPr>
        <w:tc>
          <w:tcPr>
            <w:tcW w:w="59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income (loss) and comprehensive income (loss)</w:t>
            </w:r>
          </w:p>
        </w:tc>
        <w:tc>
          <w:tcPr>
            <w:tcW w:w="20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7,379</w:t>
            </w:r>
          </w:p>
        </w:tc>
        <w:tc>
          <w:tcPr>
            <w:tcW w:w="620" w:type="dxa"/>
            <w:vAlign w:val="bottom"/>
            <w:gridSpan w:val="2"/>
            <w:shd w:val="clear" w:color="auto" w:fill="CFF0FC"/>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(8,221)</w:t>
            </w:r>
          </w:p>
        </w:tc>
        <w:tc>
          <w:tcPr>
            <w:tcW w:w="160" w:type="dxa"/>
            <w:vAlign w:val="bottom"/>
            <w:shd w:val="clear" w:color="auto" w:fill="CFF0FC"/>
          </w:tcPr>
          <w:p>
            <w:pPr>
              <w:spacing w:after="0"/>
              <w:rPr>
                <w:sz w:val="17"/>
                <w:szCs w:val="17"/>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169"/>
        </w:trPr>
        <w:tc>
          <w:tcPr>
            <w:tcW w:w="5960" w:type="dxa"/>
            <w:vAlign w:val="bottom"/>
          </w:tcPr>
          <w:p>
            <w:pPr>
              <w:spacing w:after="0" w:line="170" w:lineRule="exact"/>
              <w:rPr>
                <w:sz w:val="20"/>
                <w:szCs w:val="20"/>
                <w:color w:val="auto"/>
              </w:rPr>
            </w:pPr>
            <w:r>
              <w:rPr>
                <w:rFonts w:ascii="Arial" w:cs="Arial" w:eastAsia="Arial" w:hAnsi="Arial"/>
                <w:sz w:val="16"/>
                <w:szCs w:val="16"/>
                <w:b w:val="1"/>
                <w:bCs w:val="1"/>
                <w:color w:val="auto"/>
              </w:rPr>
              <w:t>Net income (loss) per share, basic</w:t>
            </w:r>
          </w:p>
        </w:tc>
        <w:tc>
          <w:tcPr>
            <w:tcW w:w="2000" w:type="dxa"/>
            <w:vAlign w:val="bottom"/>
            <w:gridSpan w:val="2"/>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0.15</w:t>
            </w:r>
          </w:p>
        </w:tc>
        <w:tc>
          <w:tcPr>
            <w:tcW w:w="620" w:type="dxa"/>
            <w:vAlign w:val="bottom"/>
            <w:gridSpan w:val="2"/>
          </w:tcPr>
          <w:p>
            <w:pPr>
              <w:jc w:val="right"/>
              <w:ind w:right="360"/>
              <w:spacing w:after="0" w:line="17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(0.28)</w:t>
            </w:r>
          </w:p>
        </w:tc>
        <w:tc>
          <w:tcPr>
            <w:tcW w:w="160" w:type="dxa"/>
            <w:vAlign w:val="bottom"/>
          </w:tcPr>
          <w:p>
            <w:pPr>
              <w:spacing w:after="0"/>
              <w:rPr>
                <w:sz w:val="14"/>
                <w:szCs w:val="14"/>
                <w:color w:val="auto"/>
              </w:rPr>
            </w:pPr>
          </w:p>
        </w:tc>
      </w:tr>
      <w:tr>
        <w:trPr>
          <w:trHeight w:val="20"/>
        </w:trPr>
        <w:tc>
          <w:tcPr>
            <w:tcW w:w="5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Weighted-average common shares outstanding, basic</w:t>
            </w:r>
          </w:p>
        </w:tc>
        <w:tc>
          <w:tcPr>
            <w:tcW w:w="16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50,482,278</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29,197,537</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170"/>
        </w:trPr>
        <w:tc>
          <w:tcPr>
            <w:tcW w:w="5960" w:type="dxa"/>
            <w:vAlign w:val="bottom"/>
          </w:tcPr>
          <w:p>
            <w:pPr>
              <w:spacing w:after="0" w:line="170" w:lineRule="exact"/>
              <w:rPr>
                <w:sz w:val="20"/>
                <w:szCs w:val="20"/>
                <w:color w:val="auto"/>
              </w:rPr>
            </w:pPr>
            <w:r>
              <w:rPr>
                <w:rFonts w:ascii="Arial" w:cs="Arial" w:eastAsia="Arial" w:hAnsi="Arial"/>
                <w:sz w:val="16"/>
                <w:szCs w:val="16"/>
                <w:b w:val="1"/>
                <w:bCs w:val="1"/>
                <w:color w:val="auto"/>
              </w:rPr>
              <w:t>Net income (loss) per share, diluted</w:t>
            </w:r>
          </w:p>
        </w:tc>
        <w:tc>
          <w:tcPr>
            <w:tcW w:w="2000" w:type="dxa"/>
            <w:vAlign w:val="bottom"/>
            <w:gridSpan w:val="2"/>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0.13</w:t>
            </w:r>
          </w:p>
        </w:tc>
        <w:tc>
          <w:tcPr>
            <w:tcW w:w="620" w:type="dxa"/>
            <w:vAlign w:val="bottom"/>
            <w:gridSpan w:val="2"/>
          </w:tcPr>
          <w:p>
            <w:pPr>
              <w:jc w:val="right"/>
              <w:ind w:right="360"/>
              <w:spacing w:after="0" w:line="17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(0.28)</w:t>
            </w:r>
          </w:p>
        </w:tc>
        <w:tc>
          <w:tcPr>
            <w:tcW w:w="160" w:type="dxa"/>
            <w:vAlign w:val="bottom"/>
          </w:tcPr>
          <w:p>
            <w:pPr>
              <w:spacing w:after="0"/>
              <w:rPr>
                <w:sz w:val="14"/>
                <w:szCs w:val="14"/>
                <w:color w:val="auto"/>
              </w:rPr>
            </w:pPr>
          </w:p>
        </w:tc>
      </w:tr>
      <w:tr>
        <w:trPr>
          <w:trHeight w:val="20"/>
        </w:trPr>
        <w:tc>
          <w:tcPr>
            <w:tcW w:w="5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Weighted-average common shares outstanding, diluted</w:t>
            </w:r>
          </w:p>
        </w:tc>
        <w:tc>
          <w:tcPr>
            <w:tcW w:w="16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54,765,842</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29,197,537</w:t>
            </w:r>
          </w:p>
        </w:tc>
        <w:tc>
          <w:tcPr>
            <w:tcW w:w="1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-1610995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-1610995</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-1353820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-1353820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-864870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-864870</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-607695</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-591185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-607695</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-591185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-316865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-299720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102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vMerge w:val="restart"/>
          </w:tcPr>
          <w:p>
            <w:pPr>
              <w:jc w:val="right"/>
              <w:ind w:right="882"/>
              <w:spacing w:after="0"/>
              <w:rPr>
                <w:sz w:val="20"/>
                <w:szCs w:val="20"/>
                <w:color w:val="auto"/>
              </w:rPr>
            </w:pPr>
            <w:r>
              <w:rPr>
                <w:rFonts w:ascii="Arial" w:cs="Arial" w:eastAsia="Arial" w:hAnsi="Arial"/>
                <w:sz w:val="10"/>
                <w:szCs w:val="10"/>
                <w:b w:val="1"/>
                <w:bCs w:val="1"/>
                <w:color w:val="auto"/>
              </w:rPr>
              <w:t>COMMON STOCK</w:t>
            </w:r>
          </w:p>
        </w:tc>
        <w:tc>
          <w:tcPr>
            <w:tcW w:w="2000" w:type="dxa"/>
            <w:vAlign w:val="bottom"/>
            <w:gridSpan w:val="3"/>
            <w:vMerge w:val="restart"/>
          </w:tcPr>
          <w:p>
            <w:pPr>
              <w:jc w:val="right"/>
              <w:ind w:right="391"/>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36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tcBorders>
              <w:bottom w:val="single" w:sz="8" w:color="auto"/>
            </w:tcBorders>
            <w:gridSpan w:val="4"/>
            <w:vMerge w:val="continue"/>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36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right"/>
              <w:ind w:right="283"/>
              <w:spacing w:after="0" w:line="113" w:lineRule="exact"/>
              <w:rPr>
                <w:sz w:val="20"/>
                <w:szCs w:val="20"/>
                <w:color w:val="auto"/>
              </w:rPr>
            </w:pPr>
            <w:r>
              <w:rPr>
                <w:rFonts w:ascii="Arial" w:cs="Arial" w:eastAsia="Arial" w:hAnsi="Arial"/>
                <w:sz w:val="10"/>
                <w:szCs w:val="10"/>
                <w:b w:val="1"/>
                <w:bCs w:val="1"/>
                <w:color w:val="auto"/>
                <w:w w:val="97"/>
              </w:rPr>
              <w:t>ACCUMULATED</w:t>
            </w:r>
          </w:p>
        </w:tc>
        <w:tc>
          <w:tcPr>
            <w:tcW w:w="120" w:type="dxa"/>
            <w:vAlign w:val="bottom"/>
          </w:tcPr>
          <w:p>
            <w:pPr>
              <w:spacing w:after="0"/>
              <w:rPr>
                <w:sz w:val="9"/>
                <w:szCs w:val="9"/>
                <w:color w:val="auto"/>
              </w:rPr>
            </w:pPr>
          </w:p>
        </w:tc>
        <w:tc>
          <w:tcPr>
            <w:tcW w:w="1120" w:type="dxa"/>
            <w:vAlign w:val="bottom"/>
          </w:tcPr>
          <w:p>
            <w:pPr>
              <w:jc w:val="right"/>
              <w:ind w:right="203"/>
              <w:spacing w:after="0" w:line="113"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115"/>
        </w:trPr>
        <w:tc>
          <w:tcPr>
            <w:tcW w:w="2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2024</w:t>
            </w:r>
          </w:p>
        </w:tc>
        <w:tc>
          <w:tcPr>
            <w:tcW w:w="11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36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8"/>
        </w:trPr>
        <w:tc>
          <w:tcPr>
            <w:tcW w:w="2620" w:type="dxa"/>
            <w:vAlign w:val="bottom"/>
            <w:gridSpan w:val="2"/>
            <w:vMerge w:val="continue"/>
          </w:tcPr>
          <w:p>
            <w:pPr>
              <w:spacing w:after="0"/>
              <w:rPr>
                <w:sz w:val="11"/>
                <w:szCs w:val="11"/>
                <w:color w:val="auto"/>
              </w:rPr>
            </w:pPr>
          </w:p>
        </w:tc>
        <w:tc>
          <w:tcPr>
            <w:tcW w:w="1140" w:type="dxa"/>
            <w:vAlign w:val="bottom"/>
          </w:tcPr>
          <w:p>
            <w:pPr>
              <w:jc w:val="right"/>
              <w:ind w:right="63"/>
              <w:spacing w:after="0" w:line="129" w:lineRule="exact"/>
              <w:rPr>
                <w:sz w:val="20"/>
                <w:szCs w:val="20"/>
                <w:color w:val="auto"/>
              </w:rPr>
            </w:pPr>
            <w:r>
              <w:rPr>
                <w:rFonts w:ascii="Arial" w:cs="Arial" w:eastAsia="Arial" w:hAnsi="Arial"/>
                <w:sz w:val="12"/>
                <w:szCs w:val="12"/>
                <w:color w:val="auto"/>
              </w:rPr>
              <w:t>46,933,088</w:t>
            </w:r>
          </w:p>
        </w:tc>
        <w:tc>
          <w:tcPr>
            <w:tcW w:w="120" w:type="dxa"/>
            <w:vAlign w:val="bottom"/>
          </w:tcPr>
          <w:p>
            <w:pPr>
              <w:spacing w:after="0"/>
              <w:rPr>
                <w:sz w:val="11"/>
                <w:szCs w:val="11"/>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469</w:t>
            </w:r>
          </w:p>
        </w:tc>
        <w:tc>
          <w:tcPr>
            <w:tcW w:w="1160" w:type="dxa"/>
            <w:vAlign w:val="bottom"/>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0" w:type="dxa"/>
            <w:vAlign w:val="bottom"/>
          </w:tcPr>
          <w:p>
            <w:pPr>
              <w:spacing w:after="0"/>
              <w:rPr>
                <w:sz w:val="11"/>
                <w:szCs w:val="11"/>
                <w:color w:val="auto"/>
              </w:rPr>
            </w:pPr>
          </w:p>
        </w:tc>
        <w:tc>
          <w:tcPr>
            <w:tcW w:w="760" w:type="dxa"/>
            <w:vAlign w:val="bottom"/>
          </w:tcPr>
          <w:p>
            <w:pPr>
              <w:jc w:val="right"/>
              <w:ind w:right="651"/>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ind w:right="204"/>
              <w:spacing w:after="0" w:line="129" w:lineRule="exact"/>
              <w:rPr>
                <w:sz w:val="20"/>
                <w:szCs w:val="20"/>
                <w:color w:val="auto"/>
              </w:rPr>
            </w:pPr>
            <w:r>
              <w:rPr>
                <w:rFonts w:ascii="Arial" w:cs="Arial" w:eastAsia="Arial" w:hAnsi="Arial"/>
                <w:sz w:val="12"/>
                <w:szCs w:val="12"/>
                <w:color w:val="auto"/>
              </w:rPr>
              <w:t>258,511</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123"/>
              <w:spacing w:after="0" w:line="129" w:lineRule="exact"/>
              <w:rPr>
                <w:sz w:val="20"/>
                <w:szCs w:val="20"/>
                <w:color w:val="auto"/>
              </w:rPr>
            </w:pPr>
            <w:r>
              <w:rPr>
                <w:rFonts w:ascii="Arial" w:cs="Arial" w:eastAsia="Arial" w:hAnsi="Arial"/>
                <w:sz w:val="12"/>
                <w:szCs w:val="12"/>
                <w:color w:val="auto"/>
              </w:rPr>
              <w:t>(192,205)</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66,327</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118,356</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2"/>
              <w:spacing w:after="0" w:line="135" w:lineRule="exact"/>
              <w:rPr>
                <w:sz w:val="20"/>
                <w:szCs w:val="20"/>
                <w:color w:val="auto"/>
              </w:rPr>
            </w:pPr>
            <w:r>
              <w:rPr>
                <w:rFonts w:ascii="Arial" w:cs="Arial" w:eastAsia="Arial" w:hAnsi="Arial"/>
                <w:sz w:val="12"/>
                <w:szCs w:val="12"/>
                <w:color w:val="auto"/>
              </w:rPr>
              <w:t>1</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245</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204"/>
              <w:spacing w:after="0" w:line="135" w:lineRule="exact"/>
              <w:rPr>
                <w:sz w:val="20"/>
                <w:szCs w:val="20"/>
                <w:color w:val="auto"/>
              </w:rPr>
            </w:pPr>
            <w:r>
              <w:rPr>
                <w:rFonts w:ascii="Arial" w:cs="Arial" w:eastAsia="Arial" w:hAnsi="Arial"/>
                <w:sz w:val="12"/>
                <w:szCs w:val="12"/>
                <w:color w:val="auto"/>
              </w:rPr>
              <w:t>798</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798</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Restricted stock unit vesting</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330,779</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2"/>
              <w:spacing w:after="0" w:line="135" w:lineRule="exact"/>
              <w:rPr>
                <w:sz w:val="20"/>
                <w:szCs w:val="20"/>
                <w:color w:val="auto"/>
              </w:rPr>
            </w:pPr>
            <w:r>
              <w:rPr>
                <w:rFonts w:ascii="Arial" w:cs="Arial" w:eastAsia="Arial" w:hAnsi="Arial"/>
                <w:sz w:val="12"/>
                <w:szCs w:val="12"/>
                <w:color w:val="auto"/>
              </w:rPr>
              <w:t>3</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44"/>
              <w:spacing w:after="0" w:line="135" w:lineRule="exact"/>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44"/>
              <w:spacing w:after="0"/>
              <w:rPr>
                <w:sz w:val="20"/>
                <w:szCs w:val="20"/>
                <w:color w:val="auto"/>
              </w:rPr>
            </w:pPr>
            <w:r>
              <w:rPr>
                <w:rFonts w:ascii="Arial" w:cs="Arial" w:eastAsia="Arial" w:hAnsi="Arial"/>
                <w:sz w:val="12"/>
                <w:szCs w:val="12"/>
                <w:color w:val="auto"/>
              </w:rPr>
              <w:t>(484)</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23"/>
              <w:spacing w:after="0"/>
              <w:rPr>
                <w:sz w:val="20"/>
                <w:szCs w:val="20"/>
                <w:color w:val="auto"/>
              </w:rPr>
            </w:pPr>
            <w:r>
              <w:rPr>
                <w:rFonts w:ascii="Arial" w:cs="Arial" w:eastAsia="Arial" w:hAnsi="Arial"/>
                <w:sz w:val="12"/>
                <w:szCs w:val="12"/>
                <w:color w:val="auto"/>
              </w:rPr>
              <w:t>(484)</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40,334</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2"/>
              <w:spacing w:after="0"/>
              <w:rPr>
                <w:sz w:val="20"/>
                <w:szCs w:val="20"/>
                <w:color w:val="auto"/>
              </w:rPr>
            </w:pPr>
            <w:r>
              <w:rPr>
                <w:rFonts w:ascii="Arial" w:cs="Arial" w:eastAsia="Arial" w:hAnsi="Arial"/>
                <w:sz w:val="12"/>
                <w:szCs w:val="12"/>
                <w:color w:val="auto"/>
              </w:rPr>
              <w:t>1</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383</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384</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Exercise of pre-funded warrants</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1,947,192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19</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44"/>
              <w:spacing w:after="0" w:line="135" w:lineRule="exact"/>
              <w:rPr>
                <w:sz w:val="20"/>
                <w:szCs w:val="20"/>
                <w:color w:val="auto"/>
              </w:rPr>
            </w:pPr>
            <w:r>
              <w:rPr>
                <w:rFonts w:ascii="Arial" w:cs="Arial" w:eastAsia="Arial" w:hAnsi="Arial"/>
                <w:sz w:val="12"/>
                <w:szCs w:val="12"/>
                <w:color w:val="auto"/>
              </w:rPr>
              <w:t>(19)</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Issuance costs related to common stock</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and accompanying pre-funded</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warrants in public offering</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2"/>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25</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Net income</w:t>
            </w:r>
          </w:p>
        </w:tc>
        <w:tc>
          <w:tcPr>
            <w:tcW w:w="1140" w:type="dxa"/>
            <w:vAlign w:val="bottom"/>
            <w:tcBorders>
              <w:bottom w:val="single" w:sz="8" w:color="auto"/>
            </w:tcBorders>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0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83"/>
              <w:spacing w:after="0" w:line="135" w:lineRule="exact"/>
              <w:rPr>
                <w:sz w:val="20"/>
                <w:szCs w:val="20"/>
                <w:color w:val="auto"/>
              </w:rPr>
            </w:pPr>
            <w:r>
              <w:rPr>
                <w:rFonts w:ascii="Arial" w:cs="Arial" w:eastAsia="Arial" w:hAnsi="Arial"/>
                <w:sz w:val="12"/>
                <w:szCs w:val="12"/>
                <w:color w:val="auto"/>
              </w:rPr>
              <w:t>7,379</w:t>
            </w: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83"/>
              <w:spacing w:after="0" w:line="135" w:lineRule="exact"/>
              <w:rPr>
                <w:sz w:val="20"/>
                <w:szCs w:val="20"/>
                <w:color w:val="auto"/>
              </w:rPr>
            </w:pPr>
            <w:r>
              <w:rPr>
                <w:rFonts w:ascii="Arial" w:cs="Arial" w:eastAsia="Arial" w:hAnsi="Arial"/>
                <w:sz w:val="12"/>
                <w:szCs w:val="12"/>
                <w:color w:val="auto"/>
              </w:rPr>
              <w:t>7,379</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March 31, 2025</w:t>
            </w:r>
          </w:p>
        </w:tc>
        <w:tc>
          <w:tcPr>
            <w:tcW w:w="1140" w:type="dxa"/>
            <w:vAlign w:val="bottom"/>
            <w:tcBorders>
              <w:right w:val="single" w:sz="8" w:color="CFF0FC"/>
            </w:tcBorders>
            <w:shd w:val="clear" w:color="auto" w:fill="CFF0FC"/>
          </w:tcPr>
          <w:p>
            <w:pPr>
              <w:jc w:val="right"/>
              <w:ind w:right="63"/>
              <w:spacing w:after="0" w:line="129" w:lineRule="exact"/>
              <w:rPr>
                <w:sz w:val="20"/>
                <w:szCs w:val="20"/>
                <w:color w:val="auto"/>
              </w:rPr>
            </w:pPr>
            <w:r>
              <w:rPr>
                <w:rFonts w:ascii="Arial" w:cs="Arial" w:eastAsia="Arial" w:hAnsi="Arial"/>
                <w:sz w:val="12"/>
                <w:szCs w:val="12"/>
                <w:color w:val="auto"/>
              </w:rPr>
              <w:t>49,369,749</w:t>
            </w:r>
          </w:p>
        </w:tc>
        <w:tc>
          <w:tcPr>
            <w:tcW w:w="360" w:type="dxa"/>
            <w:vAlign w:val="bottom"/>
            <w:gridSpan w:val="2"/>
            <w:shd w:val="clear" w:color="auto" w:fill="CFF0FC"/>
          </w:tcPr>
          <w:p>
            <w:pPr>
              <w:jc w:val="right"/>
              <w:ind w:right="133"/>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202"/>
              <w:spacing w:after="0" w:line="129" w:lineRule="exact"/>
              <w:rPr>
                <w:sz w:val="20"/>
                <w:szCs w:val="20"/>
                <w:color w:val="auto"/>
              </w:rPr>
            </w:pPr>
            <w:r>
              <w:rPr>
                <w:rFonts w:ascii="Arial" w:cs="Arial" w:eastAsia="Arial" w:hAnsi="Arial"/>
                <w:sz w:val="12"/>
                <w:szCs w:val="12"/>
                <w:color w:val="auto"/>
              </w:rPr>
              <w:t>493</w:t>
            </w:r>
          </w:p>
        </w:tc>
        <w:tc>
          <w:tcPr>
            <w:tcW w:w="1160" w:type="dxa"/>
            <w:vAlign w:val="bottom"/>
            <w:tcBorders>
              <w:right w:val="single" w:sz="8" w:color="CFF0FC"/>
            </w:tcBorders>
            <w:shd w:val="clear" w:color="auto" w:fill="CFF0FC"/>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51"/>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Borders>
              <w:left w:val="single" w:sz="8" w:color="CFF0FC"/>
            </w:tcBorders>
            <w:shd w:val="clear" w:color="auto" w:fill="CFF0FC"/>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Borders>
              <w:right w:val="single" w:sz="8" w:color="CFF0FC"/>
            </w:tcBorders>
            <w:shd w:val="clear" w:color="auto" w:fill="CFF0FC"/>
          </w:tcPr>
          <w:p>
            <w:pPr>
              <w:jc w:val="right"/>
              <w:ind w:right="204"/>
              <w:spacing w:after="0" w:line="129" w:lineRule="exact"/>
              <w:rPr>
                <w:sz w:val="20"/>
                <w:szCs w:val="20"/>
                <w:color w:val="auto"/>
              </w:rPr>
            </w:pPr>
            <w:r>
              <w:rPr>
                <w:rFonts w:ascii="Arial" w:cs="Arial" w:eastAsia="Arial" w:hAnsi="Arial"/>
                <w:sz w:val="12"/>
                <w:szCs w:val="12"/>
                <w:color w:val="auto"/>
              </w:rPr>
              <w:t>259,456</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right w:val="single" w:sz="8" w:color="CFF0FC"/>
            </w:tcBorders>
            <w:shd w:val="clear" w:color="auto" w:fill="CFF0FC"/>
          </w:tcPr>
          <w:p>
            <w:pPr>
              <w:jc w:val="right"/>
              <w:ind w:right="123"/>
              <w:spacing w:after="0" w:line="129" w:lineRule="exact"/>
              <w:rPr>
                <w:sz w:val="20"/>
                <w:szCs w:val="20"/>
                <w:color w:val="auto"/>
              </w:rPr>
            </w:pPr>
            <w:r>
              <w:rPr>
                <w:rFonts w:ascii="Arial" w:cs="Arial" w:eastAsia="Arial" w:hAnsi="Arial"/>
                <w:sz w:val="12"/>
                <w:szCs w:val="12"/>
                <w:color w:val="auto"/>
              </w:rPr>
              <w:t>(184,826)</w:t>
            </w:r>
          </w:p>
        </w:tc>
        <w:tc>
          <w:tcPr>
            <w:tcW w:w="120" w:type="dxa"/>
            <w:vAlign w:val="bottom"/>
            <w:tcBorders>
              <w:left w:val="single" w:sz="8" w:color="CFF0FC"/>
            </w:tcBorders>
            <w:shd w:val="clear" w:color="auto" w:fill="CFF0FC"/>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74,675</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960" w:type="dxa"/>
            <w:vAlign w:val="bottom"/>
          </w:tcPr>
          <w:p>
            <w:pPr>
              <w:spacing w:after="0"/>
              <w:rPr>
                <w:sz w:val="24"/>
                <w:szCs w:val="24"/>
                <w:color w:val="auto"/>
              </w:rPr>
            </w:pPr>
          </w:p>
        </w:tc>
        <w:tc>
          <w:tcPr>
            <w:tcW w:w="2000" w:type="dxa"/>
            <w:vAlign w:val="bottom"/>
            <w:gridSpan w:val="3"/>
            <w:vMerge w:val="restart"/>
          </w:tcPr>
          <w:p>
            <w:pPr>
              <w:jc w:val="right"/>
              <w:ind w:right="351"/>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28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28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right"/>
              <w:ind w:right="24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right"/>
              <w:ind w:right="183"/>
              <w:spacing w:after="0" w:line="113"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28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9"/>
        </w:trPr>
        <w:tc>
          <w:tcPr>
            <w:tcW w:w="262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December 31, 2023</w:t>
            </w:r>
          </w:p>
        </w:tc>
        <w:tc>
          <w:tcPr>
            <w:tcW w:w="1140" w:type="dxa"/>
            <w:vAlign w:val="bottom"/>
            <w:tcBorders>
              <w:right w:val="single" w:sz="8" w:color="CFF0FC"/>
            </w:tcBorders>
            <w:shd w:val="clear" w:color="auto" w:fill="CFF0FC"/>
          </w:tcPr>
          <w:p>
            <w:pPr>
              <w:jc w:val="right"/>
              <w:ind w:right="103"/>
              <w:spacing w:after="0" w:line="129" w:lineRule="exact"/>
              <w:rPr>
                <w:sz w:val="20"/>
                <w:szCs w:val="20"/>
                <w:color w:val="auto"/>
              </w:rPr>
            </w:pPr>
            <w:r>
              <w:rPr>
                <w:rFonts w:ascii="Arial" w:cs="Arial" w:eastAsia="Arial" w:hAnsi="Arial"/>
                <w:sz w:val="12"/>
                <w:szCs w:val="12"/>
                <w:color w:val="auto"/>
              </w:rPr>
              <w:t>29,213,627</w:t>
            </w:r>
          </w:p>
        </w:tc>
        <w:tc>
          <w:tcPr>
            <w:tcW w:w="360" w:type="dxa"/>
            <w:vAlign w:val="bottom"/>
            <w:gridSpan w:val="2"/>
            <w:shd w:val="clear" w:color="auto" w:fill="CFF0FC"/>
          </w:tcPr>
          <w:p>
            <w:pPr>
              <w:jc w:val="right"/>
              <w:ind w:right="153"/>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182"/>
              <w:spacing w:after="0" w:line="129" w:lineRule="exact"/>
              <w:rPr>
                <w:sz w:val="20"/>
                <w:szCs w:val="20"/>
                <w:color w:val="auto"/>
              </w:rPr>
            </w:pPr>
            <w:r>
              <w:rPr>
                <w:rFonts w:ascii="Arial" w:cs="Arial" w:eastAsia="Arial" w:hAnsi="Arial"/>
                <w:sz w:val="12"/>
                <w:szCs w:val="12"/>
                <w:color w:val="auto"/>
              </w:rPr>
              <w:t>290</w:t>
            </w:r>
          </w:p>
        </w:tc>
        <w:tc>
          <w:tcPr>
            <w:tcW w:w="1160" w:type="dxa"/>
            <w:vAlign w:val="bottom"/>
            <w:tcBorders>
              <w:right w:val="single" w:sz="8" w:color="CFF0FC"/>
            </w:tcBorders>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11"/>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left w:val="single" w:sz="8" w:color="CFF0FC"/>
            </w:tcBorders>
            <w:shd w:val="clear" w:color="auto" w:fill="CFF0FC"/>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right w:val="single" w:sz="8" w:color="CFF0FC"/>
            </w:tcBorders>
            <w:shd w:val="clear" w:color="auto" w:fill="CFF0FC"/>
          </w:tcPr>
          <w:p>
            <w:pPr>
              <w:jc w:val="right"/>
              <w:ind w:right="164"/>
              <w:spacing w:after="0" w:line="129" w:lineRule="exact"/>
              <w:rPr>
                <w:sz w:val="20"/>
                <w:szCs w:val="20"/>
                <w:color w:val="auto"/>
              </w:rPr>
            </w:pPr>
            <w:r>
              <w:rPr>
                <w:rFonts w:ascii="Arial" w:cs="Arial" w:eastAsia="Arial" w:hAnsi="Arial"/>
                <w:sz w:val="12"/>
                <w:szCs w:val="12"/>
                <w:color w:val="auto"/>
              </w:rPr>
              <w:t>149,931</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CFF0FC"/>
            </w:tcBorders>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(137,028)</w:t>
            </w: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ind w:right="63"/>
              <w:spacing w:after="0" w:line="129" w:lineRule="exact"/>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146,964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w:t>
            </w:r>
          </w:p>
        </w:tc>
        <w:tc>
          <w:tcPr>
            <w:tcW w:w="11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64"/>
              <w:spacing w:after="0" w:line="135" w:lineRule="exact"/>
              <w:rPr>
                <w:sz w:val="20"/>
                <w:szCs w:val="20"/>
                <w:color w:val="auto"/>
              </w:rPr>
            </w:pPr>
            <w:r>
              <w:rPr>
                <w:rFonts w:ascii="Arial" w:cs="Arial" w:eastAsia="Arial" w:hAnsi="Arial"/>
                <w:sz w:val="12"/>
                <w:szCs w:val="12"/>
                <w:color w:val="auto"/>
              </w:rPr>
              <w:t>225</w:t>
            </w:r>
          </w:p>
        </w:tc>
        <w:tc>
          <w:tcPr>
            <w:tcW w:w="80" w:type="dxa"/>
            <w:vAlign w:val="bottom"/>
          </w:tcPr>
          <w:p>
            <w:pPr>
              <w:spacing w:after="0"/>
              <w:rPr>
                <w:sz w:val="11"/>
                <w:szCs w:val="11"/>
                <w:color w:val="auto"/>
              </w:rPr>
            </w:pPr>
          </w:p>
        </w:tc>
        <w:tc>
          <w:tcPr>
            <w:tcW w:w="11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1,030</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1,030</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64"/>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63"/>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109,485</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182"/>
              <w:spacing w:after="0"/>
              <w:rPr>
                <w:sz w:val="20"/>
                <w:szCs w:val="20"/>
                <w:color w:val="auto"/>
              </w:rPr>
            </w:pPr>
            <w:r>
              <w:rPr>
                <w:rFonts w:ascii="Arial" w:cs="Arial" w:eastAsia="Arial" w:hAnsi="Arial"/>
                <w:sz w:val="12"/>
                <w:szCs w:val="12"/>
                <w:color w:val="auto"/>
              </w:rPr>
              <w:t>1</w:t>
            </w:r>
          </w:p>
        </w:tc>
        <w:tc>
          <w:tcPr>
            <w:tcW w:w="1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164"/>
              <w:spacing w:after="0"/>
              <w:rPr>
                <w:sz w:val="20"/>
                <w:szCs w:val="20"/>
                <w:color w:val="auto"/>
              </w:rPr>
            </w:pPr>
            <w:r>
              <w:rPr>
                <w:rFonts w:ascii="Arial" w:cs="Arial" w:eastAsia="Arial" w:hAnsi="Arial"/>
                <w:sz w:val="12"/>
                <w:szCs w:val="12"/>
                <w:color w:val="auto"/>
              </w:rPr>
              <w:t>185</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6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83"/>
              <w:spacing w:after="0" w:line="135" w:lineRule="exact"/>
              <w:rPr>
                <w:sz w:val="20"/>
                <w:szCs w:val="20"/>
                <w:color w:val="auto"/>
              </w:rPr>
            </w:pPr>
            <w:r>
              <w:rPr>
                <w:rFonts w:ascii="Arial" w:cs="Arial" w:eastAsia="Arial" w:hAnsi="Arial"/>
                <w:sz w:val="12"/>
                <w:szCs w:val="12"/>
                <w:color w:val="auto"/>
              </w:rPr>
              <w:t>(8,221)</w:t>
            </w: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
              <w:spacing w:after="0" w:line="135" w:lineRule="exact"/>
              <w:rPr>
                <w:sz w:val="20"/>
                <w:szCs w:val="20"/>
                <w:color w:val="auto"/>
              </w:rPr>
            </w:pPr>
            <w:r>
              <w:rPr>
                <w:rFonts w:ascii="Arial" w:cs="Arial" w:eastAsia="Arial" w:hAnsi="Arial"/>
                <w:sz w:val="12"/>
                <w:szCs w:val="12"/>
                <w:color w:val="auto"/>
              </w:rPr>
              <w:t>(8,221)</w:t>
            </w:r>
          </w:p>
        </w:tc>
        <w:tc>
          <w:tcPr>
            <w:tcW w:w="0" w:type="dxa"/>
            <w:vAlign w:val="bottom"/>
          </w:tcPr>
          <w:p>
            <w:pPr>
              <w:spacing w:after="0"/>
              <w:rPr>
                <w:sz w:val="1"/>
                <w:szCs w:val="1"/>
                <w:color w:val="auto"/>
              </w:rPr>
            </w:pPr>
          </w:p>
        </w:tc>
      </w:tr>
      <w:tr>
        <w:trPr>
          <w:trHeight w:val="149"/>
        </w:trPr>
        <w:tc>
          <w:tcPr>
            <w:tcW w:w="254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March 31, 2024</w:t>
            </w:r>
          </w:p>
        </w:tc>
        <w:tc>
          <w:tcPr>
            <w:tcW w:w="8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jc w:val="right"/>
              <w:ind w:right="103"/>
              <w:spacing w:after="0" w:line="129" w:lineRule="exact"/>
              <w:rPr>
                <w:sz w:val="20"/>
                <w:szCs w:val="20"/>
                <w:color w:val="auto"/>
              </w:rPr>
            </w:pPr>
            <w:r>
              <w:rPr>
                <w:rFonts w:ascii="Arial" w:cs="Arial" w:eastAsia="Arial" w:hAnsi="Arial"/>
                <w:sz w:val="12"/>
                <w:szCs w:val="12"/>
                <w:color w:val="auto"/>
              </w:rPr>
              <w:t>29,470,076</w:t>
            </w:r>
          </w:p>
        </w:tc>
        <w:tc>
          <w:tcPr>
            <w:tcW w:w="360" w:type="dxa"/>
            <w:vAlign w:val="bottom"/>
            <w:gridSpan w:val="2"/>
            <w:shd w:val="clear" w:color="auto" w:fill="CFF0FC"/>
          </w:tcPr>
          <w:p>
            <w:pPr>
              <w:jc w:val="right"/>
              <w:ind w:right="153"/>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182"/>
              <w:spacing w:after="0" w:line="129" w:lineRule="exact"/>
              <w:rPr>
                <w:sz w:val="20"/>
                <w:szCs w:val="20"/>
                <w:color w:val="auto"/>
              </w:rPr>
            </w:pPr>
            <w:r>
              <w:rPr>
                <w:rFonts w:ascii="Arial" w:cs="Arial" w:eastAsia="Arial" w:hAnsi="Arial"/>
                <w:sz w:val="12"/>
                <w:szCs w:val="12"/>
                <w:color w:val="auto"/>
              </w:rPr>
              <w:t>292</w:t>
            </w:r>
          </w:p>
        </w:tc>
        <w:tc>
          <w:tcPr>
            <w:tcW w:w="1160" w:type="dxa"/>
            <w:vAlign w:val="bottom"/>
            <w:tcBorders>
              <w:right w:val="single" w:sz="8" w:color="CFF0FC"/>
            </w:tcBorders>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11"/>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left w:val="single" w:sz="8" w:color="CFF0FC"/>
            </w:tcBorders>
            <w:shd w:val="clear" w:color="auto" w:fill="CFF0FC"/>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right w:val="single" w:sz="8" w:color="CFF0FC"/>
            </w:tcBorders>
            <w:shd w:val="clear" w:color="auto" w:fill="CFF0FC"/>
          </w:tcPr>
          <w:p>
            <w:pPr>
              <w:jc w:val="right"/>
              <w:ind w:right="164"/>
              <w:spacing w:after="0" w:line="129" w:lineRule="exact"/>
              <w:rPr>
                <w:sz w:val="20"/>
                <w:szCs w:val="20"/>
                <w:color w:val="auto"/>
              </w:rPr>
            </w:pPr>
            <w:r>
              <w:rPr>
                <w:rFonts w:ascii="Arial" w:cs="Arial" w:eastAsia="Arial" w:hAnsi="Arial"/>
                <w:sz w:val="12"/>
                <w:szCs w:val="12"/>
                <w:color w:val="auto"/>
              </w:rPr>
              <w:t>151,384</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CFF0FC"/>
            </w:tcBorders>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(145,249)</w:t>
            </w: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ind w:right="63"/>
              <w:spacing w:after="0" w:line="129" w:lineRule="exact"/>
              <w:rPr>
                <w:sz w:val="20"/>
                <w:szCs w:val="20"/>
                <w:color w:val="auto"/>
              </w:rPr>
            </w:pPr>
            <w:r>
              <w:rPr>
                <w:rFonts w:ascii="Arial" w:cs="Arial" w:eastAsia="Arial" w:hAnsi="Arial"/>
                <w:sz w:val="12"/>
                <w:szCs w:val="12"/>
                <w:color w:val="auto"/>
              </w:rPr>
              <w:t>5,979</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-1310640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-1293495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-1310640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-1293495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-1310640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-1293495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-1310640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-1293495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-1310640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-1293495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-1310640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-1293495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124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7,379</w:t>
            </w:r>
          </w:p>
        </w:tc>
        <w:tc>
          <w:tcPr>
            <w:tcW w:w="5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(8,221)</w:t>
            </w:r>
          </w:p>
        </w:tc>
      </w:tr>
      <w:tr>
        <w:trPr>
          <w:trHeight w:val="203"/>
        </w:trPr>
        <w:tc>
          <w:tcPr>
            <w:tcW w:w="77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Adjustments to reconcile net income (loss) to net cash used in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251</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Non-cash stock compensation expense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1,043</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65</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30</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(14,881)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Accretion of debt discount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83</w:t>
            </w:r>
          </w:p>
        </w:tc>
      </w:tr>
      <w:tr>
        <w:trPr>
          <w:trHeight w:val="203"/>
        </w:trPr>
        <w:tc>
          <w:tcPr>
            <w:tcW w:w="7760" w:type="dxa"/>
            <w:vAlign w:val="bottom"/>
          </w:tcPr>
          <w:p>
            <w:pPr>
              <w:ind w:left="4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w:t>
            </w:r>
          </w:p>
        </w:tc>
      </w:tr>
      <w:tr>
        <w:trPr>
          <w:trHeight w:val="202"/>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50</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(2,368)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(1,584)</w:t>
            </w:r>
          </w:p>
        </w:tc>
      </w:tr>
      <w:tr>
        <w:trPr>
          <w:trHeight w:val="203"/>
        </w:trPr>
        <w:tc>
          <w:tcPr>
            <w:tcW w:w="7760" w:type="dxa"/>
            <w:vAlign w:val="bottom"/>
            <w:tcBorders>
              <w:bottom w:val="single" w:sz="8" w:color="CFF0FC"/>
            </w:tcBorders>
            <w:shd w:val="clear" w:color="auto" w:fill="CFF0FC"/>
          </w:tcPr>
          <w:p>
            <w:pPr>
              <w:ind w:left="600"/>
              <w:spacing w:after="0" w:line="202" w:lineRule="exact"/>
              <w:rPr>
                <w:sz w:val="20"/>
                <w:szCs w:val="20"/>
                <w:color w:val="auto"/>
              </w:rPr>
            </w:pPr>
            <w:r>
              <w:rPr>
                <w:rFonts w:ascii="Arial" w:cs="Arial" w:eastAsia="Arial" w:hAnsi="Arial"/>
                <w:sz w:val="18"/>
                <w:szCs w:val="18"/>
                <w:color w:val="auto"/>
              </w:rPr>
              <w:t>Lease liability</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(8,616)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(8,438)</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760" w:type="dxa"/>
            <w:vAlign w:val="bottom"/>
            <w:tcBorders>
              <w:bottom w:val="single" w:sz="8" w:color="CFF0FC"/>
            </w:tcBorders>
          </w:tcPr>
          <w:p>
            <w:pPr>
              <w:ind w:left="600"/>
              <w:spacing w:after="0" w:line="202" w:lineRule="exact"/>
              <w:rPr>
                <w:sz w:val="20"/>
                <w:szCs w:val="20"/>
                <w:color w:val="auto"/>
              </w:rPr>
            </w:pPr>
            <w:r>
              <w:rPr>
                <w:rFonts w:ascii="Arial" w:cs="Arial" w:eastAsia="Arial" w:hAnsi="Arial"/>
                <w:sz w:val="18"/>
                <w:szCs w:val="18"/>
                <w:color w:val="auto"/>
              </w:rPr>
              <w:t>Purchase of fixed assets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r>
      <w:tr>
        <w:trPr>
          <w:trHeight w:val="196"/>
        </w:trPr>
        <w:tc>
          <w:tcPr>
            <w:tcW w:w="7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Proceeds from option exercises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246</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226</w:t>
            </w:r>
          </w:p>
        </w:tc>
      </w:tr>
      <w:tr>
        <w:trPr>
          <w:trHeight w:val="184"/>
        </w:trPr>
        <w:tc>
          <w:tcPr>
            <w:tcW w:w="7760" w:type="dxa"/>
            <w:vAlign w:val="bottom"/>
          </w:tcPr>
          <w:p>
            <w:pPr>
              <w:ind w:left="600"/>
              <w:spacing w:after="0" w:line="183" w:lineRule="exact"/>
              <w:rPr>
                <w:sz w:val="20"/>
                <w:szCs w:val="20"/>
                <w:color w:val="auto"/>
              </w:rPr>
            </w:pPr>
            <w:r>
              <w:rPr>
                <w:rFonts w:ascii="Arial" w:cs="Arial" w:eastAsia="Arial" w:hAnsi="Arial"/>
                <w:sz w:val="18"/>
                <w:szCs w:val="18"/>
                <w:color w:val="auto"/>
              </w:rPr>
              <w:t>Proceeds from sale of common stock,</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1"/>
        </w:trPr>
        <w:tc>
          <w:tcPr>
            <w:tcW w:w="7760" w:type="dxa"/>
            <w:vAlign w:val="bottom"/>
          </w:tcPr>
          <w:p>
            <w:pPr>
              <w:ind w:left="740"/>
              <w:spacing w:after="0"/>
              <w:rPr>
                <w:sz w:val="20"/>
                <w:szCs w:val="20"/>
                <w:color w:val="auto"/>
              </w:rPr>
            </w:pPr>
            <w:r>
              <w:rPr>
                <w:rFonts w:ascii="Arial" w:cs="Arial" w:eastAsia="Arial" w:hAnsi="Arial"/>
                <w:sz w:val="18"/>
                <w:szCs w:val="18"/>
                <w:color w:val="auto"/>
              </w:rPr>
              <w:t>net of issuance costs</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186</w:t>
            </w:r>
          </w:p>
        </w:tc>
      </w:tr>
      <w:tr>
        <w:trPr>
          <w:trHeight w:val="203"/>
        </w:trPr>
        <w:tc>
          <w:tcPr>
            <w:tcW w:w="7760" w:type="dxa"/>
            <w:vAlign w:val="bottom"/>
            <w:tcBorders>
              <w:bottom w:val="single" w:sz="8" w:color="CFF0FC"/>
            </w:tcBorders>
            <w:shd w:val="clear" w:color="auto" w:fill="CFF0FC"/>
          </w:tcPr>
          <w:p>
            <w:pPr>
              <w:ind w:left="600"/>
              <w:spacing w:after="0" w:line="202" w:lineRule="exact"/>
              <w:rPr>
                <w:sz w:val="20"/>
                <w:szCs w:val="20"/>
                <w:color w:val="auto"/>
              </w:rPr>
            </w:pPr>
            <w:r>
              <w:rPr>
                <w:rFonts w:ascii="Arial" w:cs="Arial" w:eastAsia="Arial" w:hAnsi="Arial"/>
                <w:sz w:val="18"/>
                <w:szCs w:val="18"/>
                <w:color w:val="auto"/>
              </w:rPr>
              <w:t>Principal payments on term loan</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(1,667)</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(1,870)</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(1,255)</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(10,489)</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(9,700)</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102,920</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35,679</w:t>
            </w:r>
          </w:p>
        </w:tc>
      </w:tr>
      <w:tr>
        <w:trPr>
          <w:trHeight w:val="23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92,431</w:t>
            </w:r>
          </w:p>
        </w:tc>
        <w:tc>
          <w:tcPr>
            <w:tcW w:w="58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25,979</w:t>
            </w:r>
          </w:p>
        </w:tc>
      </w:tr>
      <w:tr>
        <w:trPr>
          <w:trHeight w:val="183"/>
        </w:trPr>
        <w:tc>
          <w:tcPr>
            <w:tcW w:w="77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252</w:t>
            </w:r>
          </w:p>
        </w:tc>
        <w:tc>
          <w:tcPr>
            <w:tcW w:w="58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549</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disclosures of non-cash information:</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Issuance costs in accounts payable and accrued expenses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58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39"/>
        </w:trPr>
        <w:tc>
          <w:tcPr>
            <w:tcW w:w="7760" w:type="dxa"/>
            <w:vAlign w:val="bottom"/>
          </w:tcPr>
          <w:p>
            <w:pPr>
              <w:ind w:left="600"/>
              <w:spacing w:after="0"/>
              <w:rPr>
                <w:sz w:val="20"/>
                <w:szCs w:val="20"/>
                <w:color w:val="auto"/>
              </w:rPr>
            </w:pPr>
            <w:r>
              <w:rPr>
                <w:rFonts w:ascii="Arial" w:cs="Arial" w:eastAsia="Arial" w:hAnsi="Arial"/>
                <w:sz w:val="18"/>
                <w:szCs w:val="18"/>
                <w:color w:val="auto"/>
              </w:rPr>
              <w:t>Capital expenditures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-2422525</wp:posOffset>
            </wp:positionV>
            <wp:extent cx="102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-2032635</wp:posOffset>
            </wp:positionV>
            <wp:extent cx="128270" cy="17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270" cy="1708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-1231265</wp:posOffset>
            </wp:positionV>
            <wp:extent cx="102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-690880</wp:posOffset>
            </wp:positionV>
            <wp:extent cx="102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-673735</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 w:name="page12"/>
    <w:bookmarkEnd w:id="11"/>
    <w:p>
      <w:pPr>
        <w:ind w:left="430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immunization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7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has incurred recurring losses since its inception. The Company had net income of $7.4 million and a net loss of $8.2 million for the three months ended March 31, 2025 and 2024, respectively. In addition, as of March 31, 2025, the Company had an accumulated deficit of $184.8 million. The Company expects to continue to generate operating losses and negative cash flows from operations for the foreseeable future.</w:t>
      </w:r>
    </w:p>
    <w:p>
      <w:pPr>
        <w:spacing w:after="0" w:line="7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Shelf) with the U.S. Securities and Exchange Commission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March 31, 2025, the Company sold and issued 2,976,391 shares of common stock under the ATM Program, with total net proceeds of $16.2 million. Subsequent to March 31, 2025 and through May 5, 2025, the Company sold and issued 833,011 additional shares of common stock under the ATM Program, with total net proceeds of $4.0 million.</w:t>
      </w:r>
    </w:p>
    <w:p>
      <w:pPr>
        <w:spacing w:after="0" w:line="10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December 16, 2024, the Company completed a public offering of its common stock and, in lieu of common stock to certain investors, pre-funded warrants to purchase shares of its common stock. The Company issued and sold 12,000,001 shares of common stock, including full exercise of the underwriters’ option to purchase an additional 2,000,000 shares, at a public offering price of $6.00 per share. Additionally, in lieu of common stock to certain investors, the Company issued and sold pre-funded warrants to purchase 3,333,333 shares of its common stock at a public offering price of $5.99 per pre-funded warrant, which represents the per share public offering price of each share of common stock less the $0.01 per share exercise price for each pre-funded warrant. The aggregate gross proceeds before deducting underwriting discounts and commissions, and other estimated offering expenses payable by the Company were approximately $92.0 million.</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fund planned operations for at least 12 months from the issuance date of these condensed consolidated financial statements.</w:t>
      </w:r>
    </w:p>
    <w:p>
      <w:pPr>
        <w:spacing w:after="0" w:line="69"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Accordingly, the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condensed consolidated financial statements are to the FASB Accounting Standards Codification (ASC).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8"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condensed consolidated financial statements include the accounts of Candel Therapeutics, Inc. and its wholly owned subsidiary Candel Therapeutics Securities Corporation. All intercompany transactions and balances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accompanying condensed consolidated balance sheet as of March 31, 2025, the condensed consolidated statements of operations and comprehensive income (loss) for the three months ended March 31, 2025 and 2024, the condensed consolidated statements of stockholders’ equity for the three months ended March 31, 2025 and 2024, the condensed consolidated statements of cash flows for the three months ended March 31, 2025 and 2024,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unaudited condensed consolidated financial statements should be read in conjunction with the Company’s audited consolidated financial statements and notes thereto for the year ended December 31, 2024 included in the Company’s Annual Report on Form 10-K on file with the SEC.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preparation of the Company’s condensed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8"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color w:val="auto"/>
        </w:rPr>
        <w:t>The Company had $0.3 million of restricted cash as of both March 31, 2025 and December 31, 2024, which represents cash held as a security deposit under the terms of the Company’s Needham, Massachusetts facility lease.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8"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In November 2023, the FASB issued Accounting Standards Update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interim periods beginning after December 15, 2024. The Company adopted ASU 2023-07 on an interim basis beginning on January 1, 2025 (see Note 16).</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condensed consolidated financial statements and related disclosures.</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condensed consolidated financial statements and related disclosures.</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(Subtopic 220-40): Disaggregation of Income Statement Expenses, which requires additional disclosure in the notes to the financial statements of the nature of certain expenses included in the income statement. The ASU's amendments are effective for annual reporting periods beginning after December 15, 2026, and interim reporting periods beginning after December 15, 2027. Early adoption is permitted. Adoption can be either prospectively or retrospectively applied. The Company is currently evaluating the potential impact that ASU 2024-03 may have on its consolidated financial statements and related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MARCH 31, 2025 USING:</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3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36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w:t>
            </w:r>
          </w:p>
        </w:tc>
        <w:tc>
          <w:tcPr>
            <w:tcW w:w="2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6,837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6,837</w:t>
            </w:r>
          </w:p>
        </w:tc>
      </w:tr>
      <w:tr>
        <w:trPr>
          <w:trHeight w:val="216"/>
        </w:trPr>
        <w:tc>
          <w:tcPr>
            <w:tcW w:w="36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6,837</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6,837</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r>
        <w:trPr>
          <w:trHeight w:val="336"/>
        </w:trPr>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DECEMBER 31, 2024 USING:</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3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36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w:t>
            </w:r>
          </w:p>
        </w:tc>
        <w:tc>
          <w:tcPr>
            <w:tcW w:w="2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21,718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21,718</w:t>
            </w:r>
          </w:p>
        </w:tc>
      </w:tr>
      <w:tr>
        <w:trPr>
          <w:trHeight w:val="216"/>
        </w:trPr>
        <w:tc>
          <w:tcPr>
            <w:tcW w:w="36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21,718</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21,718</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-899795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-882015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-899795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-882015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-899795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-882015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6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79"/>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79"/>
              <w:spacing w:after="0"/>
              <w:rPr>
                <w:sz w:val="20"/>
                <w:szCs w:val="20"/>
                <w:color w:val="auto"/>
              </w:rPr>
            </w:pPr>
            <w:r>
              <w:rPr>
                <w:rFonts w:ascii="Arial" w:cs="Arial" w:eastAsia="Arial" w:hAnsi="Arial"/>
                <w:sz w:val="14"/>
                <w:szCs w:val="14"/>
                <w:b w:val="1"/>
                <w:bCs w:val="1"/>
                <w:color w:val="auto"/>
              </w:rPr>
              <w:t>WARRANT</w:t>
            </w:r>
          </w:p>
        </w:tc>
      </w:tr>
      <w:tr>
        <w:trPr>
          <w:trHeight w:val="171"/>
        </w:trPr>
        <w:tc>
          <w:tcPr>
            <w:tcW w:w="9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2024</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21,718</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(14,881)</w:t>
            </w:r>
          </w:p>
        </w:tc>
      </w:tr>
      <w:tr>
        <w:trPr>
          <w:trHeight w:val="23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March 31, 2025</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6,837</w:t>
            </w:r>
          </w:p>
        </w:tc>
      </w:tr>
    </w:tbl>
    <w:p>
      <w:pPr>
        <w:spacing w:after="0" w:line="86"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The carrying value of cash equivalents (considered as Level 1 measurements) approximates the fair value due to the short-term nature of these assets.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Fixed Assets, Net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Fixed assets, net consisted of the following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2024</w:t>
            </w: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1,221</w:t>
            </w:r>
          </w:p>
        </w:tc>
        <w:tc>
          <w:tcPr>
            <w:tcW w:w="3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1,219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Manufacturing equipment</w:t>
            </w:r>
          </w:p>
        </w:tc>
        <w:tc>
          <w:tcPr>
            <w:tcW w:w="240" w:type="dxa"/>
            <w:vAlign w:val="bottom"/>
          </w:tcPr>
          <w:p>
            <w:pPr>
              <w:spacing w:after="0"/>
              <w:rPr>
                <w:sz w:val="17"/>
                <w:szCs w:val="17"/>
                <w:color w:val="auto"/>
              </w:rPr>
            </w:pPr>
          </w:p>
        </w:tc>
        <w:tc>
          <w:tcPr>
            <w:tcW w:w="14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695</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Networking and computer equipment</w:t>
            </w:r>
          </w:p>
        </w:tc>
        <w:tc>
          <w:tcPr>
            <w:tcW w:w="240" w:type="dxa"/>
            <w:vAlign w:val="bottom"/>
          </w:tcPr>
          <w:p>
            <w:pPr>
              <w:spacing w:after="0"/>
              <w:rPr>
                <w:sz w:val="17"/>
                <w:szCs w:val="17"/>
                <w:color w:val="auto"/>
              </w:rPr>
            </w:pPr>
          </w:p>
        </w:tc>
        <w:tc>
          <w:tcPr>
            <w:tcW w:w="14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85</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3,109</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3,109</w:t>
            </w: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fixed assets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5,285</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5,267</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(3,320)</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(3,076)</w:t>
            </w:r>
          </w:p>
        </w:tc>
      </w:tr>
      <w:tr>
        <w:trPr>
          <w:trHeight w:val="196"/>
        </w:trPr>
        <w:tc>
          <w:tcPr>
            <w:tcW w:w="774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Fixed assets, net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1,965</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2,191</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-427990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$0.2 million and $0.3 million for the three months ended March 31, 2025 and 2024,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41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2024</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employee related expenses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1,019</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3,038</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7"/>
                <w:szCs w:val="17"/>
                <w:color w:val="auto"/>
              </w:rPr>
            </w:pPr>
          </w:p>
        </w:tc>
        <w:tc>
          <w:tcPr>
            <w:tcW w:w="14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907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920</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Third-party research and development expenses</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482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765</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390</w:t>
            </w:r>
          </w:p>
        </w:tc>
      </w:tr>
      <w:tr>
        <w:trPr>
          <w:trHeight w:val="216"/>
        </w:trPr>
        <w:tc>
          <w:tcPr>
            <w:tcW w:w="77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2,720</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5,113</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0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term loan is secured by substantially all of the Company’s properties, rights and assets, except for its intellectual property, which is subject to a negative pledge under the Loan Agreement.</w:t>
      </w:r>
    </w:p>
    <w:p>
      <w:pPr>
        <w:spacing w:after="0" w:line="6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74"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During the three months ended March 31, 2025 and 2024, the Company recorded interest expense relating to the Loan Agreement of $0.3 million and $0.6 million, respectively. The weighted average effective interest rate as of March 31, 2025 was 11.77%.</w:t>
      </w:r>
    </w:p>
    <w:p>
      <w:pPr>
        <w:spacing w:after="0" w:line="51"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 (remaining nine months)</w:t>
            </w:r>
          </w:p>
        </w:tc>
        <w:tc>
          <w:tcPr>
            <w:tcW w:w="1460" w:type="dxa"/>
            <w:vAlign w:val="bottom"/>
            <w:shd w:val="clear" w:color="auto" w:fill="CFF0FC"/>
          </w:tcPr>
          <w:p>
            <w:pPr>
              <w:jc w:val="right"/>
              <w:ind w:right="127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r>
      <w:tr>
        <w:trPr>
          <w:trHeight w:val="196"/>
        </w:trPr>
        <w:tc>
          <w:tcPr>
            <w:tcW w:w="78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principal</w:t>
            </w:r>
          </w:p>
        </w:tc>
        <w:tc>
          <w:tcPr>
            <w:tcW w:w="14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8,333</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Final payment fee</w:t>
            </w:r>
          </w:p>
        </w:tc>
        <w:tc>
          <w:tcPr>
            <w:tcW w:w="14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debt discount</w:t>
            </w:r>
          </w:p>
        </w:tc>
        <w:tc>
          <w:tcPr>
            <w:tcW w:w="146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(989)</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Accretion of debt discount</w:t>
            </w:r>
          </w:p>
        </w:tc>
        <w:tc>
          <w:tcPr>
            <w:tcW w:w="1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928</w:t>
            </w:r>
          </w:p>
        </w:tc>
        <w:tc>
          <w:tcPr>
            <w:tcW w:w="100" w:type="dxa"/>
            <w:vAlign w:val="bottom"/>
          </w:tcPr>
          <w:p>
            <w:pPr>
              <w:spacing w:after="0"/>
              <w:rPr>
                <w:sz w:val="17"/>
                <w:szCs w:val="17"/>
                <w:color w:val="auto"/>
              </w:rPr>
            </w:pPr>
          </w:p>
        </w:tc>
      </w:tr>
      <w:tr>
        <w:trPr>
          <w:trHeight w:val="236"/>
        </w:trPr>
        <w:tc>
          <w:tcPr>
            <w:tcW w:w="7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carrying amount</w:t>
            </w:r>
          </w:p>
        </w:tc>
        <w:tc>
          <w:tcPr>
            <w:tcW w:w="1460" w:type="dxa"/>
            <w:vAlign w:val="bottom"/>
            <w:tcBorders>
              <w:bottom w:val="single" w:sz="8" w:color="auto"/>
            </w:tcBorders>
            <w:shd w:val="clear" w:color="auto" w:fill="CFF0FC"/>
          </w:tcPr>
          <w:p>
            <w:pPr>
              <w:jc w:val="right"/>
              <w:ind w:right="127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Periphagen Note</w:t>
      </w:r>
    </w:p>
    <w:p>
      <w:pPr>
        <w:spacing w:after="0" w:line="9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On December 9, 2019, the Company entered into a series of asset purchase agreements with Periphagen, Inc. (Periphagen), a biopharmaceutical company focused on the development of gene therapy vectors. Under the terms of the asset purchase agreements, the Company assumed a $1.0 million promissory note (the Periphagen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March 31, 2025, the carrying value of the note is $0.9 million. The carrying value of the note approximates fair value. Upon maturity, the Company will pay Periphagen $1.4 million for the outstanding balance and accrued interest due.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Lease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rPr>
          <w:sz w:val="20"/>
          <w:szCs w:val="20"/>
          <w:color w:val="auto"/>
        </w:rPr>
      </w:pPr>
      <w:r>
        <w:rPr>
          <w:rFonts w:ascii="Arial" w:cs="Arial" w:eastAsia="Arial" w:hAnsi="Arial"/>
          <w:sz w:val="17"/>
          <w:szCs w:val="17"/>
          <w:color w:val="auto"/>
        </w:rPr>
        <w:t>The lease term ends on August 31, 2026.</w:t>
      </w:r>
    </w:p>
    <w:p>
      <w:pPr>
        <w:spacing w:after="0" w:line="8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For each of the three months ended March 31, 2025 and 2024, the Company recorded $90,000 of operating lease cost, and for the three months ended March 31, 2025 and 2024, the Company recorded $40,000 and $38,000, respectively, of variable lease cost. The total lease expense for each of the three months ended March 31, 2025 and 2024 was $0.1 million.</w:t>
      </w:r>
    </w:p>
    <w:p>
      <w:pPr>
        <w:spacing w:after="0" w:line="67"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color w:val="auto"/>
        </w:rPr>
        <w:t>Cash paid for amounts included in the lease liability for the three months ended March 31, 2025 and 2024 was $0.2 million and $0.1 million,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43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Other Information</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3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01"/>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4380" w:type="dxa"/>
            <w:vAlign w:val="bottom"/>
            <w:shd w:val="clear" w:color="auto" w:fill="CFF0FC"/>
          </w:tcPr>
          <w:p>
            <w:pPr>
              <w:spacing w:after="0" w:line="160" w:lineRule="exact"/>
              <w:rPr>
                <w:sz w:val="20"/>
                <w:szCs w:val="20"/>
                <w:color w:val="auto"/>
              </w:rPr>
            </w:pPr>
            <w:r>
              <w:rPr>
                <w:rFonts w:ascii="Arial" w:cs="Arial" w:eastAsia="Arial" w:hAnsi="Arial"/>
                <w:sz w:val="17"/>
                <w:szCs w:val="17"/>
                <w:color w:val="auto"/>
              </w:rPr>
              <w:t>Operating cash flows used for operating leases (in</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thousands)</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3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160" w:type="dxa"/>
            <w:vAlign w:val="bottom"/>
            <w:shd w:val="clear" w:color="auto" w:fill="CFF0FC"/>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4380" w:type="dxa"/>
            <w:vAlign w:val="bottom"/>
          </w:tcPr>
          <w:p>
            <w:pPr>
              <w:ind w:left="40"/>
              <w:spacing w:after="0" w:line="189" w:lineRule="exact"/>
              <w:rPr>
                <w:sz w:val="20"/>
                <w:szCs w:val="20"/>
                <w:color w:val="auto"/>
              </w:rPr>
            </w:pPr>
            <w:r>
              <w:rPr>
                <w:rFonts w:ascii="Arial" w:cs="Arial" w:eastAsia="Arial" w:hAnsi="Arial"/>
                <w:sz w:val="17"/>
                <w:szCs w:val="17"/>
                <w:color w:val="auto"/>
              </w:rPr>
              <w:t>Weighted-average remaining lease term (years)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4380" w:type="dxa"/>
            <w:vAlign w:val="bottom"/>
            <w:shd w:val="clear" w:color="auto" w:fill="CFF0FC"/>
          </w:tcPr>
          <w:p>
            <w:pPr>
              <w:ind w:left="40"/>
              <w:spacing w:after="0" w:line="189" w:lineRule="exact"/>
              <w:rPr>
                <w:sz w:val="20"/>
                <w:szCs w:val="20"/>
                <w:color w:val="auto"/>
              </w:rPr>
            </w:pPr>
            <w:r>
              <w:rPr>
                <w:rFonts w:ascii="Arial" w:cs="Arial" w:eastAsia="Arial" w:hAnsi="Arial"/>
                <w:sz w:val="17"/>
                <w:szCs w:val="17"/>
                <w:color w:val="auto"/>
              </w:rPr>
              <w:t>Weighted-average incremental borrowing rate</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7.02%</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7.02%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8020" w:type="dxa"/>
            <w:vAlign w:val="bottom"/>
            <w:gridSpan w:val="6"/>
          </w:tcPr>
          <w:p>
            <w:pPr>
              <w:spacing w:after="0"/>
              <w:rPr>
                <w:sz w:val="20"/>
                <w:szCs w:val="20"/>
                <w:color w:val="auto"/>
              </w:rPr>
            </w:pPr>
            <w:r>
              <w:rPr>
                <w:rFonts w:ascii="Arial" w:cs="Arial" w:eastAsia="Arial" w:hAnsi="Arial"/>
                <w:sz w:val="17"/>
                <w:szCs w:val="17"/>
                <w:color w:val="auto"/>
              </w:rPr>
              <w:t>The future lease payments under non-cancelable leases at March 31, 2025, are as follows (in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4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FF0FC"/>
          </w:tcPr>
          <w:p>
            <w:pPr>
              <w:jc w:val="right"/>
              <w:ind w:right="675"/>
              <w:spacing w:after="0" w:line="189" w:lineRule="exact"/>
              <w:rPr>
                <w:sz w:val="20"/>
                <w:szCs w:val="20"/>
                <w:color w:val="auto"/>
              </w:rPr>
            </w:pPr>
            <w:r>
              <w:rPr>
                <w:rFonts w:ascii="Arial" w:cs="Arial" w:eastAsia="Arial" w:hAnsi="Arial"/>
                <w:sz w:val="17"/>
                <w:szCs w:val="17"/>
                <w:color w:val="auto"/>
              </w:rPr>
              <w:t>2025</w:t>
            </w:r>
          </w:p>
        </w:tc>
        <w:tc>
          <w:tcPr>
            <w:tcW w:w="4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400" w:type="dxa"/>
            <w:vAlign w:val="bottom"/>
            <w:gridSpan w:val="3"/>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461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right"/>
              <w:ind w:right="675"/>
              <w:spacing w:after="0" w:line="189" w:lineRule="exact"/>
              <w:rPr>
                <w:sz w:val="20"/>
                <w:szCs w:val="20"/>
                <w:color w:val="auto"/>
              </w:rPr>
            </w:pPr>
            <w:r>
              <w:rPr>
                <w:rFonts w:ascii="Arial" w:cs="Arial" w:eastAsia="Arial" w:hAnsi="Arial"/>
                <w:sz w:val="17"/>
                <w:szCs w:val="17"/>
                <w:color w:val="auto"/>
              </w:rPr>
              <w:t>2026</w:t>
            </w:r>
          </w:p>
        </w:tc>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0"/>
              <w:spacing w:after="0" w:line="189" w:lineRule="exact"/>
              <w:rPr>
                <w:sz w:val="20"/>
                <w:szCs w:val="20"/>
                <w:color w:val="auto"/>
              </w:rPr>
            </w:pPr>
            <w:r>
              <w:rPr>
                <w:rFonts w:ascii="Arial" w:cs="Arial" w:eastAsia="Arial" w:hAnsi="Arial"/>
                <w:sz w:val="17"/>
                <w:szCs w:val="17"/>
                <w:color w:val="auto"/>
              </w:rPr>
              <w:t>415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gridSpan w:val="2"/>
            <w:shd w:val="clear" w:color="auto" w:fill="CFF0FC"/>
          </w:tcPr>
          <w:p>
            <w:pPr>
              <w:ind w:left="300"/>
              <w:spacing w:after="0" w:line="183" w:lineRule="exact"/>
              <w:rPr>
                <w:sz w:val="20"/>
                <w:szCs w:val="20"/>
                <w:color w:val="auto"/>
              </w:rPr>
            </w:pPr>
            <w:r>
              <w:rPr>
                <w:rFonts w:ascii="Arial" w:cs="Arial" w:eastAsia="Arial" w:hAnsi="Arial"/>
                <w:sz w:val="17"/>
                <w:szCs w:val="17"/>
                <w:color w:val="auto"/>
              </w:rPr>
              <w:t>Total future lease payments</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876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gridSpan w:val="2"/>
          </w:tcPr>
          <w:p>
            <w:pPr>
              <w:spacing w:after="0" w:line="189" w:lineRule="exact"/>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0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Total lease liability</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340"/>
              <w:spacing w:after="0" w:line="183" w:lineRule="exact"/>
              <w:rPr>
                <w:sz w:val="20"/>
                <w:szCs w:val="20"/>
                <w:color w:val="auto"/>
              </w:rPr>
            </w:pPr>
            <w:r>
              <w:rPr>
                <w:rFonts w:ascii="Arial" w:cs="Arial" w:eastAsia="Arial" w:hAnsi="Arial"/>
                <w:sz w:val="17"/>
                <w:szCs w:val="17"/>
                <w:color w:val="auto"/>
              </w:rPr>
              <w:t>$</w:t>
            </w:r>
          </w:p>
        </w:tc>
        <w:tc>
          <w:tcPr>
            <w:tcW w:w="240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837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are voting and dividends may be paid when, as and if declared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140" w:type="dxa"/>
            <w:vAlign w:val="bottom"/>
          </w:tcPr>
          <w:p>
            <w:pPr>
              <w:jc w:val="right"/>
              <w:ind w:right="618"/>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760" w:type="dxa"/>
            <w:vAlign w:val="bottom"/>
          </w:tcPr>
          <w:p>
            <w:pPr>
              <w:spacing w:after="0"/>
              <w:rPr>
                <w:sz w:val="17"/>
                <w:szCs w:val="17"/>
                <w:color w:val="auto"/>
              </w:rPr>
            </w:pPr>
          </w:p>
        </w:tc>
        <w:tc>
          <w:tcPr>
            <w:tcW w:w="2140" w:type="dxa"/>
            <w:vAlign w:val="bottom"/>
          </w:tcPr>
          <w:p>
            <w:pPr>
              <w:jc w:val="right"/>
              <w:ind w:right="838"/>
              <w:spacing w:after="0"/>
              <w:rPr>
                <w:sz w:val="20"/>
                <w:szCs w:val="20"/>
                <w:color w:val="auto"/>
              </w:rPr>
            </w:pPr>
            <w:r>
              <w:rPr>
                <w:rFonts w:ascii="Arial" w:cs="Arial" w:eastAsia="Arial" w:hAnsi="Arial"/>
                <w:sz w:val="14"/>
                <w:szCs w:val="14"/>
                <w:b w:val="1"/>
                <w:bCs w:val="1"/>
                <w:color w:val="auto"/>
              </w:rPr>
              <w:t>2025</w:t>
            </w:r>
          </w:p>
        </w:tc>
        <w:tc>
          <w:tcPr>
            <w:tcW w:w="2240" w:type="dxa"/>
            <w:vAlign w:val="bottom"/>
            <w:gridSpan w:val="3"/>
          </w:tcPr>
          <w:p>
            <w:pPr>
              <w:jc w:val="right"/>
              <w:ind w:right="76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r>
      <w:tr>
        <w:trPr>
          <w:trHeight w:val="137"/>
        </w:trPr>
        <w:tc>
          <w:tcPr>
            <w:tcW w:w="676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Stock options outstanding</w:t>
            </w:r>
          </w:p>
        </w:tc>
        <w:tc>
          <w:tcPr>
            <w:tcW w:w="2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5,919,192</w:t>
            </w:r>
          </w:p>
        </w:tc>
        <w:tc>
          <w:tcPr>
            <w:tcW w:w="224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7"/>
                <w:szCs w:val="17"/>
                <w:color w:val="auto"/>
              </w:rPr>
              <w:t>4,486,181</w:t>
            </w:r>
          </w:p>
        </w:tc>
        <w:tc>
          <w:tcPr>
            <w:tcW w:w="100" w:type="dxa"/>
            <w:vAlign w:val="bottom"/>
            <w:shd w:val="clear" w:color="auto" w:fill="CFF0FC"/>
          </w:tcPr>
          <w:p>
            <w:pPr>
              <w:spacing w:after="0"/>
              <w:rPr>
                <w:sz w:val="15"/>
                <w:szCs w:val="15"/>
                <w:color w:val="auto"/>
              </w:rPr>
            </w:pPr>
          </w:p>
        </w:tc>
      </w:tr>
      <w:tr>
        <w:trPr>
          <w:trHeight w:val="189"/>
        </w:trPr>
        <w:tc>
          <w:tcPr>
            <w:tcW w:w="6760" w:type="dxa"/>
            <w:vAlign w:val="bottom"/>
          </w:tcPr>
          <w:p>
            <w:pPr>
              <w:spacing w:after="0" w:line="189" w:lineRule="exact"/>
              <w:rPr>
                <w:sz w:val="20"/>
                <w:szCs w:val="20"/>
                <w:color w:val="auto"/>
              </w:rPr>
            </w:pPr>
            <w:r>
              <w:rPr>
                <w:rFonts w:ascii="Arial" w:cs="Arial" w:eastAsia="Arial" w:hAnsi="Arial"/>
                <w:sz w:val="17"/>
                <w:szCs w:val="17"/>
                <w:color w:val="auto"/>
              </w:rPr>
              <w:t>Unvested restricted stock</w:t>
            </w:r>
          </w:p>
        </w:tc>
        <w:tc>
          <w:tcPr>
            <w:tcW w:w="21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330,779</w:t>
            </w:r>
          </w:p>
        </w:tc>
        <w:tc>
          <w:tcPr>
            <w:tcW w:w="100" w:type="dxa"/>
            <w:vAlign w:val="bottom"/>
          </w:tcPr>
          <w:p>
            <w:pPr>
              <w:spacing w:after="0"/>
              <w:rPr>
                <w:sz w:val="16"/>
                <w:szCs w:val="16"/>
                <w:color w:val="auto"/>
              </w:rPr>
            </w:pPr>
          </w:p>
        </w:tc>
      </w:tr>
      <w:tr>
        <w:trPr>
          <w:trHeight w:val="189"/>
        </w:trPr>
        <w:tc>
          <w:tcPr>
            <w:tcW w:w="67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Shares available for future grant under stock option plan</w:t>
            </w:r>
          </w:p>
        </w:tc>
        <w:tc>
          <w:tcPr>
            <w:tcW w:w="2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2,329,431</w:t>
            </w:r>
          </w:p>
        </w:tc>
        <w:tc>
          <w:tcPr>
            <w:tcW w:w="224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7"/>
                <w:szCs w:val="17"/>
                <w:color w:val="auto"/>
              </w:rPr>
              <w:t>2,008,379</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tcPr>
          <w:p>
            <w:pPr>
              <w:spacing w:after="0" w:line="189" w:lineRule="exact"/>
              <w:rPr>
                <w:sz w:val="20"/>
                <w:szCs w:val="20"/>
                <w:color w:val="auto"/>
              </w:rPr>
            </w:pPr>
            <w:r>
              <w:rPr>
                <w:rFonts w:ascii="Arial" w:cs="Arial" w:eastAsia="Arial" w:hAnsi="Arial"/>
                <w:sz w:val="17"/>
                <w:szCs w:val="17"/>
                <w:color w:val="auto"/>
              </w:rPr>
              <w:t>Warrants</w:t>
            </w:r>
          </w:p>
        </w:tc>
        <w:tc>
          <w:tcPr>
            <w:tcW w:w="2140" w:type="dxa"/>
            <w:vAlign w:val="bottom"/>
          </w:tcPr>
          <w:p>
            <w:pPr>
              <w:jc w:val="right"/>
              <w:spacing w:after="0" w:line="189" w:lineRule="exact"/>
              <w:rPr>
                <w:sz w:val="20"/>
                <w:szCs w:val="20"/>
                <w:color w:val="auto"/>
              </w:rPr>
            </w:pPr>
            <w:r>
              <w:rPr>
                <w:rFonts w:ascii="Arial" w:cs="Arial" w:eastAsia="Arial" w:hAnsi="Arial"/>
                <w:sz w:val="17"/>
                <w:szCs w:val="17"/>
                <w:color w:val="auto"/>
              </w:rPr>
              <w:t>7,507,708</w:t>
            </w:r>
          </w:p>
        </w:tc>
        <w:tc>
          <w:tcPr>
            <w:tcW w:w="22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6"/>
                <w:szCs w:val="16"/>
                <w:color w:val="auto"/>
              </w:rPr>
            </w:pPr>
          </w:p>
        </w:tc>
      </w:tr>
      <w:tr>
        <w:trPr>
          <w:trHeight w:val="189"/>
        </w:trPr>
        <w:tc>
          <w:tcPr>
            <w:tcW w:w="67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Pre-funded warrants</w:t>
            </w:r>
          </w:p>
        </w:tc>
        <w:tc>
          <w:tcPr>
            <w:tcW w:w="21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1,383,334</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2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3,333,333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760" w:type="dxa"/>
            <w:vAlign w:val="bottom"/>
          </w:tcPr>
          <w:p>
            <w:pPr>
              <w:spacing w:after="0"/>
              <w:rPr>
                <w:sz w:val="15"/>
                <w:szCs w:val="15"/>
                <w:color w:val="auto"/>
              </w:rPr>
            </w:pPr>
          </w:p>
        </w:tc>
        <w:tc>
          <w:tcPr>
            <w:tcW w:w="2140" w:type="dxa"/>
            <w:vAlign w:val="bottom"/>
          </w:tcPr>
          <w:p>
            <w:pPr>
              <w:jc w:val="right"/>
              <w:spacing w:after="0" w:line="183" w:lineRule="exact"/>
              <w:rPr>
                <w:sz w:val="20"/>
                <w:szCs w:val="20"/>
                <w:color w:val="auto"/>
              </w:rPr>
            </w:pPr>
            <w:r>
              <w:rPr>
                <w:rFonts w:ascii="Arial" w:cs="Arial" w:eastAsia="Arial" w:hAnsi="Arial"/>
                <w:sz w:val="17"/>
                <w:szCs w:val="17"/>
                <w:color w:val="auto"/>
              </w:rPr>
              <w:t>17,139,665</w:t>
            </w:r>
          </w:p>
        </w:tc>
        <w:tc>
          <w:tcPr>
            <w:tcW w:w="224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17,666,380</w:t>
            </w:r>
          </w:p>
        </w:tc>
        <w:tc>
          <w:tcPr>
            <w:tcW w:w="100" w:type="dxa"/>
            <w:vAlign w:val="bottom"/>
          </w:tcPr>
          <w:p>
            <w:pPr>
              <w:spacing w:after="0"/>
              <w:rPr>
                <w:sz w:val="15"/>
                <w:szCs w:val="15"/>
                <w:color w:val="auto"/>
              </w:rPr>
            </w:pPr>
          </w:p>
        </w:tc>
      </w:tr>
      <w:tr>
        <w:trPr>
          <w:trHeight w:val="20"/>
        </w:trPr>
        <w:tc>
          <w:tcPr>
            <w:tcW w:w="676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0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As of March 31, 2025, the Company sold and issued 2,976,391 shares of common stock under the ATM Program, with total net proceeds of $16.2 million. Subsequent to March 31, 2025 and through May 5, 2025, the Company sold and issued 833,011 additional shares of common stock under the ATM Program, with total net proceeds of $4.0 million.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Warrants</w:t>
      </w:r>
    </w:p>
    <w:p>
      <w:pPr>
        <w:spacing w:after="0" w:line="100"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has the following warrants outstanding for the purchase of common stock as of March 31, 2025 and December 31, 2024 (except for the Pre-Funded Warrants, which had 3,333,333 shares of common stock subject to warrants outstanding as of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SHARES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338"/>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SUBJECT TO</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318"/>
              <w:spacing w:after="0"/>
              <w:rPr>
                <w:sz w:val="20"/>
                <w:szCs w:val="20"/>
                <w:color w:val="auto"/>
              </w:rPr>
            </w:pPr>
            <w:r>
              <w:rPr>
                <w:rFonts w:ascii="Arial" w:cs="Arial" w:eastAsia="Arial" w:hAnsi="Arial"/>
                <w:sz w:val="14"/>
                <w:szCs w:val="14"/>
                <w:b w:val="1"/>
                <w:bCs w:val="1"/>
                <w:color w:val="auto"/>
              </w:rPr>
              <w:t>PRICE PER</w:t>
            </w:r>
          </w:p>
        </w:tc>
        <w:tc>
          <w:tcPr>
            <w:tcW w:w="200" w:type="dxa"/>
            <w:vAlign w:val="bottom"/>
          </w:tcPr>
          <w:p>
            <w:pPr>
              <w:spacing w:after="0"/>
              <w:rPr>
                <w:sz w:val="14"/>
                <w:szCs w:val="14"/>
                <w:color w:val="auto"/>
              </w:rPr>
            </w:pPr>
          </w:p>
        </w:tc>
        <w:tc>
          <w:tcPr>
            <w:tcW w:w="2320" w:type="dxa"/>
            <w:vAlign w:val="bottom"/>
          </w:tcPr>
          <w:p>
            <w:pPr>
              <w:jc w:val="right"/>
              <w:ind w:right="636"/>
              <w:spacing w:after="0"/>
              <w:rPr>
                <w:sz w:val="20"/>
                <w:szCs w:val="20"/>
                <w:color w:val="auto"/>
              </w:rPr>
            </w:pPr>
            <w:r>
              <w:rPr>
                <w:rFonts w:ascii="Arial" w:cs="Arial" w:eastAsia="Arial" w:hAnsi="Arial"/>
                <w:sz w:val="14"/>
                <w:szCs w:val="14"/>
                <w:b w:val="1"/>
                <w:bCs w:val="1"/>
                <w:color w:val="auto"/>
              </w:rPr>
              <w:t>EXPIRATION</w:t>
            </w:r>
          </w:p>
        </w:tc>
      </w:tr>
      <w:tr>
        <w:trPr>
          <w:trHeight w:val="171"/>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23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DATES</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Series B Warrants</w:t>
            </w:r>
          </w:p>
        </w:tc>
        <w:tc>
          <w:tcPr>
            <w:tcW w:w="208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3,672,484</w:t>
            </w:r>
          </w:p>
        </w:tc>
        <w:tc>
          <w:tcPr>
            <w:tcW w:w="5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6.81</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November 2025</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Conditional Series B Warrants</w:t>
            </w:r>
          </w:p>
        </w:tc>
        <w:tc>
          <w:tcPr>
            <w:tcW w:w="20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3,672,484</w:t>
            </w: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6.81</w:t>
            </w:r>
          </w:p>
        </w:tc>
        <w:tc>
          <w:tcPr>
            <w:tcW w:w="20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November 2025</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NC Ohio Trust</w:t>
            </w:r>
          </w:p>
        </w:tc>
        <w:tc>
          <w:tcPr>
            <w:tcW w:w="20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162,740</w:t>
            </w:r>
          </w:p>
        </w:tc>
        <w:tc>
          <w:tcPr>
            <w:tcW w:w="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March 2029</w:t>
            </w:r>
          </w:p>
        </w:tc>
      </w:tr>
      <w:tr>
        <w:trPr>
          <w:trHeight w:val="239"/>
        </w:trPr>
        <w:tc>
          <w:tcPr>
            <w:tcW w:w="4520" w:type="dxa"/>
            <w:vAlign w:val="bottom"/>
          </w:tcPr>
          <w:p>
            <w:pPr>
              <w:spacing w:after="0"/>
              <w:rPr>
                <w:sz w:val="20"/>
                <w:szCs w:val="20"/>
                <w:color w:val="auto"/>
              </w:rPr>
            </w:pPr>
            <w:r>
              <w:rPr>
                <w:rFonts w:ascii="Arial" w:cs="Arial" w:eastAsia="Arial" w:hAnsi="Arial"/>
                <w:sz w:val="18"/>
                <w:szCs w:val="18"/>
                <w:color w:val="auto"/>
              </w:rPr>
              <w:t>Pre-Funded Warrants</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1,383,334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No expiration</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8"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67"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right="260" w:hanging="503"/>
        <w:spacing w:after="0" w:line="249"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65"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income (loss). The Company will continue to recognize changes in the fair value of the Conditional Series B Warrants until each Conditional Series B Warrant is exercised, expires or qualifies for equity classification. The warrant liability fair value was $6.8 million and $21.7 million as of March 31, 2025 and December 31, 2024,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 Ohio Trust Warrants</w:t>
      </w:r>
    </w:p>
    <w:p>
      <w:pPr>
        <w:spacing w:after="0" w:line="9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condensed consolidated statements of operations and comprehensive income (loss)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140"/>
        <w:spacing w:after="0" w:line="241" w:lineRule="auto"/>
        <w:rPr>
          <w:sz w:val="20"/>
          <w:szCs w:val="20"/>
          <w:color w:val="auto"/>
        </w:rPr>
      </w:pPr>
      <w:r>
        <w:rPr>
          <w:rFonts w:ascii="Arial" w:cs="Arial" w:eastAsia="Arial" w:hAnsi="Arial"/>
          <w:sz w:val="17"/>
          <w:szCs w:val="17"/>
          <w:color w:val="auto"/>
        </w:rPr>
        <w:t>previously used at the service inception date or subsequent reporting dates. As of March 31, 2025 and December 31, 2024, a grant date was not established as there was not a mutual understanding of key terms. The Company remeasures the fair value of the award at each reporting date, as the service date preceded the grant date. The value of the warrants for 162,740 shares of common stock was $0.8 million and $1.3 million as of March 31, 2025 and December 31, 2024, respectively, and was recorded as stock compensation expense within research and development expense and a credit to stockholders’ equity in the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connection with the public offering on December 16, 2024 (see Note 1),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7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During the three months ended March 31, 2025, 1,947,192 shares of common stock were issued upon exercise of pre-funded warrants. As of March 31, 2025, 1,383,334 shares of our common stock were reserved for issuance upon exercise of pre-funded warrants.</w:t>
      </w:r>
    </w:p>
    <w:p>
      <w:pPr>
        <w:spacing w:after="0" w:line="81" w:lineRule="exact"/>
        <w:rPr>
          <w:sz w:val="20"/>
          <w:szCs w:val="20"/>
          <w:color w:val="auto"/>
        </w:rPr>
      </w:pPr>
    </w:p>
    <w:p>
      <w:pPr>
        <w:ind w:right="5380" w:firstLine="8"/>
        <w:spacing w:after="0" w:line="358"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Restricted Stock and Stock-Based Compensation </w:t>
      </w:r>
      <w:r>
        <w:rPr>
          <w:rFonts w:ascii="Arial" w:cs="Arial" w:eastAsia="Arial" w:hAnsi="Arial"/>
          <w:sz w:val="18"/>
          <w:szCs w:val="18"/>
          <w:b w:val="1"/>
          <w:bCs w:val="1"/>
          <w:i w:val="1"/>
          <w:iCs w:val="1"/>
          <w:color w:val="auto"/>
        </w:rPr>
        <w:t>Equity Incentive Plans</w:t>
      </w:r>
    </w:p>
    <w:p>
      <w:pPr>
        <w:spacing w:after="0" w:line="236" w:lineRule="auto"/>
        <w:rPr>
          <w:sz w:val="20"/>
          <w:szCs w:val="20"/>
          <w:color w:val="auto"/>
        </w:rPr>
      </w:pPr>
      <w:r>
        <w:rPr>
          <w:rFonts w:ascii="Arial" w:cs="Arial" w:eastAsia="Arial" w:hAnsi="Arial"/>
          <w:sz w:val="17"/>
          <w:szCs w:val="17"/>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March 31, 2025, there are no shares available for grants under the 2015 Plan and the 2015 Plan continues to govern the terms and conditions of the outstanding awards under the 2015 Plan.</w:t>
      </w:r>
    </w:p>
    <w:p>
      <w:pPr>
        <w:spacing w:after="0" w:line="7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8,544,023 shares of common stock are reserved under the 2021 Plan, of which 2,329,431 shares remain available for future grants as of March 31, 2025.</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40" w:type="dxa"/>
            <w:vAlign w:val="bottom"/>
          </w:tcPr>
          <w:p>
            <w:pPr>
              <w:spacing w:after="0"/>
              <w:rPr>
                <w:sz w:val="14"/>
                <w:szCs w:val="14"/>
                <w:color w:val="auto"/>
              </w:rPr>
            </w:pPr>
          </w:p>
        </w:tc>
        <w:tc>
          <w:tcPr>
            <w:tcW w:w="1680" w:type="dxa"/>
            <w:vAlign w:val="bottom"/>
          </w:tcPr>
          <w:p>
            <w:pPr>
              <w:jc w:val="center"/>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79"/>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240" w:type="dxa"/>
            <w:vAlign w:val="bottom"/>
          </w:tcPr>
          <w:p>
            <w:pPr>
              <w:spacing w:after="0"/>
              <w:rPr>
                <w:sz w:val="14"/>
                <w:szCs w:val="14"/>
                <w:color w:val="auto"/>
              </w:rPr>
            </w:pPr>
          </w:p>
        </w:tc>
        <w:tc>
          <w:tcPr>
            <w:tcW w:w="1680" w:type="dxa"/>
            <w:vAlign w:val="bottom"/>
          </w:tcPr>
          <w:p>
            <w:pPr>
              <w:jc w:val="center"/>
              <w:ind w:right="15"/>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59"/>
              <w:spacing w:after="0"/>
              <w:rPr>
                <w:sz w:val="20"/>
                <w:szCs w:val="20"/>
                <w:color w:val="auto"/>
              </w:rPr>
            </w:pPr>
            <w:r>
              <w:rPr>
                <w:rFonts w:ascii="Arial" w:cs="Arial" w:eastAsia="Arial" w:hAnsi="Arial"/>
                <w:sz w:val="14"/>
                <w:szCs w:val="14"/>
                <w:b w:val="1"/>
                <w:bCs w:val="1"/>
                <w:color w:val="auto"/>
              </w:rPr>
              <w:t>VALUE</w:t>
            </w:r>
          </w:p>
        </w:tc>
      </w:tr>
      <w:tr>
        <w:trPr>
          <w:trHeight w:val="171"/>
        </w:trPr>
        <w:tc>
          <w:tcPr>
            <w:tcW w:w="4240" w:type="dxa"/>
            <w:vAlign w:val="bottom"/>
          </w:tcPr>
          <w:p>
            <w:pPr>
              <w:spacing w:after="0"/>
              <w:rPr>
                <w:sz w:val="14"/>
                <w:szCs w:val="14"/>
                <w:color w:val="auto"/>
              </w:rPr>
            </w:pPr>
          </w:p>
        </w:tc>
        <w:tc>
          <w:tcPr>
            <w:tcW w:w="1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4"/>
                <w:szCs w:val="14"/>
                <w:color w:val="auto"/>
              </w:rPr>
            </w:pPr>
          </w:p>
        </w:tc>
        <w:tc>
          <w:tcPr>
            <w:tcW w:w="16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TERM (IN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December 31, 2024</w:t>
            </w:r>
          </w:p>
        </w:tc>
        <w:tc>
          <w:tcPr>
            <w:tcW w:w="16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4,486,181</w:t>
            </w:r>
          </w:p>
        </w:tc>
        <w:tc>
          <w:tcPr>
            <w:tcW w:w="38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2.54</w:t>
            </w:r>
          </w:p>
        </w:tc>
        <w:tc>
          <w:tcPr>
            <w:tcW w:w="1760" w:type="dxa"/>
            <w:vAlign w:val="bottom"/>
            <w:gridSpan w:val="2"/>
            <w:shd w:val="clear" w:color="auto" w:fill="CFF0FC"/>
          </w:tcPr>
          <w:p>
            <w:pPr>
              <w:jc w:val="right"/>
              <w:ind w:right="45"/>
              <w:spacing w:after="0" w:line="196" w:lineRule="exact"/>
              <w:rPr>
                <w:sz w:val="20"/>
                <w:szCs w:val="20"/>
                <w:color w:val="auto"/>
              </w:rPr>
            </w:pPr>
            <w:r>
              <w:rPr>
                <w:rFonts w:ascii="Arial" w:cs="Arial" w:eastAsia="Arial" w:hAnsi="Arial"/>
                <w:sz w:val="18"/>
                <w:szCs w:val="18"/>
                <w:color w:val="auto"/>
              </w:rPr>
              <w:t>6.61</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27,599</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1,619,650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8.48</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(118,356)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Cancelled, forfeited or expired</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(68,283)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6.15</w:t>
            </w:r>
          </w:p>
        </w:tc>
        <w:tc>
          <w:tcPr>
            <w:tcW w:w="1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36"/>
        </w:trPr>
        <w:tc>
          <w:tcPr>
            <w:tcW w:w="4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as of March 31, 2025</w:t>
            </w:r>
          </w:p>
        </w:tc>
        <w:tc>
          <w:tcPr>
            <w:tcW w:w="16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5,919,192</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4.13</w:t>
            </w:r>
          </w:p>
        </w:tc>
        <w:tc>
          <w:tcPr>
            <w:tcW w:w="1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45"/>
              <w:spacing w:after="0" w:line="196" w:lineRule="exact"/>
              <w:rPr>
                <w:sz w:val="20"/>
                <w:szCs w:val="20"/>
                <w:color w:val="auto"/>
              </w:rPr>
            </w:pPr>
            <w:r>
              <w:rPr>
                <w:rFonts w:ascii="Arial" w:cs="Arial" w:eastAsia="Arial" w:hAnsi="Arial"/>
                <w:sz w:val="18"/>
                <w:szCs w:val="18"/>
                <w:color w:val="auto"/>
              </w:rPr>
              <w:t>7.24</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13,851</w:t>
            </w:r>
          </w:p>
        </w:tc>
      </w:tr>
      <w:tr>
        <w:trPr>
          <w:trHeight w:val="183"/>
        </w:trPr>
        <w:tc>
          <w:tcPr>
            <w:tcW w:w="4240" w:type="dxa"/>
            <w:vAlign w:val="bottom"/>
          </w:tcPr>
          <w:p>
            <w:pPr>
              <w:spacing w:after="0" w:line="183" w:lineRule="exact"/>
              <w:rPr>
                <w:sz w:val="20"/>
                <w:szCs w:val="20"/>
                <w:color w:val="auto"/>
              </w:rPr>
            </w:pPr>
            <w:r>
              <w:rPr>
                <w:rFonts w:ascii="Arial" w:cs="Arial" w:eastAsia="Arial" w:hAnsi="Arial"/>
                <w:sz w:val="18"/>
                <w:szCs w:val="18"/>
                <w:color w:val="auto"/>
              </w:rPr>
              <w:t>Exercisable as of March 31, 2025</w:t>
            </w:r>
          </w:p>
        </w:tc>
        <w:tc>
          <w:tcPr>
            <w:tcW w:w="1680" w:type="dxa"/>
            <w:vAlign w:val="bottom"/>
          </w:tcPr>
          <w:p>
            <w:pPr>
              <w:jc w:val="right"/>
              <w:ind w:right="35"/>
              <w:spacing w:after="0" w:line="183" w:lineRule="exact"/>
              <w:rPr>
                <w:sz w:val="20"/>
                <w:szCs w:val="20"/>
                <w:color w:val="auto"/>
              </w:rPr>
            </w:pPr>
            <w:r>
              <w:rPr>
                <w:rFonts w:ascii="Arial" w:cs="Arial" w:eastAsia="Arial" w:hAnsi="Arial"/>
                <w:sz w:val="18"/>
                <w:szCs w:val="18"/>
                <w:color w:val="auto"/>
              </w:rPr>
              <w:t>3,549,179</w:t>
            </w:r>
          </w:p>
        </w:tc>
        <w:tc>
          <w:tcPr>
            <w:tcW w:w="380" w:type="dxa"/>
            <w:vAlign w:val="bottom"/>
            <w:gridSpan w:val="2"/>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7"/>
              <w:spacing w:after="0" w:line="183" w:lineRule="exact"/>
              <w:rPr>
                <w:sz w:val="20"/>
                <w:szCs w:val="20"/>
                <w:color w:val="auto"/>
              </w:rPr>
            </w:pPr>
            <w:r>
              <w:rPr>
                <w:rFonts w:ascii="Arial" w:cs="Arial" w:eastAsia="Arial" w:hAnsi="Arial"/>
                <w:sz w:val="18"/>
                <w:szCs w:val="18"/>
                <w:color w:val="auto"/>
              </w:rPr>
              <w:t>2.48</w:t>
            </w:r>
          </w:p>
        </w:tc>
        <w:tc>
          <w:tcPr>
            <w:tcW w:w="1760" w:type="dxa"/>
            <w:vAlign w:val="bottom"/>
            <w:gridSpan w:val="2"/>
          </w:tcPr>
          <w:p>
            <w:pPr>
              <w:jc w:val="right"/>
              <w:ind w:right="45"/>
              <w:spacing w:after="0" w:line="183" w:lineRule="exact"/>
              <w:rPr>
                <w:sz w:val="20"/>
                <w:szCs w:val="20"/>
                <w:color w:val="auto"/>
              </w:rPr>
            </w:pPr>
            <w:r>
              <w:rPr>
                <w:rFonts w:ascii="Arial" w:cs="Arial" w:eastAsia="Arial" w:hAnsi="Arial"/>
                <w:sz w:val="18"/>
                <w:szCs w:val="18"/>
                <w:color w:val="auto"/>
              </w:rPr>
              <w:t>5.90</w:t>
            </w: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8"/>
                <w:szCs w:val="18"/>
                <w:color w:val="auto"/>
              </w:rPr>
              <w:t>11,692</w:t>
            </w:r>
          </w:p>
        </w:tc>
      </w:tr>
      <w:tr>
        <w:trPr>
          <w:trHeight w:val="20"/>
        </w:trPr>
        <w:tc>
          <w:tcPr>
            <w:tcW w:w="4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2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Unvested as of March 31, 2025</w:t>
            </w:r>
          </w:p>
        </w:tc>
        <w:tc>
          <w:tcPr>
            <w:tcW w:w="1680" w:type="dxa"/>
            <w:vAlign w:val="bottom"/>
            <w:shd w:val="clear" w:color="auto" w:fill="CFF0FC"/>
          </w:tcPr>
          <w:p>
            <w:pPr>
              <w:jc w:val="right"/>
              <w:ind w:right="35"/>
              <w:spacing w:after="0" w:line="183" w:lineRule="exact"/>
              <w:rPr>
                <w:sz w:val="20"/>
                <w:szCs w:val="20"/>
                <w:color w:val="auto"/>
              </w:rPr>
            </w:pPr>
            <w:r>
              <w:rPr>
                <w:rFonts w:ascii="Arial" w:cs="Arial" w:eastAsia="Arial" w:hAnsi="Arial"/>
                <w:sz w:val="18"/>
                <w:szCs w:val="18"/>
                <w:color w:val="auto"/>
              </w:rPr>
              <w:t>2,370,013</w:t>
            </w:r>
          </w:p>
        </w:tc>
        <w:tc>
          <w:tcPr>
            <w:tcW w:w="380" w:type="dxa"/>
            <w:vAlign w:val="bottom"/>
            <w:gridSpan w:val="2"/>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7"/>
              <w:spacing w:after="0" w:line="183" w:lineRule="exact"/>
              <w:rPr>
                <w:sz w:val="20"/>
                <w:szCs w:val="20"/>
                <w:color w:val="auto"/>
              </w:rPr>
            </w:pPr>
            <w:r>
              <w:rPr>
                <w:rFonts w:ascii="Arial" w:cs="Arial" w:eastAsia="Arial" w:hAnsi="Arial"/>
                <w:sz w:val="18"/>
                <w:szCs w:val="18"/>
                <w:color w:val="auto"/>
              </w:rPr>
              <w:t>6.61</w:t>
            </w:r>
          </w:p>
        </w:tc>
        <w:tc>
          <w:tcPr>
            <w:tcW w:w="1760" w:type="dxa"/>
            <w:vAlign w:val="bottom"/>
            <w:gridSpan w:val="2"/>
            <w:shd w:val="clear" w:color="auto" w:fill="CFF0FC"/>
          </w:tcPr>
          <w:p>
            <w:pPr>
              <w:jc w:val="right"/>
              <w:ind w:right="45"/>
              <w:spacing w:after="0" w:line="183" w:lineRule="exact"/>
              <w:rPr>
                <w:sz w:val="20"/>
                <w:szCs w:val="20"/>
                <w:color w:val="auto"/>
              </w:rPr>
            </w:pPr>
            <w:r>
              <w:rPr>
                <w:rFonts w:ascii="Arial" w:cs="Arial" w:eastAsia="Arial" w:hAnsi="Arial"/>
                <w:sz w:val="18"/>
                <w:szCs w:val="18"/>
                <w:color w:val="auto"/>
              </w:rPr>
              <w:t>9.25</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8"/>
                <w:szCs w:val="18"/>
                <w:color w:val="auto"/>
              </w:rPr>
              <w:t>2,159</w:t>
            </w:r>
          </w:p>
        </w:tc>
      </w:tr>
      <w:tr>
        <w:trPr>
          <w:trHeight w:val="862"/>
        </w:trPr>
        <w:tc>
          <w:tcPr>
            <w:tcW w:w="4240" w:type="dxa"/>
            <w:vAlign w:val="bottom"/>
            <w:tcBorders>
              <w:top w:val="single" w:sz="8" w:color="CFF0FC"/>
            </w:tcBorders>
          </w:tcPr>
          <w:p>
            <w:pPr>
              <w:spacing w:after="0"/>
              <w:rPr>
                <w:sz w:val="24"/>
                <w:szCs w:val="24"/>
                <w:color w:val="auto"/>
              </w:rPr>
            </w:pPr>
          </w:p>
        </w:tc>
        <w:tc>
          <w:tcPr>
            <w:tcW w:w="168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745"/>
        </w:trPr>
        <w:tc>
          <w:tcPr>
            <w:tcW w:w="4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-1379220</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-1362075</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-1379220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-1362075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-1379220</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-1362075</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-1071245</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-1053465</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-1071245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-1053465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-1071245</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-1053465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9" w:name="page20"/>
    <w:bookmarkEnd w:id="19"/>
    <w:p>
      <w:pPr>
        <w:ind w:right="6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condensed consolidated financial statements at March 31, 2025.</w:t>
      </w:r>
    </w:p>
    <w:p>
      <w:pPr>
        <w:spacing w:after="0" w:line="72"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range of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480" w:type="dxa"/>
            <w:vAlign w:val="bottom"/>
            <w:gridSpan w:val="3"/>
          </w:tcPr>
          <w:p>
            <w:pPr>
              <w:jc w:val="center"/>
              <w:ind w:left="1438"/>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3480" w:type="dxa"/>
            <w:vAlign w:val="bottom"/>
            <w:tcBorders>
              <w:bottom w:val="single" w:sz="8" w:color="auto"/>
            </w:tcBorders>
            <w:gridSpan w:val="3"/>
          </w:tcPr>
          <w:p>
            <w:pPr>
              <w:jc w:val="center"/>
              <w:ind w:left="1438"/>
              <w:spacing w:after="0"/>
              <w:rPr>
                <w:sz w:val="20"/>
                <w:szCs w:val="20"/>
                <w:color w:val="auto"/>
              </w:rPr>
            </w:pPr>
            <w:r>
              <w:rPr>
                <w:rFonts w:ascii="Arial" w:cs="Arial" w:eastAsia="Arial" w:hAnsi="Arial"/>
                <w:sz w:val="14"/>
                <w:szCs w:val="14"/>
                <w:b w:val="1"/>
                <w:bCs w:val="1"/>
                <w:color w:val="auto"/>
              </w:rPr>
              <w:t>MARCH 31,</w:t>
            </w:r>
          </w:p>
        </w:tc>
        <w:tc>
          <w:tcPr>
            <w:tcW w:w="1700" w:type="dxa"/>
            <w:vAlign w:val="bottom"/>
            <w:tcBorders>
              <w:bottom w:val="single" w:sz="8" w:color="auto"/>
            </w:tcBorders>
          </w:tcPr>
          <w:p>
            <w:pPr>
              <w:spacing w:after="0"/>
              <w:rPr>
                <w:sz w:val="14"/>
                <w:szCs w:val="14"/>
                <w:color w:val="auto"/>
              </w:rPr>
            </w:pPr>
          </w:p>
        </w:tc>
      </w:tr>
      <w:tr>
        <w:trPr>
          <w:trHeight w:val="155"/>
        </w:trPr>
        <w:tc>
          <w:tcPr>
            <w:tcW w:w="6060" w:type="dxa"/>
            <w:vAlign w:val="bottom"/>
          </w:tcPr>
          <w:p>
            <w:pPr>
              <w:spacing w:after="0"/>
              <w:rPr>
                <w:sz w:val="13"/>
                <w:szCs w:val="13"/>
                <w:color w:val="auto"/>
              </w:rPr>
            </w:pPr>
          </w:p>
        </w:tc>
        <w:tc>
          <w:tcPr>
            <w:tcW w:w="2520" w:type="dxa"/>
            <w:vAlign w:val="bottom"/>
            <w:tcBorders>
              <w:bottom w:val="single" w:sz="8" w:color="auto"/>
            </w:tcBorders>
          </w:tcPr>
          <w:p>
            <w:pPr>
              <w:jc w:val="right"/>
              <w:ind w:right="109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109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option life (years)</w:t>
            </w:r>
          </w:p>
        </w:tc>
        <w:tc>
          <w:tcPr>
            <w:tcW w:w="2520" w:type="dxa"/>
            <w:vAlign w:val="bottom"/>
            <w:shd w:val="clear" w:color="auto" w:fill="CFF0FC"/>
          </w:tcPr>
          <w:p>
            <w:pPr>
              <w:jc w:val="right"/>
              <w:ind w:right="98"/>
              <w:spacing w:after="0" w:line="196" w:lineRule="exact"/>
              <w:rPr>
                <w:sz w:val="20"/>
                <w:szCs w:val="20"/>
                <w:color w:val="auto"/>
              </w:rPr>
            </w:pPr>
            <w:r>
              <w:rPr>
                <w:rFonts w:ascii="Arial" w:cs="Arial" w:eastAsia="Arial" w:hAnsi="Arial"/>
                <w:sz w:val="18"/>
                <w:szCs w:val="18"/>
                <w:color w:val="auto"/>
              </w:rPr>
              <w:t>5.67 - 6.08</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94"/>
              <w:spacing w:after="0" w:line="196" w:lineRule="exact"/>
              <w:rPr>
                <w:sz w:val="20"/>
                <w:szCs w:val="20"/>
                <w:color w:val="auto"/>
              </w:rPr>
            </w:pPr>
            <w:r>
              <w:rPr>
                <w:rFonts w:ascii="Arial" w:cs="Arial" w:eastAsia="Arial" w:hAnsi="Arial"/>
                <w:sz w:val="18"/>
                <w:szCs w:val="18"/>
                <w:color w:val="auto"/>
              </w:rPr>
              <w:t>6.08</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5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4.03% - 4.52%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4.21% - 4.27%</w:t>
            </w:r>
          </w:p>
        </w:tc>
      </w:tr>
      <w:tr>
        <w:trPr>
          <w:trHeight w:val="203"/>
        </w:trPr>
        <w:tc>
          <w:tcPr>
            <w:tcW w:w="6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252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118.46% - 119.98%</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99.30% - 99.45%</w:t>
            </w:r>
          </w:p>
        </w:tc>
      </w:t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5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3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total intrinsic value of stock options exercised during the three months ended March 31, 2025 and 2024 was $0.4 million and zero,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8"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60" w:type="dxa"/>
            <w:vAlign w:val="bottom"/>
          </w:tcPr>
          <w:p>
            <w:pPr>
              <w:spacing w:after="0"/>
              <w:rPr>
                <w:sz w:val="14"/>
                <w:szCs w:val="1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6660" w:type="dxa"/>
            <w:vAlign w:val="bottom"/>
          </w:tcPr>
          <w:p>
            <w:pPr>
              <w:spacing w:after="0"/>
              <w:rPr>
                <w:sz w:val="14"/>
                <w:szCs w:val="14"/>
                <w:color w:val="auto"/>
              </w:rPr>
            </w:pPr>
          </w:p>
        </w:tc>
        <w:tc>
          <w:tcPr>
            <w:tcW w:w="22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SHARES OPTIONS</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4"/>
                <w:szCs w:val="14"/>
                <w:color w:val="auto"/>
              </w:rPr>
            </w:pPr>
          </w:p>
        </w:tc>
      </w:tr>
      <w:tr>
        <w:trPr>
          <w:trHeight w:val="182"/>
        </w:trPr>
        <w:tc>
          <w:tcPr>
            <w:tcW w:w="66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Unvested at December 31, 2024</w:t>
            </w:r>
          </w:p>
        </w:tc>
        <w:tc>
          <w:tcPr>
            <w:tcW w:w="2720" w:type="dxa"/>
            <w:vAlign w:val="bottom"/>
            <w:gridSpan w:val="2"/>
            <w:shd w:val="clear" w:color="auto" w:fill="CFF0FC"/>
          </w:tcPr>
          <w:p>
            <w:pPr>
              <w:jc w:val="right"/>
              <w:ind w:right="440"/>
              <w:spacing w:after="0" w:line="183" w:lineRule="exact"/>
              <w:rPr>
                <w:sz w:val="20"/>
                <w:szCs w:val="20"/>
                <w:color w:val="auto"/>
              </w:rPr>
            </w:pPr>
            <w:r>
              <w:rPr>
                <w:rFonts w:ascii="Arial" w:cs="Arial" w:eastAsia="Arial" w:hAnsi="Arial"/>
                <w:sz w:val="17"/>
                <w:szCs w:val="17"/>
                <w:color w:val="auto"/>
              </w:rPr>
              <w:t>330,779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0.98</w:t>
            </w: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27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27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(330,779)</w:t>
            </w:r>
          </w:p>
        </w:tc>
        <w:tc>
          <w:tcPr>
            <w:tcW w:w="1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0.98</w:t>
            </w: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7"/>
                <w:szCs w:val="17"/>
                <w:color w:val="auto"/>
              </w:rPr>
              <w:t>Forfeited</w:t>
            </w:r>
          </w:p>
        </w:tc>
        <w:tc>
          <w:tcPr>
            <w:tcW w:w="2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22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Unvested at March 31, 2025</w:t>
            </w:r>
          </w:p>
        </w:tc>
        <w:tc>
          <w:tcPr>
            <w:tcW w:w="2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The aggregate fair value of restricted stock units that vested during the three months ended March 31, 2025 and 2024 was $1.9 million and zero,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Stock-based compensation expense for the three months ended March 31, 2025 and 2024 was classified in the condensed consolidated statements of operations and comprehensive income (loss)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82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10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1160" w:type="dxa"/>
            <w:vAlign w:val="bottom"/>
            <w:gridSpan w:val="2"/>
            <w:shd w:val="clear" w:color="auto" w:fill="CFF0FC"/>
          </w:tcPr>
          <w:p>
            <w:pPr>
              <w:jc w:val="right"/>
              <w:ind w:right="82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553</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440</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490</w:t>
            </w:r>
          </w:p>
        </w:tc>
      </w:tr>
      <w:tr>
        <w:trPr>
          <w:trHeight w:val="21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1060" w:type="dxa"/>
            <w:vAlign w:val="bottom"/>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314</w:t>
            </w:r>
          </w:p>
        </w:tc>
        <w:tc>
          <w:tcPr>
            <w:tcW w:w="1160" w:type="dxa"/>
            <w:vAlign w:val="bottom"/>
            <w:gridSpan w:val="2"/>
            <w:shd w:val="clear" w:color="auto" w:fill="CFF0FC"/>
          </w:tcPr>
          <w:p>
            <w:pPr>
              <w:jc w:val="right"/>
              <w:ind w:right="82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1,043</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4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As of March 31, 2025, total unrecognized compensation cost related to the unvested stock-based awards was $12.7 million, which is expected to be recognized over a weighted average period of 3.18 years.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Exclusive Licensing Agreement with a Related Party</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the $1.0 million upfront license fee as research and development service revenue as of December 31,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Technology License Agreement</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each of the three months ended March 31, 2025 and 2024, the Company did not expense any startup and patient fees for clinical trials performed by MGB.</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identified the guarantees described below as disclosable,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6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1" w:name="page22"/>
    <w:bookmarkEnd w:id="21"/>
    <w:p>
      <w:pPr>
        <w:ind w:right="48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of March 31, 2025,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99" w:lineRule="exact"/>
        <w:rPr>
          <w:sz w:val="20"/>
          <w:szCs w:val="20"/>
          <w:color w:val="auto"/>
        </w:rPr>
      </w:pPr>
    </w:p>
    <w:p>
      <w:pPr>
        <w:ind w:right="8480" w:firstLine="8"/>
        <w:spacing w:after="0" w:line="358"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w:t>
      </w:r>
      <w:r>
        <w:rPr>
          <w:rFonts w:ascii="Arial" w:cs="Arial" w:eastAsia="Arial" w:hAnsi="Arial"/>
          <w:sz w:val="18"/>
          <w:szCs w:val="18"/>
          <w:b w:val="1"/>
          <w:bCs w:val="1"/>
          <w:i w:val="1"/>
          <w:iCs w:val="1"/>
          <w:color w:val="auto"/>
        </w:rPr>
        <w:t>Net Income (Loss) Per Share</w:t>
      </w:r>
    </w:p>
    <w:p>
      <w:pPr>
        <w:ind w:right="40"/>
        <w:spacing w:after="0" w:line="244" w:lineRule="auto"/>
        <w:rPr>
          <w:sz w:val="20"/>
          <w:szCs w:val="20"/>
          <w:color w:val="auto"/>
        </w:rPr>
      </w:pPr>
      <w:r>
        <w:rPr>
          <w:rFonts w:ascii="Arial" w:cs="Arial" w:eastAsia="Arial" w:hAnsi="Arial"/>
          <w:sz w:val="17"/>
          <w:szCs w:val="17"/>
          <w:color w:val="auto"/>
        </w:rPr>
        <w:t>Basic net income (loss) per share attributable to common stockholders was computed by dividing net income (loss) by the weighted-average common shares outstanding for the period, including the pre-funded warrants given their nominal exercise price (in thousands, except share and per share data). Diluted net income (loss) per share attributable to common stockholders was computed by dividing net income (loss) by the weighted-average common shares outstanding and potentially dilutive shares for the period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200"/>
              <w:spacing w:after="0" w:line="183" w:lineRule="exact"/>
              <w:rPr>
                <w:sz w:val="20"/>
                <w:szCs w:val="20"/>
                <w:color w:val="auto"/>
              </w:rPr>
            </w:pPr>
            <w:r>
              <w:rPr>
                <w:rFonts w:ascii="Arial" w:cs="Arial" w:eastAsia="Arial" w:hAnsi="Arial"/>
                <w:sz w:val="17"/>
                <w:szCs w:val="17"/>
                <w:color w:val="auto"/>
              </w:rPr>
              <w:t>Net income (loss)</w:t>
            </w:r>
          </w:p>
        </w:tc>
        <w:tc>
          <w:tcPr>
            <w:tcW w:w="130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7"/>
                <w:szCs w:val="17"/>
                <w:color w:val="auto"/>
              </w:rPr>
              <w:t>7,379</w:t>
            </w:r>
          </w:p>
        </w:tc>
        <w:tc>
          <w:tcPr>
            <w:tcW w:w="600" w:type="dxa"/>
            <w:vAlign w:val="bottom"/>
            <w:gridSpan w:val="2"/>
            <w:shd w:val="clear" w:color="auto" w:fill="CFF0FC"/>
          </w:tcPr>
          <w:p>
            <w:pPr>
              <w:jc w:val="right"/>
              <w:ind w:right="340"/>
              <w:spacing w:after="0" w:line="183" w:lineRule="exact"/>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(8,221)</w:t>
            </w:r>
          </w:p>
        </w:tc>
        <w:tc>
          <w:tcPr>
            <w:tcW w:w="0" w:type="dxa"/>
            <w:vAlign w:val="bottom"/>
          </w:tcPr>
          <w:p>
            <w:pPr>
              <w:spacing w:after="0"/>
              <w:rPr>
                <w:sz w:val="1"/>
                <w:szCs w:val="1"/>
                <w:color w:val="auto"/>
              </w:rPr>
            </w:pPr>
          </w:p>
        </w:tc>
      </w:tr>
      <w:tr>
        <w:trPr>
          <w:trHeight w:val="169"/>
        </w:trPr>
        <w:tc>
          <w:tcPr>
            <w:tcW w:w="6820" w:type="dxa"/>
            <w:vAlign w:val="bottom"/>
            <w:tcBorders>
              <w:top w:val="single" w:sz="8" w:color="CFF0FC"/>
            </w:tcBorders>
          </w:tcPr>
          <w:p>
            <w:pPr>
              <w:spacing w:after="0" w:line="170" w:lineRule="exact"/>
              <w:rPr>
                <w:sz w:val="20"/>
                <w:szCs w:val="20"/>
                <w:color w:val="auto"/>
              </w:rPr>
            </w:pPr>
            <w:r>
              <w:rPr>
                <w:rFonts w:ascii="Arial" w:cs="Arial" w:eastAsia="Arial" w:hAnsi="Arial"/>
                <w:sz w:val="17"/>
                <w:szCs w:val="17"/>
                <w:b w:val="1"/>
                <w:bCs w:val="1"/>
                <w:color w:val="auto"/>
              </w:rPr>
              <w:t>Denominator:</w:t>
            </w:r>
          </w:p>
        </w:tc>
        <w:tc>
          <w:tcPr>
            <w:tcW w:w="96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20" w:type="dxa"/>
            <w:vAlign w:val="bottom"/>
            <w:shd w:val="clear" w:color="auto" w:fill="CFF0FC"/>
          </w:tcPr>
          <w:p>
            <w:pPr>
              <w:ind w:left="200"/>
              <w:spacing w:after="0" w:line="167" w:lineRule="exact"/>
              <w:rPr>
                <w:sz w:val="20"/>
                <w:szCs w:val="20"/>
                <w:color w:val="auto"/>
              </w:rPr>
            </w:pPr>
            <w:r>
              <w:rPr>
                <w:rFonts w:ascii="Arial" w:cs="Arial" w:eastAsia="Arial" w:hAnsi="Arial"/>
                <w:sz w:val="17"/>
                <w:szCs w:val="17"/>
                <w:color w:val="auto"/>
              </w:rPr>
              <w:t>Weighted-average shares of common stock</w:t>
            </w:r>
          </w:p>
        </w:tc>
        <w:tc>
          <w:tcPr>
            <w:tcW w:w="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ind w:right="39"/>
              <w:spacing w:after="0"/>
              <w:rPr>
                <w:sz w:val="20"/>
                <w:szCs w:val="20"/>
                <w:color w:val="auto"/>
              </w:rPr>
            </w:pPr>
            <w:r>
              <w:rPr>
                <w:rFonts w:ascii="Arial" w:cs="Arial" w:eastAsia="Arial" w:hAnsi="Arial"/>
                <w:sz w:val="17"/>
                <w:szCs w:val="17"/>
                <w:color w:val="auto"/>
              </w:rPr>
              <w:t>50,482,278</w:t>
            </w: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ind w:right="36"/>
              <w:spacing w:after="0"/>
              <w:rPr>
                <w:sz w:val="20"/>
                <w:szCs w:val="20"/>
                <w:color w:val="auto"/>
              </w:rPr>
            </w:pPr>
            <w:r>
              <w:rPr>
                <w:rFonts w:ascii="Arial" w:cs="Arial" w:eastAsia="Arial" w:hAnsi="Arial"/>
                <w:sz w:val="17"/>
                <w:szCs w:val="17"/>
                <w:color w:val="auto"/>
              </w:rPr>
              <w:t>29,197,537</w:t>
            </w:r>
          </w:p>
        </w:tc>
        <w:tc>
          <w:tcPr>
            <w:tcW w:w="0" w:type="dxa"/>
            <w:vAlign w:val="bottom"/>
          </w:tcPr>
          <w:p>
            <w:pPr>
              <w:spacing w:after="0"/>
              <w:rPr>
                <w:sz w:val="1"/>
                <w:szCs w:val="1"/>
                <w:color w:val="auto"/>
              </w:rPr>
            </w:pPr>
          </w:p>
        </w:tc>
      </w:tr>
      <w:tr>
        <w:trPr>
          <w:trHeight w:val="211"/>
        </w:trPr>
        <w:tc>
          <w:tcPr>
            <w:tcW w:w="6820" w:type="dxa"/>
            <w:vAlign w:val="bottom"/>
            <w:tcBorders>
              <w:bottom w:val="single" w:sz="8" w:color="CFF0FC"/>
            </w:tcBorders>
            <w:shd w:val="clear" w:color="auto" w:fill="CFF0FC"/>
          </w:tcPr>
          <w:p>
            <w:pPr>
              <w:ind w:left="340"/>
              <w:spacing w:after="0" w:line="150" w:lineRule="exact"/>
              <w:rPr>
                <w:sz w:val="20"/>
                <w:szCs w:val="20"/>
                <w:color w:val="auto"/>
              </w:rPr>
            </w:pPr>
            <w:r>
              <w:rPr>
                <w:rFonts w:ascii="Arial" w:cs="Arial" w:eastAsia="Arial" w:hAnsi="Arial"/>
                <w:sz w:val="17"/>
                <w:szCs w:val="17"/>
                <w:color w:val="auto"/>
              </w:rPr>
              <w:t>outstanding, basic</w:t>
            </w:r>
          </w:p>
        </w:tc>
        <w:tc>
          <w:tcPr>
            <w:tcW w:w="9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820" w:type="dxa"/>
            <w:vAlign w:val="bottom"/>
          </w:tcPr>
          <w:p>
            <w:pPr>
              <w:ind w:left="200"/>
              <w:spacing w:after="0" w:line="170" w:lineRule="exact"/>
              <w:rPr>
                <w:sz w:val="20"/>
                <w:szCs w:val="20"/>
                <w:color w:val="auto"/>
              </w:rPr>
            </w:pPr>
            <w:r>
              <w:rPr>
                <w:rFonts w:ascii="Arial" w:cs="Arial" w:eastAsia="Arial" w:hAnsi="Arial"/>
                <w:sz w:val="17"/>
                <w:szCs w:val="17"/>
                <w:color w:val="auto"/>
              </w:rPr>
              <w:t>Net income (loss) per share, basic</w:t>
            </w:r>
          </w:p>
        </w:tc>
        <w:tc>
          <w:tcPr>
            <w:tcW w:w="1300" w:type="dxa"/>
            <w:vAlign w:val="bottom"/>
            <w:gridSpan w:val="2"/>
          </w:tcPr>
          <w:p>
            <w:pPr>
              <w:jc w:val="right"/>
              <w:ind w:right="260"/>
              <w:spacing w:after="0" w:line="170" w:lineRule="exact"/>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line="170" w:lineRule="exact"/>
              <w:rPr>
                <w:sz w:val="20"/>
                <w:szCs w:val="20"/>
                <w:color w:val="auto"/>
              </w:rPr>
            </w:pPr>
            <w:r>
              <w:rPr>
                <w:rFonts w:ascii="Arial" w:cs="Arial" w:eastAsia="Arial" w:hAnsi="Arial"/>
                <w:sz w:val="17"/>
                <w:szCs w:val="17"/>
                <w:color w:val="auto"/>
              </w:rPr>
              <w:t>0.15</w:t>
            </w:r>
          </w:p>
        </w:tc>
        <w:tc>
          <w:tcPr>
            <w:tcW w:w="600" w:type="dxa"/>
            <w:vAlign w:val="bottom"/>
            <w:gridSpan w:val="2"/>
          </w:tcPr>
          <w:p>
            <w:pPr>
              <w:jc w:val="right"/>
              <w:ind w:right="340"/>
              <w:spacing w:after="0" w:line="170"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70" w:lineRule="exact"/>
              <w:rPr>
                <w:sz w:val="20"/>
                <w:szCs w:val="20"/>
                <w:color w:val="auto"/>
              </w:rPr>
            </w:pPr>
            <w:r>
              <w:rPr>
                <w:rFonts w:ascii="Arial" w:cs="Arial" w:eastAsia="Arial" w:hAnsi="Arial"/>
                <w:sz w:val="17"/>
                <w:szCs w:val="17"/>
                <w:color w:val="auto"/>
              </w:rPr>
              <w:t>(0.28)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20" w:type="dxa"/>
            <w:vAlign w:val="bottom"/>
            <w:shd w:val="clear" w:color="auto" w:fill="CFF0FC"/>
          </w:tcPr>
          <w:p>
            <w:pPr>
              <w:ind w:left="100"/>
              <w:spacing w:after="0" w:line="170" w:lineRule="exact"/>
              <w:rPr>
                <w:sz w:val="20"/>
                <w:szCs w:val="20"/>
                <w:color w:val="auto"/>
              </w:rPr>
            </w:pPr>
            <w:r>
              <w:rPr>
                <w:rFonts w:ascii="Arial" w:cs="Arial" w:eastAsia="Arial" w:hAnsi="Arial"/>
                <w:sz w:val="17"/>
                <w:szCs w:val="17"/>
                <w:i w:val="1"/>
                <w:iCs w:val="1"/>
                <w:color w:val="auto"/>
              </w:rPr>
              <w:t>Add potentially dilutive shares:</w:t>
            </w:r>
          </w:p>
        </w:tc>
        <w:tc>
          <w:tcPr>
            <w:tcW w:w="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00"/>
              <w:spacing w:after="0" w:line="189" w:lineRule="exact"/>
              <w:rPr>
                <w:sz w:val="20"/>
                <w:szCs w:val="20"/>
                <w:color w:val="auto"/>
              </w:rPr>
            </w:pPr>
            <w:r>
              <w:rPr>
                <w:rFonts w:ascii="Arial" w:cs="Arial" w:eastAsia="Arial" w:hAnsi="Arial"/>
                <w:sz w:val="17"/>
                <w:szCs w:val="17"/>
                <w:color w:val="auto"/>
              </w:rPr>
              <w:t>Dilutive effect of outstanding stock options (as converted to common stock)</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2,926,490</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36"/>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ind w:left="200"/>
              <w:spacing w:after="0" w:line="189" w:lineRule="exact"/>
              <w:rPr>
                <w:sz w:val="20"/>
                <w:szCs w:val="20"/>
                <w:color w:val="auto"/>
              </w:rPr>
            </w:pPr>
            <w:r>
              <w:rPr>
                <w:rFonts w:ascii="Arial" w:cs="Arial" w:eastAsia="Arial" w:hAnsi="Arial"/>
                <w:sz w:val="17"/>
                <w:szCs w:val="17"/>
                <w:color w:val="auto"/>
              </w:rPr>
              <w:t>Dilutive effect of outstanding warrants for common stock</w:t>
            </w:r>
          </w:p>
        </w:tc>
        <w:tc>
          <w:tcPr>
            <w:tcW w:w="9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9"/>
              <w:spacing w:after="0" w:line="189" w:lineRule="exact"/>
              <w:rPr>
                <w:sz w:val="20"/>
                <w:szCs w:val="20"/>
                <w:color w:val="auto"/>
              </w:rPr>
            </w:pPr>
            <w:r>
              <w:rPr>
                <w:rFonts w:ascii="Arial" w:cs="Arial" w:eastAsia="Arial" w:hAnsi="Arial"/>
                <w:sz w:val="17"/>
                <w:szCs w:val="17"/>
                <w:color w:val="auto"/>
              </w:rPr>
              <w:t>1,357,074</w:t>
            </w:r>
          </w:p>
        </w:tc>
        <w:tc>
          <w:tcPr>
            <w:tcW w:w="1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6"/>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6820" w:type="dxa"/>
            <w:vAlign w:val="bottom"/>
          </w:tcPr>
          <w:p>
            <w:pPr>
              <w:ind w:left="200"/>
              <w:spacing w:after="0" w:line="160" w:lineRule="exact"/>
              <w:rPr>
                <w:sz w:val="20"/>
                <w:szCs w:val="20"/>
                <w:color w:val="auto"/>
              </w:rPr>
            </w:pPr>
            <w:r>
              <w:rPr>
                <w:rFonts w:ascii="Arial" w:cs="Arial" w:eastAsia="Arial" w:hAnsi="Arial"/>
                <w:sz w:val="17"/>
                <w:szCs w:val="17"/>
                <w:color w:val="auto"/>
              </w:rPr>
              <w:t>Weighted-average shares of common stock</w:t>
            </w: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7"/>
                <w:szCs w:val="17"/>
                <w:color w:val="auto"/>
              </w:rPr>
              <w:t>54,765,842</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vMerge w:val="restart"/>
          </w:tcPr>
          <w:p>
            <w:pPr>
              <w:jc w:val="right"/>
              <w:ind w:right="36"/>
              <w:spacing w:after="0"/>
              <w:rPr>
                <w:sz w:val="20"/>
                <w:szCs w:val="20"/>
                <w:color w:val="auto"/>
              </w:rPr>
            </w:pPr>
            <w:r>
              <w:rPr>
                <w:rFonts w:ascii="Arial" w:cs="Arial" w:eastAsia="Arial" w:hAnsi="Arial"/>
                <w:sz w:val="17"/>
                <w:szCs w:val="17"/>
                <w:color w:val="auto"/>
              </w:rPr>
              <w:t>29,197,537</w:t>
            </w:r>
          </w:p>
        </w:tc>
        <w:tc>
          <w:tcPr>
            <w:tcW w:w="0" w:type="dxa"/>
            <w:vAlign w:val="bottom"/>
          </w:tcPr>
          <w:p>
            <w:pPr>
              <w:spacing w:after="0"/>
              <w:rPr>
                <w:sz w:val="1"/>
                <w:szCs w:val="1"/>
                <w:color w:val="auto"/>
              </w:rPr>
            </w:pPr>
          </w:p>
        </w:tc>
      </w:tr>
      <w:tr>
        <w:trPr>
          <w:trHeight w:val="171"/>
        </w:trPr>
        <w:tc>
          <w:tcPr>
            <w:tcW w:w="6820" w:type="dxa"/>
            <w:vAlign w:val="bottom"/>
          </w:tcPr>
          <w:p>
            <w:pPr>
              <w:ind w:left="340"/>
              <w:spacing w:after="0" w:line="150" w:lineRule="exact"/>
              <w:rPr>
                <w:sz w:val="20"/>
                <w:szCs w:val="20"/>
                <w:color w:val="auto"/>
              </w:rPr>
            </w:pPr>
            <w:r>
              <w:rPr>
                <w:rFonts w:ascii="Arial" w:cs="Arial" w:eastAsia="Arial" w:hAnsi="Arial"/>
                <w:sz w:val="17"/>
                <w:szCs w:val="17"/>
                <w:color w:val="auto"/>
              </w:rPr>
              <w:t>outstanding, diluted</w:t>
            </w:r>
          </w:p>
        </w:tc>
        <w:tc>
          <w:tcPr>
            <w:tcW w:w="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20" w:type="dxa"/>
            <w:vAlign w:val="bottom"/>
            <w:shd w:val="clear" w:color="auto" w:fill="CFF0FC"/>
          </w:tcPr>
          <w:p>
            <w:pPr>
              <w:ind w:left="200"/>
              <w:spacing w:after="0" w:line="170" w:lineRule="exact"/>
              <w:rPr>
                <w:sz w:val="20"/>
                <w:szCs w:val="20"/>
                <w:color w:val="auto"/>
              </w:rPr>
            </w:pPr>
            <w:r>
              <w:rPr>
                <w:rFonts w:ascii="Arial" w:cs="Arial" w:eastAsia="Arial" w:hAnsi="Arial"/>
                <w:sz w:val="17"/>
                <w:szCs w:val="17"/>
                <w:color w:val="auto"/>
              </w:rPr>
              <w:t>Net income (loss) per share, diluted</w:t>
            </w:r>
          </w:p>
        </w:tc>
        <w:tc>
          <w:tcPr>
            <w:tcW w:w="1300" w:type="dxa"/>
            <w:vAlign w:val="bottom"/>
            <w:gridSpan w:val="2"/>
            <w:shd w:val="clear" w:color="auto" w:fill="CFF0FC"/>
          </w:tcPr>
          <w:p>
            <w:pPr>
              <w:jc w:val="right"/>
              <w:ind w:right="260"/>
              <w:spacing w:after="0" w:line="170" w:lineRule="exact"/>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39"/>
              <w:spacing w:after="0" w:line="170" w:lineRule="exact"/>
              <w:rPr>
                <w:sz w:val="20"/>
                <w:szCs w:val="20"/>
                <w:color w:val="auto"/>
              </w:rPr>
            </w:pPr>
            <w:r>
              <w:rPr>
                <w:rFonts w:ascii="Arial" w:cs="Arial" w:eastAsia="Arial" w:hAnsi="Arial"/>
                <w:sz w:val="17"/>
                <w:szCs w:val="17"/>
                <w:color w:val="auto"/>
              </w:rPr>
              <w:t>0.13</w:t>
            </w:r>
          </w:p>
        </w:tc>
        <w:tc>
          <w:tcPr>
            <w:tcW w:w="600" w:type="dxa"/>
            <w:vAlign w:val="bottom"/>
            <w:gridSpan w:val="2"/>
            <w:shd w:val="clear" w:color="auto" w:fill="CFF0FC"/>
          </w:tcPr>
          <w:p>
            <w:pPr>
              <w:jc w:val="right"/>
              <w:ind w:right="340"/>
              <w:spacing w:after="0" w:line="170" w:lineRule="exact"/>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(0.28)</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-1285240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-1268095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-925195</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-908050</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-393700</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for the three months ended March 31, 2024, as the effect would be to reduce the net loss per share. Therefore, the weighted-average number of shares of common stock outstanding used to calculate both basic and diluted net loss per share is the same.</w:t>
      </w:r>
    </w:p>
    <w:p>
      <w:pPr>
        <w:spacing w:after="0" w:line="67"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income (loss) per share because including them would have had an anti-dilutive effect.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AS OF MARCH 31,</w:t>
            </w:r>
          </w:p>
        </w:tc>
      </w:tr>
      <w:tr>
        <w:trPr>
          <w:trHeight w:val="155"/>
        </w:trPr>
        <w:tc>
          <w:tcPr>
            <w:tcW w:w="9220" w:type="dxa"/>
            <w:vAlign w:val="bottom"/>
          </w:tcPr>
          <w:p>
            <w:pPr>
              <w:spacing w:after="0"/>
              <w:rPr>
                <w:sz w:val="13"/>
                <w:szCs w:val="13"/>
                <w:color w:val="auto"/>
              </w:rPr>
            </w:pPr>
          </w:p>
        </w:tc>
        <w:tc>
          <w:tcPr>
            <w:tcW w:w="1920" w:type="dxa"/>
            <w:vAlign w:val="bottom"/>
            <w:tcBorders>
              <w:top w:val="single" w:sz="8" w:color="auto"/>
              <w:bottom w:val="single" w:sz="8" w:color="auto"/>
            </w:tcBorders>
          </w:tcPr>
          <w:p>
            <w:pPr>
              <w:jc w:val="right"/>
              <w:ind w:right="739"/>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922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Outstanding warrants for common stock</w:t>
            </w:r>
          </w:p>
        </w:tc>
        <w:tc>
          <w:tcPr>
            <w:tcW w:w="19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7,507,708</w:t>
            </w:r>
          </w:p>
        </w:tc>
        <w:tc>
          <w:tcPr>
            <w:tcW w:w="100" w:type="dxa"/>
            <w:vAlign w:val="bottom"/>
            <w:shd w:val="clear" w:color="auto" w:fill="CFF0FC"/>
          </w:tcPr>
          <w:p>
            <w:pPr>
              <w:spacing w:after="0"/>
              <w:rPr>
                <w:sz w:val="15"/>
                <w:szCs w:val="15"/>
                <w:color w:val="auto"/>
              </w:rPr>
            </w:pPr>
          </w:p>
        </w:tc>
      </w:tr>
      <w:tr>
        <w:trPr>
          <w:trHeight w:val="189"/>
        </w:trPr>
        <w:tc>
          <w:tcPr>
            <w:tcW w:w="9220" w:type="dxa"/>
            <w:vAlign w:val="bottom"/>
          </w:tcPr>
          <w:p>
            <w:pPr>
              <w:spacing w:after="0" w:line="189" w:lineRule="exact"/>
              <w:rPr>
                <w:sz w:val="20"/>
                <w:szCs w:val="20"/>
                <w:color w:val="auto"/>
              </w:rPr>
            </w:pPr>
            <w:r>
              <w:rPr>
                <w:rFonts w:ascii="Arial" w:cs="Arial" w:eastAsia="Arial" w:hAnsi="Arial"/>
                <w:sz w:val="17"/>
                <w:szCs w:val="17"/>
                <w:color w:val="auto"/>
              </w:rPr>
              <w:t>Outstanding stock options (as converted to common stock)</w:t>
            </w:r>
          </w:p>
        </w:tc>
        <w:tc>
          <w:tcPr>
            <w:tcW w:w="1920" w:type="dxa"/>
            <w:vAlign w:val="bottom"/>
          </w:tcPr>
          <w:p>
            <w:pPr>
              <w:jc w:val="right"/>
              <w:spacing w:after="0" w:line="189" w:lineRule="exact"/>
              <w:rPr>
                <w:sz w:val="20"/>
                <w:szCs w:val="20"/>
                <w:color w:val="auto"/>
              </w:rPr>
            </w:pPr>
            <w:r>
              <w:rPr>
                <w:rFonts w:ascii="Arial" w:cs="Arial" w:eastAsia="Arial" w:hAnsi="Arial"/>
                <w:sz w:val="17"/>
                <w:szCs w:val="17"/>
                <w:color w:val="auto"/>
              </w:rPr>
              <w:t>5,112,673</w:t>
            </w:r>
          </w:p>
        </w:tc>
        <w:tc>
          <w:tcPr>
            <w:tcW w:w="100" w:type="dxa"/>
            <w:vAlign w:val="bottom"/>
          </w:tcPr>
          <w:p>
            <w:pPr>
              <w:spacing w:after="0"/>
              <w:rPr>
                <w:sz w:val="16"/>
                <w:szCs w:val="16"/>
                <w:color w:val="auto"/>
              </w:rPr>
            </w:pPr>
          </w:p>
        </w:tc>
      </w:tr>
      <w:tr>
        <w:trPr>
          <w:trHeight w:val="189"/>
        </w:trPr>
        <w:tc>
          <w:tcPr>
            <w:tcW w:w="922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Unvested restricted stock</w:t>
            </w:r>
          </w:p>
        </w:tc>
        <w:tc>
          <w:tcPr>
            <w:tcW w:w="19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2,306,889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9220" w:type="dxa"/>
            <w:vAlign w:val="bottom"/>
          </w:tcPr>
          <w:p>
            <w:pPr>
              <w:spacing w:after="0"/>
              <w:rPr>
                <w:sz w:val="15"/>
                <w:szCs w:val="15"/>
                <w:color w:val="auto"/>
              </w:rPr>
            </w:pPr>
          </w:p>
        </w:tc>
        <w:tc>
          <w:tcPr>
            <w:tcW w:w="1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14,927,270</w:t>
            </w:r>
          </w:p>
        </w:tc>
        <w:tc>
          <w:tcPr>
            <w:tcW w:w="100" w:type="dxa"/>
            <w:vAlign w:val="bottom"/>
          </w:tcPr>
          <w:p>
            <w:pPr>
              <w:spacing w:after="0"/>
              <w:rPr>
                <w:sz w:val="15"/>
                <w:szCs w:val="15"/>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16. Segment Reporting</w:t>
      </w:r>
    </w:p>
    <w:p>
      <w:pPr>
        <w:spacing w:after="0" w:line="10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operates in one business segment, which includes all activities related to the discovery, development, and potential commercialization of off-the-shelf viral immunotherapies that help patients fight cancer. The determination of a single business segment is consistent with the consolidated financial information regularly provided to the Company’s chief operating decision maker (CODM). The Company’s CODM is its Chief Executive Officer, who reviews and evaluates consolidated net income (loss) for purposes of assessing performance, making operating decisions, allocating resources, and planning and forecasting for future periods.</w:t>
      </w:r>
    </w:p>
    <w:p>
      <w:pPr>
        <w:spacing w:after="0" w:line="72" w:lineRule="exact"/>
        <w:rPr>
          <w:sz w:val="20"/>
          <w:szCs w:val="20"/>
          <w:color w:val="auto"/>
        </w:rPr>
      </w:pPr>
    </w:p>
    <w:p>
      <w:pPr>
        <w:ind w:right="680"/>
        <w:spacing w:after="0" w:line="249" w:lineRule="auto"/>
        <w:rPr>
          <w:sz w:val="20"/>
          <w:szCs w:val="20"/>
          <w:color w:val="auto"/>
        </w:rPr>
      </w:pPr>
      <w:r>
        <w:rPr>
          <w:rFonts w:ascii="Arial" w:cs="Arial" w:eastAsia="Arial" w:hAnsi="Arial"/>
          <w:sz w:val="17"/>
          <w:szCs w:val="17"/>
          <w:color w:val="auto"/>
        </w:rPr>
        <w:t>In addition to the significant expense categories included within consolidated net income (loss) presented on the Company's condensed consolidated statements of operations and comprehensive income (loss), see below for disaggregated amounts that comprise research and development and general and administrative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3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Operating expenses:</w:t>
            </w:r>
          </w:p>
        </w:tc>
        <w:tc>
          <w:tcPr>
            <w:tcW w:w="10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Research and development:</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Employee-related</w:t>
            </w:r>
          </w:p>
        </w:tc>
        <w:tc>
          <w:tcPr>
            <w:tcW w:w="2380" w:type="dxa"/>
            <w:vAlign w:val="bottom"/>
            <w:gridSpan w:val="2"/>
            <w:shd w:val="clear" w:color="auto" w:fill="CFF0FC"/>
          </w:tcPr>
          <w:p>
            <w:pPr>
              <w:jc w:val="right"/>
              <w:ind w:right="1181"/>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2,152</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2,728</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Clinical development</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1,245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826</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Facility and equipment costs</w:t>
            </w:r>
          </w:p>
        </w:tc>
        <w:tc>
          <w:tcPr>
            <w:tcW w:w="10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378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377</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Pre-clinical research</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52</w:t>
            </w:r>
          </w:p>
        </w:tc>
        <w:tc>
          <w:tcPr>
            <w:tcW w:w="120" w:type="dxa"/>
            <w:vAlign w:val="bottom"/>
          </w:tcPr>
          <w:p>
            <w:pPr>
              <w:spacing w:after="0"/>
              <w:rPr>
                <w:sz w:val="16"/>
                <w:szCs w:val="16"/>
                <w:color w:val="auto"/>
              </w:rPr>
            </w:pPr>
          </w:p>
        </w:tc>
      </w:tr>
      <w:tr>
        <w:trPr>
          <w:trHeight w:val="189"/>
        </w:trPr>
        <w:tc>
          <w:tcPr>
            <w:tcW w:w="5420" w:type="dxa"/>
            <w:vAlign w:val="bottom"/>
            <w:tcBorders>
              <w:bottom w:val="single" w:sz="8" w:color="CFF0FC"/>
            </w:tcBorders>
            <w:shd w:val="clear" w:color="auto" w:fill="CFF0FC"/>
          </w:tcPr>
          <w:p>
            <w:pPr>
              <w:ind w:left="160"/>
              <w:spacing w:after="0" w:line="189" w:lineRule="exact"/>
              <w:rPr>
                <w:sz w:val="20"/>
                <w:szCs w:val="20"/>
                <w:color w:val="auto"/>
              </w:rPr>
            </w:pPr>
            <w:r>
              <w:rPr>
                <w:rFonts w:ascii="Arial" w:cs="Arial" w:eastAsia="Arial" w:hAnsi="Arial"/>
                <w:sz w:val="17"/>
                <w:szCs w:val="17"/>
                <w:color w:val="auto"/>
              </w:rPr>
              <w:t>Other research and development segment expenses</w:t>
            </w:r>
          </w:p>
        </w:tc>
        <w:tc>
          <w:tcPr>
            <w:tcW w:w="10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124</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119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420" w:type="dxa"/>
            <w:vAlign w:val="bottom"/>
          </w:tcPr>
          <w:p>
            <w:pPr>
              <w:ind w:left="160"/>
              <w:spacing w:after="0" w:line="183" w:lineRule="exact"/>
              <w:rPr>
                <w:sz w:val="20"/>
                <w:szCs w:val="20"/>
                <w:color w:val="auto"/>
              </w:rPr>
            </w:pPr>
            <w:r>
              <w:rPr>
                <w:rFonts w:ascii="Arial" w:cs="Arial" w:eastAsia="Arial" w:hAnsi="Arial"/>
                <w:sz w:val="17"/>
                <w:szCs w:val="17"/>
                <w:b w:val="1"/>
                <w:bCs w:val="1"/>
                <w:color w:val="auto"/>
              </w:rPr>
              <w:t>Total research and development</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4,016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7"/>
                <w:szCs w:val="17"/>
                <w:color w:val="auto"/>
              </w:rPr>
              <w:t>4,102</w:t>
            </w:r>
          </w:p>
        </w:tc>
        <w:tc>
          <w:tcPr>
            <w:tcW w:w="120" w:type="dxa"/>
            <w:vAlign w:val="bottom"/>
          </w:tcPr>
          <w:p>
            <w:pPr>
              <w:spacing w:after="0"/>
              <w:rPr>
                <w:sz w:val="15"/>
                <w:szCs w:val="15"/>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b w:val="1"/>
                <w:bCs w:val="1"/>
                <w:color w:val="auto"/>
              </w:rPr>
              <w:t>General and administrative:</w:t>
            </w:r>
          </w:p>
        </w:tc>
        <w:tc>
          <w:tcPr>
            <w:tcW w:w="10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Professional and consulting fees</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1,934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1,668</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Employee-related</w:t>
            </w:r>
          </w:p>
        </w:tc>
        <w:tc>
          <w:tcPr>
            <w:tcW w:w="10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1,716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1,639</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Other general and administrative segment expenses (1)</w:t>
            </w:r>
          </w:p>
        </w:tc>
        <w:tc>
          <w:tcPr>
            <w:tcW w:w="10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493</w:t>
            </w:r>
          </w:p>
        </w:tc>
        <w:tc>
          <w:tcPr>
            <w:tcW w:w="120" w:type="dxa"/>
            <w:vAlign w:val="bottom"/>
          </w:tcPr>
          <w:p>
            <w:pPr>
              <w:spacing w:after="0"/>
              <w:rPr>
                <w:sz w:val="16"/>
                <w:szCs w:val="16"/>
                <w:color w:val="auto"/>
              </w:rPr>
            </w:pPr>
          </w:p>
        </w:tc>
      </w:tr>
      <w:tr>
        <w:trPr>
          <w:trHeight w:val="183"/>
        </w:trPr>
        <w:tc>
          <w:tcPr>
            <w:tcW w:w="5420" w:type="dxa"/>
            <w:vAlign w:val="bottom"/>
            <w:tcBorders>
              <w:bottom w:val="single" w:sz="8" w:color="CFF0FC"/>
            </w:tcBorders>
            <w:shd w:val="clear" w:color="auto" w:fill="CFF0FC"/>
          </w:tcPr>
          <w:p>
            <w:pPr>
              <w:ind w:left="160"/>
              <w:spacing w:after="0" w:line="183" w:lineRule="exact"/>
              <w:rPr>
                <w:sz w:val="20"/>
                <w:szCs w:val="20"/>
                <w:color w:val="auto"/>
              </w:rPr>
            </w:pPr>
            <w:r>
              <w:rPr>
                <w:rFonts w:ascii="Arial" w:cs="Arial" w:eastAsia="Arial" w:hAnsi="Arial"/>
                <w:sz w:val="17"/>
                <w:szCs w:val="17"/>
                <w:b w:val="1"/>
                <w:bCs w:val="1"/>
                <w:color w:val="auto"/>
              </w:rPr>
              <w:t>Total general and administrative</w:t>
            </w:r>
          </w:p>
        </w:tc>
        <w:tc>
          <w:tcPr>
            <w:tcW w:w="102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4,114</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3,800</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5420" w:type="dxa"/>
            <w:vAlign w:val="bottom"/>
          </w:tcPr>
          <w:p>
            <w:pPr>
              <w:ind w:left="320"/>
              <w:spacing w:after="0" w:line="183" w:lineRule="exact"/>
              <w:rPr>
                <w:sz w:val="20"/>
                <w:szCs w:val="20"/>
                <w:color w:val="auto"/>
              </w:rPr>
            </w:pPr>
            <w:r>
              <w:rPr>
                <w:rFonts w:ascii="Arial" w:cs="Arial" w:eastAsia="Arial" w:hAnsi="Arial"/>
                <w:sz w:val="17"/>
                <w:szCs w:val="17"/>
                <w:b w:val="1"/>
                <w:bCs w:val="1"/>
                <w:color w:val="auto"/>
              </w:rPr>
              <w:t>Total operating expenses</w:t>
            </w:r>
          </w:p>
        </w:tc>
        <w:tc>
          <w:tcPr>
            <w:tcW w:w="10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8,130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7,902</w:t>
            </w:r>
          </w:p>
        </w:tc>
        <w:tc>
          <w:tcPr>
            <w:tcW w:w="120" w:type="dxa"/>
            <w:vAlign w:val="bottom"/>
          </w:tcPr>
          <w:p>
            <w:pPr>
              <w:spacing w:after="0"/>
              <w:rPr>
                <w:sz w:val="15"/>
                <w:szCs w:val="15"/>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Loss from operations</w:t>
            </w:r>
          </w:p>
        </w:tc>
        <w:tc>
          <w:tcPr>
            <w:tcW w:w="10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(8,130)</w:t>
            </w: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(7,902)</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Interest income</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934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320</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Interest expense</w:t>
            </w:r>
          </w:p>
        </w:tc>
        <w:tc>
          <w:tcPr>
            <w:tcW w:w="10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(306)</w:t>
            </w: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(646)</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Change in fair value of warrant liability</w:t>
            </w:r>
          </w:p>
        </w:tc>
        <w:tc>
          <w:tcPr>
            <w:tcW w:w="10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14,881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120" w:type="dxa"/>
            <w:vAlign w:val="bottom"/>
          </w:tcPr>
          <w:p>
            <w:pPr>
              <w:spacing w:after="0"/>
              <w:rPr>
                <w:sz w:val="16"/>
                <w:szCs w:val="16"/>
                <w:color w:val="auto"/>
              </w:rPr>
            </w:pPr>
          </w:p>
        </w:tc>
      </w:tr>
      <w:tr>
        <w:trPr>
          <w:trHeight w:val="203"/>
        </w:trPr>
        <w:tc>
          <w:tcPr>
            <w:tcW w:w="542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Net income (loss)</w:t>
            </w:r>
          </w:p>
        </w:tc>
        <w:tc>
          <w:tcPr>
            <w:tcW w:w="10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18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7,379</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80"/>
              <w:spacing w:after="0" w:line="183"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(8,221)</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-1508125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-770890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0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general and administrative segment expenses primarily consist of insurance, occupancy, and information technology costs.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2"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immunization against the injected tumor and uninjected distant metastases. Our biological multimodal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73"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Our most advanced product candidate, CAN-2409 (aglatimagene besadenovec), is an off-the-shelf adenovirus product candidate which is administered in conjunction with the prodrug valacyclovir, that has generated promising clinical activity across a range of solid tumor indications. CAN-2409 is being studied in the following ongoing clinical trials:</w:t>
      </w:r>
    </w:p>
    <w:p>
      <w:pPr>
        <w:spacing w:after="0" w:line="6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112" w:lineRule="exact"/>
        <w:rPr>
          <w:rFonts w:ascii="Times New Roman" w:cs="Times New Roman" w:eastAsia="Times New Roman" w:hAnsi="Times New Roman"/>
          <w:sz w:val="17"/>
          <w:szCs w:val="17"/>
          <w:color w:val="auto"/>
        </w:rPr>
      </w:pPr>
    </w:p>
    <w:p>
      <w:pPr>
        <w:ind w:left="1540" w:hanging="509"/>
        <w:spacing w:after="0" w:line="23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pivotal phase 3 randomized, double-blind, placebo-controlled clinical trial in the United States under a Special Protocol Assessment (SPA) with the U.S. Food and Drug Administration (FDA) evaluating patients with newly diagnosed, localized prostate cancer who have an intermediate or high-risk for progression. The FDA previously granted Fast Track Designation for the use of CAN-2409 for the treatment of localized, primary prostate cancer in combination with radiation therapy to improve the local control rate. We completed enrollment of this trial in September 2021. The primary goal of curative treatment for localized prostate cancer is complete tumor eradication, as outlined by National Comprehensive Cancer Network (NCCN) guidelines. However, up to 30% of intermediate-to-high-risk patients experience recurrence despite radical therapy, and salvage treatments often carry significant side effects and limited efficacy. Recurrence beyond two years post-treatment is strongly linked to higher rates of metastasis and prostate cancer-specific mortality after prolonged follow up (~10 years). Studies also show that patients prioritize the perception of being cancer-free and are often willing to risk long-term complications to achieve this. Fear of recurrence remains prevalent, especially after biochemical failure (Hoffman RM et al. Cancer 2003;97:1653-62 ; Jayadevappa R et al. J Clin Oncol 2019;37:964-73 ; Nilsson R et al. Eur Urol Open Sci 2021;25:44-51). Therefore, this study aimed to assess whether adding CAN-2409 plus valacyclovir to standard of care (SoC) radiotherapy could improve disease-free survival (DFS) in patients pursuing curative treatment—a primary endpoint established in the SPA with the FDA.</w:t>
      </w:r>
    </w:p>
    <w:p>
      <w:pPr>
        <w:spacing w:after="0" w:line="74" w:lineRule="exact"/>
        <w:rPr>
          <w:rFonts w:ascii="Times New Roman" w:cs="Times New Roman" w:eastAsia="Times New Roman" w:hAnsi="Times New Roman"/>
          <w:sz w:val="17"/>
          <w:szCs w:val="17"/>
          <w:color w:val="auto"/>
        </w:rPr>
      </w:pPr>
    </w:p>
    <w:p>
      <w:pPr>
        <w:ind w:left="2040" w:right="20" w:hanging="505"/>
        <w:spacing w:after="0" w:line="239" w:lineRule="auto"/>
        <w:tabs>
          <w:tab w:leader="none" w:pos="204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announced positive topline data from our phase 3 clinical trial. This randomized, double-blind, placebo-controlled, multicenter clinical trial enrolled 745 patients (intent to treat population (ITT)) to evaluate the effectiveness and safety of CAN-2409 plus prodrug (valacyclovir) viral immunotherapy in combination with SoC external beam radiation therapy to improve DFS in patients with intermediate-to-high-risk, localized prostate cancer. Patients were randomized 2:1 (496 in CAN-2409+prodrug and 249 in placebo (PBO) +prodrug). Both arms received standard of care external beam radiation therapy (EBRT) +/- short course androgen deprivation therapy (ADT) (&lt;6 months) and were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4" w:name="page25"/>
    <w:bookmarkEnd w:id="24"/>
    <w:p>
      <w:pPr>
        <w:ind w:left="1523" w:right="260"/>
        <w:spacing w:after="0" w:line="234" w:lineRule="auto"/>
        <w:rPr>
          <w:sz w:val="20"/>
          <w:szCs w:val="20"/>
          <w:color w:val="auto"/>
        </w:rPr>
      </w:pPr>
      <w:r>
        <w:rPr>
          <w:rFonts w:ascii="Arial" w:cs="Arial" w:eastAsia="Arial" w:hAnsi="Arial"/>
          <w:sz w:val="17"/>
          <w:szCs w:val="17"/>
          <w:color w:val="auto"/>
        </w:rPr>
        <w:t xml:space="preserve">stratified by NCCN risk group and ADT use. Three intraprostatic injections of CAN-2409 (5x10 </w:t>
      </w:r>
      <w:r>
        <w:rPr>
          <w:rFonts w:ascii="Arial" w:cs="Arial" w:eastAsia="Arial" w:hAnsi="Arial"/>
          <w:sz w:val="22"/>
          <w:szCs w:val="22"/>
          <w:color w:val="auto"/>
          <w:vertAlign w:val="superscript"/>
        </w:rPr>
        <w:t>11</w:t>
      </w:r>
      <w:r>
        <w:rPr>
          <w:rFonts w:ascii="Arial" w:cs="Arial" w:eastAsia="Arial" w:hAnsi="Arial"/>
          <w:sz w:val="17"/>
          <w:szCs w:val="17"/>
          <w:color w:val="auto"/>
        </w:rPr>
        <w:t>vp/2mL) or PBO were administered, each followed by 14 days of prodrug.</w:t>
      </w:r>
    </w:p>
    <w:p>
      <w:pPr>
        <w:spacing w:after="0" w:line="73" w:lineRule="exact"/>
        <w:rPr>
          <w:sz w:val="20"/>
          <w:szCs w:val="20"/>
          <w:color w:val="auto"/>
        </w:rPr>
      </w:pPr>
    </w:p>
    <w:p>
      <w:pPr>
        <w:ind w:left="1523" w:right="100" w:hanging="505"/>
        <w:spacing w:after="0" w:line="266" w:lineRule="auto"/>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study met its primary endpoint, demonstrating a statistically significant improvement in DFS compared to the control arm. Key topline results include:</w:t>
      </w:r>
    </w:p>
    <w:p>
      <w:pPr>
        <w:spacing w:after="0" w:line="51" w:lineRule="exact"/>
        <w:rPr>
          <w:rFonts w:ascii="Times New Roman" w:cs="Times New Roman" w:eastAsia="Times New Roman" w:hAnsi="Times New Roman"/>
          <w:sz w:val="17"/>
          <w:szCs w:val="17"/>
          <w:color w:val="auto"/>
        </w:rPr>
      </w:pPr>
    </w:p>
    <w:p>
      <w:pPr>
        <w:ind w:left="2043" w:right="40" w:hanging="516"/>
        <w:spacing w:after="0" w:line="243" w:lineRule="auto"/>
        <w:tabs>
          <w:tab w:leader="none" w:pos="2043"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Statistically significant improvement in DFS for CAN-2409 plus radiation therapy (n=496) vs. radiation therapy alone (n=249). Treatment with CAN-2409 reduced the risk of prostate cancer recurrence or death by 30%. Median DFS was not reached for the CAN-2409 treatment arm vs. 86.1 months in the PBO arm (p=0.0155, HR 0.7, 95% CI 0.52 to 0.94)</w:t>
      </w:r>
    </w:p>
    <w:p>
      <w:pPr>
        <w:spacing w:after="0" w:line="71" w:lineRule="exact"/>
        <w:rPr>
          <w:rFonts w:ascii="Times New Roman" w:cs="Times New Roman" w:eastAsia="Times New Roman" w:hAnsi="Times New Roman"/>
          <w:sz w:val="17"/>
          <w:szCs w:val="17"/>
          <w:color w:val="auto"/>
        </w:rPr>
      </w:pPr>
    </w:p>
    <w:p>
      <w:pPr>
        <w:ind w:left="2043" w:right="60" w:hanging="516"/>
        <w:spacing w:after="0" w:line="266" w:lineRule="auto"/>
        <w:tabs>
          <w:tab w:leader="none" w:pos="2043"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Prostate cancer specific DFS (exclusion of non-prostate cancer related deaths) demonstrated a greater effect with a 38% decreased risk in the CAN-2409 arm vs. PBO (p=0.0046; HR 0.62, 95% CI 0.44 to 0.87)</w:t>
      </w:r>
    </w:p>
    <w:p>
      <w:pPr>
        <w:spacing w:after="0" w:line="51" w:lineRule="exact"/>
        <w:rPr>
          <w:rFonts w:ascii="Times New Roman" w:cs="Times New Roman" w:eastAsia="Times New Roman" w:hAnsi="Times New Roman"/>
          <w:sz w:val="17"/>
          <w:szCs w:val="17"/>
          <w:color w:val="auto"/>
        </w:rPr>
      </w:pPr>
    </w:p>
    <w:p>
      <w:pPr>
        <w:ind w:left="2043" w:hanging="516"/>
        <w:spacing w:after="0"/>
        <w:tabs>
          <w:tab w:leader="none" w:pos="2043"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DFS improvement was observed both in patients receiving short-term ADT and in patients not receiving ADT</w:t>
      </w:r>
    </w:p>
    <w:p>
      <w:pPr>
        <w:spacing w:after="0" w:line="114" w:lineRule="exact"/>
        <w:rPr>
          <w:rFonts w:ascii="Times New Roman" w:cs="Times New Roman" w:eastAsia="Times New Roman" w:hAnsi="Times New Roman"/>
          <w:sz w:val="17"/>
          <w:szCs w:val="17"/>
          <w:color w:val="auto"/>
        </w:rPr>
      </w:pPr>
    </w:p>
    <w:p>
      <w:pPr>
        <w:ind w:left="2043" w:hanging="516"/>
        <w:spacing w:after="0" w:line="266" w:lineRule="auto"/>
        <w:tabs>
          <w:tab w:leader="none" w:pos="2043"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increase in the proportion of patients achieving a prostate-specific antigen (PSA) nadir (&lt;0.2 ng/ml) was observed in the CAN-2409 arm compared to the placebo control arm (67.1% vs. 58.6%, respectively; p=0.0164)</w:t>
      </w:r>
    </w:p>
    <w:p>
      <w:pPr>
        <w:spacing w:after="0" w:line="51" w:lineRule="exact"/>
        <w:rPr>
          <w:rFonts w:ascii="Times New Roman" w:cs="Times New Roman" w:eastAsia="Times New Roman" w:hAnsi="Times New Roman"/>
          <w:sz w:val="17"/>
          <w:szCs w:val="17"/>
          <w:color w:val="auto"/>
        </w:rPr>
      </w:pPr>
    </w:p>
    <w:p>
      <w:pPr>
        <w:ind w:left="2043" w:right="340" w:hanging="516"/>
        <w:spacing w:after="0" w:line="266" w:lineRule="auto"/>
        <w:tabs>
          <w:tab w:leader="none" w:pos="2043"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CAN-2409 induced 80.4% pathological complete responses in the 2-year post-treatment biopsies compared to 63.6% observed in the control arm (p=0.0015)</w:t>
      </w:r>
    </w:p>
    <w:p>
      <w:pPr>
        <w:spacing w:after="0" w:line="51" w:lineRule="exact"/>
        <w:rPr>
          <w:rFonts w:ascii="Times New Roman" w:cs="Times New Roman" w:eastAsia="Times New Roman" w:hAnsi="Times New Roman"/>
          <w:sz w:val="17"/>
          <w:szCs w:val="17"/>
          <w:color w:val="auto"/>
        </w:rPr>
      </w:pPr>
    </w:p>
    <w:p>
      <w:pPr>
        <w:ind w:left="1523" w:right="160" w:hanging="505"/>
        <w:spacing w:after="0" w:line="249" w:lineRule="auto"/>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median follow-up time for the recruited population was 50.3 months. The primary outcome measure, DFS, included the evaluation of post-treatment biopsies, performed at two years from the end of radiation, for the presence of tumor recurrence. Local or systemic recurrence and death from any cause were also part of the primary endpoint.</w:t>
      </w:r>
    </w:p>
    <w:p>
      <w:pPr>
        <w:spacing w:after="0" w:line="65" w:lineRule="exact"/>
        <w:rPr>
          <w:rFonts w:ascii="Times New Roman" w:cs="Times New Roman" w:eastAsia="Times New Roman" w:hAnsi="Times New Roman"/>
          <w:sz w:val="17"/>
          <w:szCs w:val="17"/>
          <w:color w:val="auto"/>
        </w:rPr>
      </w:pPr>
    </w:p>
    <w:p>
      <w:pPr>
        <w:ind w:left="1523" w:right="260" w:hanging="505"/>
        <w:spacing w:after="0" w:line="266" w:lineRule="auto"/>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CAN-2409 was generally well tolerated. The most common CAN-2409-related adverse events were flu-like symptoms, fever and chills, which were generally mild to moderate in severity and self-limited.</w:t>
      </w:r>
    </w:p>
    <w:p>
      <w:pPr>
        <w:spacing w:after="0" w:line="51" w:lineRule="exact"/>
        <w:rPr>
          <w:rFonts w:ascii="Times New Roman" w:cs="Times New Roman" w:eastAsia="Times New Roman" w:hAnsi="Times New Roman"/>
          <w:sz w:val="17"/>
          <w:szCs w:val="17"/>
          <w:color w:val="auto"/>
        </w:rPr>
      </w:pPr>
    </w:p>
    <w:p>
      <w:pPr>
        <w:ind w:left="1523" w:right="400" w:hanging="505"/>
        <w:spacing w:after="0" w:line="266" w:lineRule="auto"/>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results, we anticipate submitting a biologics license application for CAN-2409 in the fourth quarter of 2026.</w:t>
      </w:r>
    </w:p>
    <w:p>
      <w:pPr>
        <w:spacing w:after="0" w:line="52" w:lineRule="exact"/>
        <w:rPr>
          <w:sz w:val="20"/>
          <w:szCs w:val="20"/>
          <w:color w:val="auto"/>
        </w:rPr>
      </w:pPr>
    </w:p>
    <w:p>
      <w:pPr>
        <w:ind w:left="1023" w:right="220" w:hanging="514"/>
        <w:spacing w:after="0" w:line="266" w:lineRule="auto"/>
        <w:tabs>
          <w:tab w:leader="none" w:pos="1023" w:val="left"/>
        </w:tabs>
        <w:numPr>
          <w:ilvl w:val="1"/>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 blind, placebo-controlled clinical trial in the United States evaluating patients with low-to-intermediate risk, localized prostate cancer undergoing active surveillance. We completed enrollment of this trial in May 2019.</w:t>
      </w:r>
    </w:p>
    <w:p>
      <w:pPr>
        <w:spacing w:after="0" w:line="51" w:lineRule="exact"/>
        <w:rPr>
          <w:rFonts w:ascii="Times New Roman" w:cs="Times New Roman" w:eastAsia="Times New Roman" w:hAnsi="Times New Roman"/>
          <w:sz w:val="17"/>
          <w:szCs w:val="17"/>
          <w:color w:val="auto"/>
        </w:rPr>
      </w:pPr>
    </w:p>
    <w:p>
      <w:pPr>
        <w:ind w:left="1523" w:right="60" w:hanging="505"/>
        <w:spacing w:after="0" w:line="236" w:lineRule="auto"/>
        <w:tabs>
          <w:tab w:leader="none" w:pos="1523"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reported that this phase 2b clinical trial of CAN-2409 monotherapy in 190 patients with low-to-intermediate risk localized prostate cancer undergoing active surveillance showed improvement in time to radical treatment and the percentage of patients achieving negative (prostate cancer-free) biopsies at 1-year post-treatment. However, these differences did not reach statistical significance, which might be explained by the fact that the study was not statistically powered for the primary endpoint (progression-free survival), that patients received only 2 administrations of CAN-2409 rather than 3 as used in the phase 3 clinical trial described above, and/or that patients did not receive radiotherapy (preclinical models of prostate cancer have shown synergy between CAN-2409 and radiotherapy in this specific indication). CAN-2409 was generally well tolerated. The most common CAN-2409-related adverse events were flu-like symptoms, fever and chills, which were generally mild to moderate in severity and self-limited.</w:t>
      </w:r>
    </w:p>
    <w:p>
      <w:pPr>
        <w:spacing w:after="0" w:line="80"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sz w:val="20"/>
          <w:szCs w:val="20"/>
          <w:color w:val="auto"/>
        </w:rPr>
      </w:pPr>
    </w:p>
    <w:p>
      <w:pPr>
        <w:ind w:left="723" w:hanging="289"/>
        <w:spacing w:after="0" w:line="236" w:lineRule="auto"/>
        <w:tabs>
          <w:tab w:leader="none" w:pos="723"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2a clinical trial in the United States evaluating CAN-2409 plus valacyclovir in combination with continued PD-(L)1 checkpoint inhibitors in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chemotherapy (Reckamp K et al. J Clin Onc 2022;40:2295-2306). The aim of the CAN-2409 immunotherapy antitumor strategy is to improve overall survival beyond the median of 12 months in patients treated with two CAN-2409 injections and raise the long tail of survival.</w:t>
      </w:r>
    </w:p>
    <w:p>
      <w:pPr>
        <w:spacing w:after="0" w:line="78" w:lineRule="exact"/>
        <w:rPr>
          <w:sz w:val="20"/>
          <w:szCs w:val="20"/>
          <w:color w:val="auto"/>
        </w:rPr>
      </w:pPr>
    </w:p>
    <w:p>
      <w:pPr>
        <w:jc w:val="center"/>
        <w:ind w:left="5003" w:right="1800" w:hanging="4494"/>
        <w:spacing w:after="0" w:line="852" w:lineRule="auto"/>
        <w:tabs>
          <w:tab w:leader="none" w:pos="1015"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March 2025, we announced final survival data from this phase 2a clinical trial of CAN-2409 in NSCLC: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138430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2" w:right="359" w:bottom="1440" w:gutter="0" w:footer="0" w:header="0"/>
        </w:sectPr>
      </w:pPr>
    </w:p>
    <w:bookmarkStart w:id="25" w:name="page26"/>
    <w:bookmarkEnd w:id="25"/>
    <w:p>
      <w:pPr>
        <w:ind w:left="2040" w:right="300" w:hanging="505"/>
        <w:spacing w:after="0" w:line="266" w:lineRule="auto"/>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an inadequate response to immune checkpoint inhibitor (ICI) treatment (Cohort 1+2, n=46), mOS was 24.5 months.</w:t>
      </w:r>
    </w:p>
    <w:p>
      <w:pPr>
        <w:spacing w:after="0" w:line="51" w:lineRule="exact"/>
        <w:rPr>
          <w:rFonts w:ascii="Times New Roman" w:cs="Times New Roman" w:eastAsia="Times New Roman" w:hAnsi="Times New Roman"/>
          <w:sz w:val="17"/>
          <w:szCs w:val="17"/>
          <w:color w:val="auto"/>
        </w:rPr>
      </w:pPr>
    </w:p>
    <w:p>
      <w:pPr>
        <w:ind w:left="2040" w:right="200" w:hanging="505"/>
        <w:spacing w:after="0" w:line="243" w:lineRule="auto"/>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progressive disease, despite ICI treatment (Cohort 2, n=41), mOS was 21.5 months, which is markedly longer than the 9.8–11.8 months of survival reported in published literature in a similar patient population receiving standard of care of docetaxel chemotherapy (Paz-Ares LG et al, J Clin Oncol 2024;42:2860-2872 ; Ahn MJ et al, J Clin Onc 2024;43:260-272).</w:t>
      </w:r>
    </w:p>
    <w:p>
      <w:pPr>
        <w:spacing w:after="0" w:line="71" w:lineRule="exact"/>
        <w:rPr>
          <w:rFonts w:ascii="Times New Roman" w:cs="Times New Roman" w:eastAsia="Times New Roman" w:hAnsi="Times New Roman"/>
          <w:sz w:val="17"/>
          <w:szCs w:val="17"/>
          <w:color w:val="auto"/>
        </w:rPr>
      </w:pPr>
    </w:p>
    <w:p>
      <w:pPr>
        <w:jc w:val="both"/>
        <w:ind w:left="2040" w:right="80" w:hanging="505"/>
        <w:spacing w:after="0" w:line="249" w:lineRule="auto"/>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37% of patients with progressive disease at enrollment were still alive &gt; 24 months after CAN-2409 treatment at the time of the March 3, 2025 data cut, suggesting a long tail of survival. 14/15 patients with overall survival &gt; 24 months and 9/9 patients with overall survival &gt; 30 months had non-squamous NSCLC.</w:t>
      </w:r>
    </w:p>
    <w:p>
      <w:pPr>
        <w:spacing w:after="0" w:line="65" w:lineRule="exact"/>
        <w:rPr>
          <w:rFonts w:ascii="Times New Roman" w:cs="Times New Roman" w:eastAsia="Times New Roman" w:hAnsi="Times New Roman"/>
          <w:sz w:val="17"/>
          <w:szCs w:val="17"/>
          <w:color w:val="auto"/>
        </w:rPr>
      </w:pPr>
    </w:p>
    <w:p>
      <w:pPr>
        <w:ind w:left="2040" w:right="220" w:hanging="505"/>
        <w:spacing w:after="0" w:line="266" w:lineRule="auto"/>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non-squamous NSCLC and progressive disease despite ICI (cohort 2, n=33), observed mOS was 25.4 months after CAN-2409 treatment.</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CAN-2409 continued to exhibit a generally favorable safety and tolerability profile during the extended follow-up period.</w:t>
      </w:r>
    </w:p>
    <w:p>
      <w:pPr>
        <w:spacing w:after="0" w:line="114" w:lineRule="exact"/>
        <w:rPr>
          <w:rFonts w:ascii="Times New Roman" w:cs="Times New Roman" w:eastAsia="Times New Roman" w:hAnsi="Times New Roman"/>
          <w:sz w:val="17"/>
          <w:szCs w:val="17"/>
          <w:color w:val="auto"/>
        </w:rPr>
      </w:pPr>
    </w:p>
    <w:p>
      <w:pPr>
        <w:ind w:left="2040" w:right="120" w:hanging="505"/>
        <w:spacing w:after="0" w:line="266" w:lineRule="auto"/>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positive findings, the Company will advance the enabling work for a potentially registrational clinical trial of CAN-2409 in non-squamous NSCLC with progressive disease despite ICI.</w:t>
      </w:r>
    </w:p>
    <w:p>
      <w:pPr>
        <w:spacing w:after="0" w:line="53"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540" w:right="60" w:hanging="509"/>
        <w:spacing w:after="0" w:line="2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We conducted a randomized phase 2a clinical trial in the United States and Mexico evaluating the activity of CAN-2409 in borderline resectable pancreatic ductal adenocarcinoma (PDAC). In December 2023, we announced that the FDA granted Fast Track Designation for CAN-2409 plus valacyclovir for the treatment of patients with PDAC to improve overall survival. In April 2024, we announced updated positive overall survival data and also announced that the FDA has granted Orphan Drug Designation for CAN-2409 for the treatment of PDAC.</w:t>
      </w:r>
    </w:p>
    <w:p>
      <w:pPr>
        <w:spacing w:after="0" w:line="71"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In February 2025, we announced the final analysis of this phase 2a clinical trial of CAN-2409 in borderline resectable PDAC:</w:t>
      </w:r>
    </w:p>
    <w:p>
      <w:pPr>
        <w:spacing w:after="0" w:line="115" w:lineRule="exact"/>
        <w:rPr>
          <w:rFonts w:ascii="Times New Roman" w:cs="Times New Roman" w:eastAsia="Times New Roman" w:hAnsi="Times New Roman"/>
          <w:sz w:val="17"/>
          <w:szCs w:val="17"/>
          <w:color w:val="auto"/>
        </w:rPr>
      </w:pPr>
    </w:p>
    <w:p>
      <w:pPr>
        <w:ind w:left="2040" w:right="160" w:hanging="505"/>
        <w:spacing w:after="0" w:line="266" w:lineRule="auto"/>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median overall survival after enrollment was 31.4 months in the CAN-2409 group versus only 12.5 months in the control group.</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3 out of 7 patients who received CAN-2409 were still alive at the time of data cut-off (February 20, 2025) with survival of 66.0, 63.6, and 35.8 months, respectively, after enrollment; survival from the time of diagnosis was 73.5, 68.8 and 41.3 months, respectively, for these patients. In contrast, only one out of 6 patients randomized to SoC chemotherapy arm remained alive at the data cutoff; histologic analysis at resection showed intraepithelial neoplasia associated with improved prognosis in this patient.</w:t>
      </w:r>
    </w:p>
    <w:p>
      <w:pPr>
        <w:spacing w:after="0" w:line="74"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Median post-progression survival was 21.2 months in CAN-2409 patients (vs. 6.4 months in the control arm).</w:t>
      </w:r>
    </w:p>
    <w:p>
      <w:pPr>
        <w:spacing w:after="0" w:line="114" w:lineRule="exact"/>
        <w:rPr>
          <w:rFonts w:ascii="Times New Roman" w:cs="Times New Roman" w:eastAsia="Times New Roman" w:hAnsi="Times New Roman"/>
          <w:sz w:val="17"/>
          <w:szCs w:val="17"/>
          <w:color w:val="auto"/>
        </w:rPr>
      </w:pPr>
    </w:p>
    <w:p>
      <w:pPr>
        <w:ind w:left="2040" w:right="280" w:hanging="505"/>
        <w:spacing w:after="0" w:line="266" w:lineRule="auto"/>
        <w:tabs>
          <w:tab w:leader="none" w:pos="20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promising findings, the Company will advance the enabling work for a potentially registrational clinical trial of CAN-2409 in borderline resectable PDAC.</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lead HSV-based product candidate, CAN-3110, is currently being evaluated in an ongoing investigator-sponsored phase 1b clinical trial in our initial target indication of recurrent high-grade glioma (HGG). Patients recruited in this study have previously failed SoC treatment and have a poor prognosis (expected overall survival &lt; 6-9 months). In February 2024, we announced that the FDA granted Fast Track Designation for CAN-3110 for the treatment of patients with recurrent HGG to improve overall survival. In May 2024, we also announced that the FDA granted Orphan Drug Designation for CAN-3110 for the treatment of recurrent HGG.</w:t>
      </w:r>
    </w:p>
    <w:p>
      <w:pPr>
        <w:spacing w:after="0" w:line="7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 xml:space="preserve">In October 2023, we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overall survival associated with immune activation in patients with recurrent HGG treated with CAN-3110. Notably, new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CAN-3110. Clinical responses were observed in both injected and uninjected lesions in patients with multifocal disease. Significant tumor responses were observed in both arm A and arm B of this study, with continued reduction in tumor volume in a patient in arm B approximately one year after CAN-3110 treatment. Clinical response for this patient continues as of February 2025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26" w:name="page27"/>
    <w:bookmarkEnd w:id="26"/>
    <w:p>
      <w:pPr>
        <w:ind w:right="220"/>
        <w:spacing w:after="0" w:line="249" w:lineRule="auto"/>
        <w:rPr>
          <w:sz w:val="20"/>
          <w:szCs w:val="20"/>
          <w:color w:val="auto"/>
        </w:rPr>
      </w:pPr>
      <w:r>
        <w:rPr>
          <w:rFonts w:ascii="Arial" w:cs="Arial" w:eastAsia="Arial" w:hAnsi="Arial"/>
          <w:sz w:val="17"/>
          <w:szCs w:val="17"/>
          <w:color w:val="auto"/>
        </w:rPr>
        <w:t>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CAN-3110 administration, had improved survival.</w:t>
      </w:r>
    </w:p>
    <w:p>
      <w:pPr>
        <w:spacing w:after="0" w:line="67"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could further improve survival. This clinical trial extension is supported by the Break Through Cancer foundation. As of February 2025, we have dosed seven patients with multiple injections of CAN-3110 (up to six injections over a period of four months). In June 2024, a poster presentation at the ASCO Annual Meeting demonstrated that multiple intratumoral injections of CAN-3110 were feasible and well tolerated with no dose-limiting toxicities or severe adverse events observed in the first six patients treated in arm C. More than 300 core biopsies were obtained from these patients, across the planned dose ranging time points, which were processed for “-omic” analysis, including single-cell RNA sequencing and cell profiling. In October 2024, during the 16th Annual International Oncolytic Virotherapy Conference (IOVC), we announced clinical activity and biomarker data for arm C. The principal investigator of the study reported ongoing improved survival compared to historical controls in patients treated with multiple injections of CAN-3110, with 3 out of 6 patients with recurrent HGG (recurrent glioblastoma) still alive more than one year (12.2, 13.0, and 18.7 months, respectively) after initiation of experimental treatment with CAN-3110. The data also showed discrepancies between imaging and histologic findings. Post treatment longitudinal biopsies demonstrated near absence of tumor cells alongside dense lymphocyte infiltrates especially in patients with enhancement on post-treatment MRI scans, suggesting the presence of radiologic pseudo-progression after treatment with CAN-3110. This data cautions against the evaluation of progression by imaging, restating the importance of survival as the primary endpoint for viral immunotherapy trials. We expect to present initial median overall survival data for the repeat dosing cohort in the fourth quarter of 2025.</w:t>
      </w:r>
    </w:p>
    <w:p>
      <w:pPr>
        <w:spacing w:after="0" w:line="8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November 2024, during the SITC 2024 Annual Meeting, we presented data demonstrating the antitumor activity of CAN-3110 in preclinical models of melanoma, a tumor characterized by high Nestin expression, frequent loss-of-function in CDKN2A, and alterations in the Ras-Raf signaling pathway. This data supports the rationale to expand the evaluation of CAN-3110 into tumors beyond recurrent HGG, creating a potential pipeline in a product.</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are also designing additional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88"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In October 2024, during the 16th Annual IOVC, we presented data on a novel biological multimodal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the third preclinical candidate, encoding IL-12 and IL-15. Data included the ability of this asset to induce expansion and activation of natural killer and CD8+ T cells, resulting in significant inhibition of tumor growth and tumor regression in two different tumor models.</w:t>
      </w:r>
    </w:p>
    <w:p>
      <w:pPr>
        <w:spacing w:after="0" w:line="7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We currently own development and commercialization rights for all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7" w:name="page28"/>
    <w:bookmarkEnd w:id="27"/>
    <w:p>
      <w:pPr>
        <w:ind w:right="80"/>
        <w:spacing w:after="0" w:line="267" w:lineRule="auto"/>
        <w:rPr>
          <w:sz w:val="20"/>
          <w:szCs w:val="20"/>
          <w:color w:val="auto"/>
        </w:rPr>
      </w:pPr>
      <w:r>
        <w:rPr>
          <w:rFonts w:ascii="Arial" w:cs="Arial" w:eastAsia="Arial" w:hAnsi="Arial"/>
          <w:sz w:val="17"/>
          <w:szCs w:val="17"/>
          <w:color w:val="auto"/>
        </w:rPr>
        <w:t>September 2020, licensed CAN-3110 from Mass General Brigham (MGB). In December 2020, we formally changed our name from Advantagene to Candel Therapeutics, Inc. We completed our initial public offering in July 2021.</w:t>
      </w:r>
    </w:p>
    <w:p>
      <w:pPr>
        <w:spacing w:after="0" w:line="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May 5, 2025, we have sold and issued 3,809,402 shares of common stock under the ATM Program, with total net proceeds of $20.2 million. On December 16, 2024,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(the 2024 Follow-On Offering). We received approximately $85.9 million in net proceeds from the 2024 Follow-On Offering after deducting underwriting discounts and commissions and offering expenses. During the three months ended March 31, 2025, 1,947,192 shares of common stock were issued upon the exercise of the pre-funded warrants. As of March 31, 2025, 1,383,334 shares of our common stock were reserved for issuance upon exercise of the pre-funded warrants.</w:t>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cash and cash equivalents were $92.2 million as of March 31, 2025, which we believe will enable us to fund our operating expenses and capital expenditure requirements into the first quarter of 2027.</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00"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Periphagen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1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b w:val="1"/>
          <w:bCs w:val="1"/>
          <w:i w:val="1"/>
          <w:iCs w:val="1"/>
          <w:color w:val="auto"/>
        </w:rPr>
        <w:t>Mass General Brigham (MGB)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January 20, 2018, we entered into an exclusive option agreement (the Option Agreement) with MGB.</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8" w:name="page29"/>
    <w:bookmarkEnd w:id="28"/>
    <w:p>
      <w:pPr>
        <w:ind w:right="300"/>
        <w:spacing w:after="0" w:line="267" w:lineRule="auto"/>
        <w:rPr>
          <w:sz w:val="20"/>
          <w:szCs w:val="20"/>
          <w:color w:val="auto"/>
        </w:rPr>
      </w:pPr>
      <w:r>
        <w:rPr>
          <w:rFonts w:ascii="Arial" w:cs="Arial" w:eastAsia="Arial" w:hAnsi="Arial"/>
          <w:sz w:val="17"/>
          <w:szCs w:val="17"/>
          <w:color w:val="auto"/>
        </w:rPr>
        <w:t>a license issue fee and also agreed to reimburse MGB for all reasonable fees and expenses MGB had incurred and will incur for the preparation, filing, prosecution and maintenance of the licensed patent rights.</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Ventagen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a related party. The</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8"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86" w:lineRule="exact"/>
        <w:rPr>
          <w:sz w:val="20"/>
          <w:szCs w:val="20"/>
          <w:color w:val="auto"/>
        </w:rPr>
      </w:pPr>
    </w:p>
    <w:p>
      <w:pPr>
        <w:ind w:left="1020" w:right="48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5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72"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74" w:lineRule="exact"/>
        <w:rPr>
          <w:sz w:val="20"/>
          <w:szCs w:val="20"/>
          <w:color w:val="auto"/>
        </w:rPr>
      </w:pPr>
    </w:p>
    <w:p>
      <w:pPr>
        <w:ind w:left="5520" w:right="5340" w:hanging="5003"/>
        <w:spacing w:after="0" w:line="852" w:lineRule="auto"/>
        <w:tabs>
          <w:tab w:leader="none" w:pos="1022"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9" w:name="page30"/>
    <w:bookmarkEnd w:id="29"/>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14"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14"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CAN-2409 and CAN-3110;</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ongoing geopolitical conflicts and related global economic sanctions, or tariffs or other trade restrictions;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8"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primarily consists of amounts earned on investment of cash equivalents.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primarily consists of interest expense on our debt under our Loan Agreement with SVB.</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9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and comprehensive income (loss).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of December 31, 2024, we had federal net operating loss carryforwards (NOLs) of approximately $111.6 million and state NOLs of approximately $101.9 million which may be available to offset future taxable income. Our federal NOLs include $8.8 million available to reduce future taxable income through 2037 and approximately $102.8 million of NOLs that do not expire and are available to reduce future taxable income indefinitely. The state NOLs are available to offset future taxable income through 2033. As of December 31, 2024, we also had federal and state research and development tax credit carryforwards of $5.0 million and $2.4 million, respectively, which are available to offset federal and state tax liabilities through 2043 and 2038, respectively.</w:t>
      </w:r>
    </w:p>
    <w:p>
      <w:pPr>
        <w:spacing w:after="0" w:line="74"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March 31, 2025 and December 31, 2024.</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w:t>
      </w:r>
      <w:r>
        <w:rPr>
          <w:rFonts w:ascii="Arial" w:cs="Arial" w:eastAsia="Arial" w:hAnsi="Arial"/>
          <w:sz w:val="17"/>
          <w:szCs w:val="17"/>
          <w:b w:val="1"/>
          <w:bCs w:val="1"/>
          <w:i w:val="1"/>
          <w:iCs w:val="1"/>
          <w:color w:val="auto"/>
        </w:rPr>
        <w:t>hree Months Ended March 31, 2025 and 2024</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March 31,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4,016</w:t>
            </w:r>
          </w:p>
        </w:tc>
        <w:tc>
          <w:tcPr>
            <w:tcW w:w="5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4,102</w:t>
            </w: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4,114</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3,800</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8,130</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7,902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(8,130)</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(7,902)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934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14,881</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14,874</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7,379</w:t>
            </w:r>
          </w:p>
        </w:tc>
        <w:tc>
          <w:tcPr>
            <w:tcW w:w="5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(8,221)</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-822325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-822325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March 31,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9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54"/>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5780" w:type="dxa"/>
            <w:vAlign w:val="bottom"/>
          </w:tcPr>
          <w:p>
            <w:pPr>
              <w:spacing w:after="0"/>
              <w:rPr>
                <w:sz w:val="13"/>
                <w:szCs w:val="13"/>
                <w:color w:val="auto"/>
              </w:rPr>
            </w:pPr>
          </w:p>
        </w:tc>
        <w:tc>
          <w:tcPr>
            <w:tcW w:w="10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(DECREASE)</w:t>
            </w: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Employee-related</w:t>
            </w:r>
          </w:p>
        </w:tc>
        <w:tc>
          <w:tcPr>
            <w:tcW w:w="1060" w:type="dxa"/>
            <w:vAlign w:val="bottom"/>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2,152</w:t>
            </w:r>
          </w:p>
        </w:tc>
        <w:tc>
          <w:tcPr>
            <w:tcW w:w="1200" w:type="dxa"/>
            <w:vAlign w:val="bottom"/>
            <w:gridSpan w:val="2"/>
            <w:shd w:val="clear" w:color="auto" w:fill="CFF0FC"/>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2,728</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(576)</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Clinical development</w:t>
            </w:r>
          </w:p>
        </w:tc>
        <w:tc>
          <w:tcPr>
            <w:tcW w:w="106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1,245</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419</w:t>
            </w: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of fixed assets</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2"/>
        </w:trPr>
        <w:tc>
          <w:tcPr>
            <w:tcW w:w="5780" w:type="dxa"/>
            <w:vAlign w:val="bottom"/>
          </w:tcPr>
          <w:p>
            <w:pPr>
              <w:spacing w:after="0" w:line="202" w:lineRule="exact"/>
              <w:rPr>
                <w:sz w:val="20"/>
                <w:szCs w:val="20"/>
                <w:color w:val="auto"/>
              </w:rPr>
            </w:pPr>
            <w:r>
              <w:rPr>
                <w:rFonts w:ascii="Arial" w:cs="Arial" w:eastAsia="Arial" w:hAnsi="Arial"/>
                <w:sz w:val="18"/>
                <w:szCs w:val="18"/>
                <w:color w:val="auto"/>
              </w:rPr>
              <w:t>Occupancy</w:t>
            </w:r>
          </w:p>
        </w:tc>
        <w:tc>
          <w:tcPr>
            <w:tcW w:w="106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137</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w:t>
            </w: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Pre-clinical research</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65</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124</w:t>
            </w:r>
          </w:p>
        </w:tc>
        <w:tc>
          <w:tcPr>
            <w:tcW w:w="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5</w:t>
            </w:r>
          </w:p>
        </w:tc>
      </w:tr>
      <w:tr>
        <w:trPr>
          <w:trHeight w:val="216"/>
        </w:trPr>
        <w:tc>
          <w:tcPr>
            <w:tcW w:w="57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4,016</w:t>
            </w:r>
          </w:p>
        </w:tc>
        <w:tc>
          <w:tcPr>
            <w:tcW w:w="1200" w:type="dxa"/>
            <w:vAlign w:val="bottom"/>
            <w:gridSpan w:val="2"/>
            <w:shd w:val="clear" w:color="auto" w:fill="CFF0FC"/>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4,102</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102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102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Research and development expenses decreased $0.1 million from $4.1 million for the three months ended March 31, 2024 to $4.0 million for the three months ended March 31, 2025. The decrease was primarily attributable to a $0.6 million decrease in employee-related expenses driven by a decrease in stock compensation, partially offset by a $0.4 million increase in clinical development costs driven by increased manufacturing costs for CAN-2409 programs.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March 31,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575"/>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73"/>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(DECREASE)</w:t>
            </w: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Professional and consulting fees</w:t>
            </w:r>
          </w:p>
        </w:tc>
        <w:tc>
          <w:tcPr>
            <w:tcW w:w="1080" w:type="dxa"/>
            <w:vAlign w:val="bottom"/>
            <w:gridSpan w:val="2"/>
            <w:shd w:val="clear" w:color="auto" w:fill="CFF0FC"/>
          </w:tcPr>
          <w:p>
            <w:pPr>
              <w:jc w:val="right"/>
              <w:ind w:right="908"/>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1,934</w:t>
            </w:r>
          </w:p>
        </w:tc>
        <w:tc>
          <w:tcPr>
            <w:tcW w:w="900" w:type="dxa"/>
            <w:vAlign w:val="bottom"/>
            <w:gridSpan w:val="2"/>
            <w:shd w:val="clear" w:color="auto" w:fill="CFF0FC"/>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1,668</w:t>
            </w:r>
          </w:p>
        </w:tc>
        <w:tc>
          <w:tcPr>
            <w:tcW w:w="4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266</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Employee-related</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1,716</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1,639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77</w:t>
            </w: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Insurance</w:t>
            </w:r>
          </w:p>
        </w:tc>
        <w:tc>
          <w:tcPr>
            <w:tcW w:w="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321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Occupancy</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w:t>
            </w:r>
          </w:p>
        </w:tc>
      </w:tr>
      <w:tr>
        <w:trPr>
          <w:trHeight w:val="203"/>
        </w:trPr>
        <w:tc>
          <w:tcPr>
            <w:tcW w:w="5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145</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127</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18</w:t>
            </w:r>
          </w:p>
        </w:tc>
      </w:tr>
      <w:tr>
        <w:trPr>
          <w:trHeight w:val="196"/>
        </w:trPr>
        <w:tc>
          <w:tcPr>
            <w:tcW w:w="5100" w:type="dxa"/>
            <w:vAlign w:val="bottom"/>
          </w:tcPr>
          <w:p>
            <w:pPr>
              <w:spacing w:after="0"/>
              <w:rPr>
                <w:sz w:val="17"/>
                <w:szCs w:val="17"/>
                <w:color w:val="auto"/>
              </w:rPr>
            </w:pPr>
          </w:p>
        </w:tc>
        <w:tc>
          <w:tcPr>
            <w:tcW w:w="1080" w:type="dxa"/>
            <w:vAlign w:val="bottom"/>
            <w:gridSpan w:val="2"/>
          </w:tcPr>
          <w:p>
            <w:pPr>
              <w:jc w:val="right"/>
              <w:ind w:right="908"/>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5"/>
              <w:spacing w:after="0" w:line="196" w:lineRule="exact"/>
              <w:rPr>
                <w:sz w:val="20"/>
                <w:szCs w:val="20"/>
                <w:color w:val="auto"/>
              </w:rPr>
            </w:pPr>
            <w:r>
              <w:rPr>
                <w:rFonts w:ascii="Arial" w:cs="Arial" w:eastAsia="Arial" w:hAnsi="Arial"/>
                <w:sz w:val="18"/>
                <w:szCs w:val="18"/>
                <w:color w:val="auto"/>
              </w:rPr>
              <w:t>4,114</w:t>
            </w:r>
          </w:p>
        </w:tc>
        <w:tc>
          <w:tcPr>
            <w:tcW w:w="90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3,800</w:t>
            </w:r>
          </w:p>
        </w:tc>
        <w:tc>
          <w:tcPr>
            <w:tcW w:w="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314</w:t>
            </w:r>
          </w:p>
        </w:tc>
      </w:tr>
      <w:tr>
        <w:trPr>
          <w:trHeight w:val="20"/>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-162560</wp:posOffset>
            </wp:positionV>
            <wp:extent cx="1200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1200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General and administrative expenses increased $0.3 million from $3.8 million for the three months ended March 31, 2024 to $4.1 million for the three months ended March 31, 2025. The increase was primarily attributable to a $0.3 million increase in professional and consulting fees.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Interest Income</w:t>
      </w:r>
    </w:p>
    <w:p>
      <w:pPr>
        <w:spacing w:after="0" w:line="98"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Interest income was $0.9 million and $0.3 million for the three months ended March 31, 2025 and 2024, respectively, and primarily represents earnings on our cash equivalents. The increase in interest income is the result of interest being generated on a greater cash equivalents balance for the three months ended March 31, 2025 compared to the three months ended March 31,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Interest expense was $0.3 million and $0.6 million for the three months ended March 31, 2025 and 2024, respectively, and represents interest expense on our outstanding debt obligations. The decrease in interest expense is the result of a lower outstanding balance on the term loan payable to a bank for the three months ended March 31, 2025 compared to the three months ended March 31,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98"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The change in fair value of our warrant liability was a decrease of $14.9 million for the three months ended March 31, 2025, compared to a decrease of $7,000 for the three months ended March 31, 2024. The change in fair value of the warrant liability is primarily driven by changes in the underlying value of our stock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As of March 31, 2025, we had cash and cash equivalents of $92.2 million. Based on current plans and assumptions, we expect that our existing cash and cash equivalents will be sufficient to fund our current operating plan into the first quarter of 2027, including the expected completion of the final overall survival phase 2a data readouts in borderline resectable pancreatic ductal adenocarcinoma (PDAC), announced on February 25, 2025, and non-small cell lung cancer (NSCLC), announced on March 27, 2025, and the final overall survival readout for the ongoing phase 1b trial in recurrent high-grade glioma with CAN-3110 in the fourth quarter of 2025. We will require additional capital to further advance development of CAN-2409 in NSCLC and PDAC or of CAN-3110 beyond the current trials and to complete the clinical development of, or commercialize, any of our product candidates or programs.</w:t>
      </w:r>
    </w:p>
    <w:p>
      <w:pPr>
        <w:spacing w:after="0" w:line="74"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March 31, 2025, we have raised approximately $271.5 million of gross proceeds from such transactions, including $15.6 million of government grants, $66.1 million from the sale of convertible preferred stock, $187.8 million from the sale of our common stock and accompanying pre-funded warrants, and $2.0 million from stock option exercises. Our cash and cash equivalents totaled $92.2 million as of March 31, 2025. We had $10.1 million of debt as of March 31, 2025. As of March 31, 2025, we have raised $16.2 million of net proceeds under our ATM Program (as defined below). Subsequent to March 31, 2025 and through May 5, 2025, we have raised an additional $4.0 million of net proceeds under our ATM Program.</w:t>
      </w:r>
    </w:p>
    <w:p>
      <w:pPr>
        <w:spacing w:after="0" w:line="7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 February 24, 2022, we entered into a Loan Agreement with SVB pursuant to which SVB agreed to provide term loans to us in an aggregate principal amount of $20.0 million. We borrowed $20.0 million upon entering into the Loan Agreement. The term loans are secured by substantially all of our properties, rights and assets, except for our intellectual property, which is subject to a negative pledge under the Loan Agreement.</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 As of March 31, 2025, $9.2 million of indebtedness was outstanding under the Loan Agreement.</w:t>
      </w:r>
    </w:p>
    <w:p>
      <w:pPr>
        <w:spacing w:after="0" w:line="74"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3" w:name="page34"/>
    <w:bookmarkEnd w:id="33"/>
    <w:p>
      <w:pPr>
        <w:ind w:right="200"/>
        <w:spacing w:after="0" w:line="244" w:lineRule="auto"/>
        <w:rPr>
          <w:sz w:val="20"/>
          <w:szCs w:val="20"/>
          <w:color w:val="auto"/>
        </w:rPr>
      </w:pPr>
      <w:r>
        <w:rPr>
          <w:rFonts w:ascii="Arial" w:cs="Arial" w:eastAsia="Arial" w:hAnsi="Arial"/>
          <w:sz w:val="17"/>
          <w:szCs w:val="17"/>
          <w:color w:val="auto"/>
        </w:rPr>
        <w:t>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May 5, 2025, we have sold and issued 3,809,402 shares of common stock under the ATM Program, with total net proceeds of $20.2 million.</w:t>
      </w:r>
    </w:p>
    <w:p>
      <w:pPr>
        <w:spacing w:after="0" w:line="6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connection with the 2024 Follow-On Offering,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We received approximately $85.9 million in net proceeds from the 2024 Follow-On Offering after deducting underwriting discounts and commissions and offering expenses. During the three months ended March 31, 2025, 1,947,192 shares of common stock were issued upon exercise of the pre-funded warrants. As of March 31, 2025, 1,383,334 shares of our common stock were reserved for issuance upon exercise of the pre-funded warrants.</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of March 31, 2025, we had an accumulated deficit of $184.8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8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r>
      <w:tr>
        <w:trPr>
          <w:trHeight w:val="171"/>
        </w:trPr>
        <w:tc>
          <w:tcPr>
            <w:tcW w:w="7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r>
      <w:tr>
        <w:trPr>
          <w:trHeight w:val="155"/>
        </w:trPr>
        <w:tc>
          <w:tcPr>
            <w:tcW w:w="77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(8,616)</w:t>
            </w:r>
          </w:p>
        </w:tc>
        <w:tc>
          <w:tcPr>
            <w:tcW w:w="116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(8,438)</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7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(1,870)</w:t>
            </w:r>
          </w:p>
        </w:tc>
        <w:tc>
          <w:tcPr>
            <w:tcW w:w="1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(1,255)</w:t>
            </w:r>
          </w:p>
        </w:tc>
      </w:tr>
      <w:tr>
        <w:trPr>
          <w:trHeight w:val="196"/>
        </w:trPr>
        <w:tc>
          <w:tcPr>
            <w:tcW w:w="7700" w:type="dxa"/>
            <w:vAlign w:val="bottom"/>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98"/>
              </w:rPr>
              <w:t>(10,489)</w:t>
            </w:r>
          </w:p>
        </w:tc>
        <w:tc>
          <w:tcPr>
            <w:tcW w:w="1160" w:type="dxa"/>
            <w:vAlign w:val="bottom"/>
            <w:gridSpan w:val="2"/>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(9,700)</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-161925</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2025 and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8"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Net cash used in operating activities for the three months ended March 31, 2025 was $8.6 million, consisting primarily of net income of $7.4 million and non-cash charges of $14.2 million, primarily related to the $14.9 million change in the fair value of our warrant liability and non-cash stock compensation. Net cash used in operating activities was also impacted by $1.8 million in changes in operating assets and liabilities, primarily driven by a decrease of $2.4 million in accrued expenses and partially offset by an increase of $0.5 million in accounts payable.</w:t>
      </w:r>
    </w:p>
    <w:p>
      <w:pPr>
        <w:spacing w:after="0" w:line="6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Net cash used in operating activities for the three months ended March 31, 2024 was $8.4 million, primarily consisting of a net loss of $8.2 million as we incurred expenses associated with our clinical programs, increased our headcount and incurred costs associated with operating as a public company. We had non-cash charges of $1.5 million primarily related to depreciation and non-cash stock compensation expense. Net cash used in operating activities was also impacted by $1.7 million in changes in operating assets and liabilities, primarily driven by a decrease of $1.6 million in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three months ended March 31, 2025 was $3,000 and consisted of the purchase of fixed assets.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Net cash used in investing activities for the three months ended March 31, 2024 was $7,000 and consisted of the purchase of fixed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Net cash used in financing activities for the three months ended March 31, 2025 was $1.9 million and consisted of $2.5 million of principal payments on our term loan with SVB, partially offset by $0.2 million of proceeds from option exercises and $0.4 million of net proceeds from the issuance of common stock under our ATM Program.</w:t>
      </w:r>
    </w:p>
    <w:p>
      <w:pPr>
        <w:spacing w:after="0" w:line="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Net cash used in financing activities for the three months ended March 31, 2024 was $1.3 million and consisted of $1.7 million of principal payments on our term loan with SVB, partially offset by $0.2 million of proceeds from option exercises and $0.2 million of net proceeds from the issuance of common stock under our ATM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potential marketing approval and potential commercialization. We also expect to incur additional costs associated with operating as a public company.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w:t>
      </w:r>
    </w:p>
    <w:p>
      <w:pPr>
        <w:spacing w:after="0" w:line="114" w:lineRule="exact"/>
        <w:rPr>
          <w:rFonts w:ascii="Times New Roman" w:cs="Times New Roman" w:eastAsia="Times New Roman" w:hAnsi="Times New Roman"/>
          <w:sz w:val="17"/>
          <w:szCs w:val="17"/>
          <w:color w:val="auto"/>
        </w:rPr>
      </w:pPr>
    </w:p>
    <w:p>
      <w:pPr>
        <w:ind w:left="1020" w:right="220" w:hanging="503"/>
        <w:spacing w:after="0" w:line="249"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potential commercial manufacturing of our product candidate CAN-2409 and the development, construction and qualification of our clinical manufacturing capabilities, internally or through CDMOs for our product candidate CAN-3110;</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pursue preparatory activities for potential launch and commercialization for CAN-2409 in localized prostate cancer;</w:t>
      </w:r>
    </w:p>
    <w:p>
      <w:pPr>
        <w:spacing w:after="0" w:line="114" w:lineRule="exact"/>
        <w:rPr>
          <w:rFonts w:ascii="Times New Roman" w:cs="Times New Roman" w:eastAsia="Times New Roman" w:hAnsi="Times New Roman"/>
          <w:sz w:val="17"/>
          <w:szCs w:val="17"/>
          <w:color w:val="auto"/>
        </w:rPr>
      </w:pPr>
    </w:p>
    <w:p>
      <w:pPr>
        <w:ind w:left="1020" w:right="380" w:hanging="503"/>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51"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52"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We believe that our existing cash and cash equivalents as of March 31, 2025, will enable us to fund our operating expenses and capital expense requirements into the first quarter of 2027. We have based this estimate on assumptions that may prove to be incorrect, and we could utilize our available capital resources sooner than we currently expect.</w:t>
      </w:r>
    </w:p>
    <w:p>
      <w:pPr>
        <w:spacing w:after="0" w:line="6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5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14" w:lineRule="exact"/>
        <w:rPr>
          <w:rFonts w:ascii="Times New Roman" w:cs="Times New Roman" w:eastAsia="Times New Roman" w:hAnsi="Times New Roman"/>
          <w:sz w:val="17"/>
          <w:szCs w:val="17"/>
          <w:color w:val="auto"/>
        </w:rPr>
      </w:pPr>
    </w:p>
    <w:p>
      <w:pPr>
        <w:ind w:left="1020" w:right="92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49"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6" w:right="399" w:bottom="1440" w:gutter="0" w:footer="0" w:header="0"/>
        </w:sectPr>
      </w:pPr>
    </w:p>
    <w:bookmarkStart w:id="35" w:name="page36"/>
    <w:bookmarkEnd w:id="35"/>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51"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March 31, 2025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center"/>
              <w:ind w:left="736"/>
              <w:spacing w:after="0"/>
              <w:rPr>
                <w:sz w:val="20"/>
                <w:szCs w:val="20"/>
                <w:color w:val="auto"/>
              </w:rPr>
            </w:pPr>
            <w:r>
              <w:rPr>
                <w:rFonts w:ascii="Arial" w:cs="Arial" w:eastAsia="Arial" w:hAnsi="Arial"/>
                <w:sz w:val="14"/>
                <w:szCs w:val="14"/>
                <w:b w:val="1"/>
                <w:bCs w:val="1"/>
                <w:color w:val="auto"/>
              </w:rPr>
              <w:t>PAYMENTS DUE BY PERIOD</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1 TO 3</w:t>
            </w: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24"/>
                <w:szCs w:val="24"/>
                <w:color w:val="auto"/>
                <w:vertAlign w:val="superscript"/>
              </w:rPr>
              <w:t>(1)</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63"/>
        </w:trPr>
        <w:tc>
          <w:tcPr>
            <w:tcW w:w="6640" w:type="dxa"/>
            <w:vAlign w:val="bottom"/>
            <w:vMerge w:val="continue"/>
          </w:tcPr>
          <w:p>
            <w:pPr>
              <w:spacing w:after="0"/>
              <w:rPr>
                <w:sz w:val="14"/>
                <w:szCs w:val="14"/>
                <w:color w:val="auto"/>
              </w:rPr>
            </w:pPr>
          </w:p>
        </w:tc>
        <w:tc>
          <w:tcPr>
            <w:tcW w:w="260" w:type="dxa"/>
            <w:vAlign w:val="bottom"/>
          </w:tcPr>
          <w:p>
            <w:pPr>
              <w:jc w:val="right"/>
              <w:ind w:right="50"/>
              <w:spacing w:after="0" w:line="164"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line="164" w:lineRule="exact"/>
              <w:rPr>
                <w:sz w:val="20"/>
                <w:szCs w:val="20"/>
                <w:color w:val="auto"/>
              </w:rPr>
            </w:pPr>
            <w:r>
              <w:rPr>
                <w:rFonts w:ascii="Arial" w:cs="Arial" w:eastAsia="Arial" w:hAnsi="Arial"/>
                <w:sz w:val="18"/>
                <w:szCs w:val="18"/>
                <w:color w:val="auto"/>
              </w:rPr>
              <w:t>876</w:t>
            </w:r>
          </w:p>
        </w:tc>
        <w:tc>
          <w:tcPr>
            <w:tcW w:w="14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8"/>
              <w:spacing w:after="0" w:line="164" w:lineRule="exact"/>
              <w:rPr>
                <w:sz w:val="20"/>
                <w:szCs w:val="20"/>
                <w:color w:val="auto"/>
              </w:rPr>
            </w:pPr>
            <w:r>
              <w:rPr>
                <w:rFonts w:ascii="Arial" w:cs="Arial" w:eastAsia="Arial" w:hAnsi="Arial"/>
                <w:sz w:val="18"/>
                <w:szCs w:val="18"/>
                <w:color w:val="auto"/>
              </w:rPr>
              <w:t>616</w:t>
            </w:r>
          </w:p>
        </w:tc>
        <w:tc>
          <w:tcPr>
            <w:tcW w:w="140" w:type="dxa"/>
            <w:vAlign w:val="bottom"/>
          </w:tcPr>
          <w:p>
            <w:pPr>
              <w:spacing w:after="0"/>
              <w:rPr>
                <w:sz w:val="14"/>
                <w:szCs w:val="14"/>
                <w:color w:val="auto"/>
              </w:rPr>
            </w:pPr>
          </w:p>
        </w:tc>
        <w:tc>
          <w:tcPr>
            <w:tcW w:w="260" w:type="dxa"/>
            <w:vAlign w:val="bottom"/>
          </w:tcPr>
          <w:p>
            <w:pPr>
              <w:jc w:val="right"/>
              <w:ind w:right="70"/>
              <w:spacing w:after="0" w:line="164"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6"/>
              <w:spacing w:after="0" w:line="164"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5"/>
        </w:trPr>
        <w:tc>
          <w:tcPr>
            <w:tcW w:w="6640" w:type="dxa"/>
            <w:vAlign w:val="bottom"/>
          </w:tcPr>
          <w:p>
            <w:pPr>
              <w:spacing w:after="0" w:line="236" w:lineRule="exact"/>
              <w:rPr>
                <w:sz w:val="20"/>
                <w:szCs w:val="20"/>
                <w:color w:val="auto"/>
              </w:rPr>
            </w:pPr>
            <w:r>
              <w:rPr>
                <w:rFonts w:ascii="Arial" w:cs="Arial" w:eastAsia="Arial" w:hAnsi="Arial"/>
                <w:sz w:val="18"/>
                <w:szCs w:val="18"/>
                <w:color w:val="auto"/>
              </w:rPr>
              <w:t xml:space="preserve">Loan Agreement with SVB </w:t>
            </w:r>
            <w:r>
              <w:rPr>
                <w:rFonts w:ascii="Arial" w:cs="Arial" w:eastAsia="Arial" w:hAnsi="Arial"/>
                <w:sz w:val="22"/>
                <w:szCs w:val="22"/>
                <w:color w:val="auto"/>
                <w:vertAlign w:val="superscript"/>
              </w:rPr>
              <w:t>(2)</w:t>
            </w:r>
          </w:p>
        </w:tc>
        <w:tc>
          <w:tcPr>
            <w:tcW w:w="2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9,623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9,623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 xml:space="preserve">Periphagen Note </w:t>
            </w:r>
            <w:r>
              <w:rPr>
                <w:rFonts w:ascii="Arial" w:cs="Arial" w:eastAsia="Arial" w:hAnsi="Arial"/>
                <w:sz w:val="22"/>
                <w:szCs w:val="22"/>
                <w:color w:val="auto"/>
                <w:vertAlign w:val="superscript"/>
              </w:rPr>
              <w:t>(3)</w:t>
            </w:r>
          </w:p>
        </w:tc>
        <w:tc>
          <w:tcPr>
            <w:tcW w:w="2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1,352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line="196" w:lineRule="exact"/>
              <w:rPr>
                <w:sz w:val="20"/>
                <w:szCs w:val="20"/>
                <w:color w:val="auto"/>
              </w:rPr>
            </w:pPr>
            <w:r>
              <w:rPr>
                <w:rFonts w:ascii="Arial" w:cs="Arial" w:eastAsia="Arial" w:hAnsi="Arial"/>
                <w:sz w:val="18"/>
                <w:szCs w:val="18"/>
                <w:color w:val="auto"/>
              </w:rPr>
              <w:t>11,851</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line="196" w:lineRule="exact"/>
              <w:rPr>
                <w:sz w:val="20"/>
                <w:szCs w:val="20"/>
                <w:color w:val="auto"/>
              </w:rPr>
            </w:pPr>
            <w:r>
              <w:rPr>
                <w:rFonts w:ascii="Arial" w:cs="Arial" w:eastAsia="Arial" w:hAnsi="Arial"/>
                <w:sz w:val="18"/>
                <w:szCs w:val="18"/>
                <w:color w:val="auto"/>
              </w:rPr>
              <w:t>10,239</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6"/>
              <w:spacing w:after="0" w:line="196" w:lineRule="exact"/>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-161925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ind w:left="380" w:right="100" w:hanging="372"/>
        <w:spacing w:after="0" w:line="205" w:lineRule="auto"/>
        <w:tabs>
          <w:tab w:leader="none" w:pos="38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Represents future minimum lease payments under our operating lease for office and laboratory space at our Needham, Massachusetts facility. Our facility lease extends to August of 2026.</w:t>
      </w:r>
    </w:p>
    <w:p>
      <w:pPr>
        <w:spacing w:after="0" w:line="1" w:lineRule="exact"/>
        <w:rPr>
          <w:rFonts w:ascii="Arial" w:cs="Arial" w:eastAsia="Arial" w:hAnsi="Arial"/>
          <w:sz w:val="23"/>
          <w:szCs w:val="23"/>
          <w:color w:val="auto"/>
          <w:vertAlign w:val="superscript"/>
        </w:rPr>
      </w:pPr>
    </w:p>
    <w:p>
      <w:pPr>
        <w:ind w:left="380" w:hanging="372"/>
        <w:spacing w:after="0" w:line="187" w:lineRule="auto"/>
        <w:tabs>
          <w:tab w:leader="none" w:pos="3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Represents future principal, interest payments, and the final payment fee on our Loan Agreement with SVB, which matures on January 1, 2026.</w:t>
      </w:r>
    </w:p>
    <w:p>
      <w:pPr>
        <w:ind w:left="380" w:right="820" w:hanging="372"/>
        <w:spacing w:after="0" w:line="207" w:lineRule="auto"/>
        <w:tabs>
          <w:tab w:leader="none" w:pos="38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Represents a $1.0 million promissory note plus interest under the terms of our asset purchase agreements with Periphagen, Inc. The promissory note is due upon maturity in November 2027.</w:t>
      </w:r>
    </w:p>
    <w:p>
      <w:pPr>
        <w:spacing w:after="0" w:line="73"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See our condensed consolidated financial statements and related footnotes elsewhere in this Form 10-Q for additional information on these agreements.</w:t>
      </w:r>
    </w:p>
    <w:p>
      <w:pPr>
        <w:spacing w:after="0" w:line="5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generally accepted accounting principles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6" w:name="page37"/>
    <w:bookmarkEnd w:id="36"/>
    <w:p>
      <w:pPr>
        <w:ind w:right="800"/>
        <w:spacing w:after="0" w:line="267" w:lineRule="auto"/>
        <w:rPr>
          <w:sz w:val="20"/>
          <w:szCs w:val="20"/>
          <w:color w:val="auto"/>
        </w:rPr>
      </w:pPr>
      <w:r>
        <w:rPr>
          <w:rFonts w:ascii="Arial" w:cs="Arial" w:eastAsia="Arial" w:hAnsi="Arial"/>
          <w:sz w:val="17"/>
          <w:szCs w:val="17"/>
          <w:color w:val="auto"/>
        </w:rPr>
        <w:t>evaluate our estimates and assumptions on an ongoing basis. Our actual results may materially differ from these estimates under different assumptions or conditions.</w:t>
      </w:r>
    </w:p>
    <w:p>
      <w:pPr>
        <w:spacing w:after="0" w:line="51"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During the three months ended March 31, 2025, there were no material changes to our critical accounting estimates as reported in our Annual Report on Form 10-K for the year ended December 31, 2024. For a full discussion of these estimates, see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within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year ended December 31,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is disclosed in Note 2 to our condensed consolidated financial statements included elsewhere in this Form 10-Q.</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w:t>
      </w:r>
    </w:p>
    <w:p>
      <w:pPr>
        <w:spacing w:after="0" w:line="1" w:lineRule="exact"/>
        <w:rPr>
          <w:sz w:val="20"/>
          <w:szCs w:val="20"/>
          <w:color w:val="auto"/>
        </w:rPr>
      </w:pPr>
    </w:p>
    <w:p>
      <w:pPr>
        <w:ind w:right="80" w:firstLine="8"/>
        <w:spacing w:after="0" w:line="248" w:lineRule="auto"/>
        <w:tabs>
          <w:tab w:leader="none" w:pos="2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(our principal executive officer and principal financial officer, respectively), evaluated the effectiveness of our disclosure controls and procedures as of March 31, 2025. Based on the evaluation of our disclosure controls and procedures as of March 31, 2025, our Chief Executive Officer and Interim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may become involved in litigation or other legal proceedings.</w:t>
      </w:r>
    </w:p>
    <w:p>
      <w:pPr>
        <w:spacing w:after="0" w:line="10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sale of our common stock and accompanying pre-funded warrants. From our inception through March 31, 2025, we raised an aggregate of $253.9 million of gross proceeds from such transactions. In addition, in February 2022, we borrowed $20.0 million under the Loan Agreement with SVB. As of March 31, 2025, our cash and cash equivalents were $92.2 million. We have incurred net losses in each year since our inception, and we had an accumulated deficit of $184.8 million as of March 31, 2025. For the three months ended March 31, 2025 and 2024, we reported net income of $7.4 million and a net loss of $8.2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7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020" w:right="2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9" w:name="page40"/>
    <w:bookmarkEnd w:id="39"/>
    <w:p>
      <w:pPr>
        <w:ind w:left="1020" w:right="26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 or changes in trade policy, tariffs or other trade restrictions;</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ind w:left="1020" w:right="280" w:hanging="503"/>
        <w:spacing w:after="0" w:line="249"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0" w:name="page41"/>
    <w:bookmarkEnd w:id="40"/>
    <w:p>
      <w:pPr>
        <w:ind w:left="1020" w:right="160" w:hanging="503"/>
        <w:spacing w:after="0" w:line="266"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We will need to raise substantial additional funding, which may not be available on acceptable terms, or at all. If we are unable to raise capital when needed, we would be forced to delay, reduce or eliminate some of our product development programs or commercialization efforts or initiate steps to cease operations.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first quarter of 2027. However, our future capital requirements will depend on and could increase significantly as a result of many factors, including:</w:t>
      </w:r>
    </w:p>
    <w:p>
      <w:pPr>
        <w:spacing w:after="0" w:line="51" w:lineRule="exact"/>
        <w:rPr>
          <w:sz w:val="20"/>
          <w:szCs w:val="20"/>
          <w:color w:val="auto"/>
        </w:rPr>
      </w:pPr>
    </w:p>
    <w:p>
      <w:pPr>
        <w:ind w:left="1020" w:right="4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jc w:val="both"/>
        <w:ind w:left="1020" w:right="320" w:hanging="503"/>
        <w:spacing w:after="0" w:line="249"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high-grade glioma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1020" w:right="220" w:hanging="503"/>
        <w:spacing w:after="0" w:line="249"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51"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1" w:name="page42"/>
    <w:bookmarkEnd w:id="41"/>
    <w:p>
      <w:pPr>
        <w:ind w:left="1020" w:right="60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1020" w:right="42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360"/>
        <w:spacing w:after="0" w:line="244" w:lineRule="auto"/>
        <w:rPr>
          <w:sz w:val="20"/>
          <w:szCs w:val="20"/>
          <w:color w:val="auto"/>
        </w:rPr>
      </w:pPr>
      <w:r>
        <w:rPr>
          <w:rFonts w:ascii="Arial" w:cs="Arial" w:eastAsia="Arial" w:hAnsi="Arial"/>
          <w:sz w:val="17"/>
          <w:szCs w:val="17"/>
          <w:color w:val="auto"/>
        </w:rPr>
        <w:t>If we are unable to obtain adequate funding on a timely basis or on terms acceptable to us, we may be required to revise our business plan and strategy and potentially curtail, delay, or discontinue one or more of our clinical trials, our research efforts, product development, future commercialization efforts or we may be unable to expand our operations or otherwise capitalize on our business opportunities, or we may be required to initiate steps to cease operations. As a result, our business, financial condition and results of operations could be materially affected.</w:t>
      </w:r>
    </w:p>
    <w:p>
      <w:pPr>
        <w:spacing w:after="0" w:line="69"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i w:val="1"/>
          <w:iCs w:val="1"/>
          <w:color w:val="auto"/>
        </w:rPr>
        <w:t>Any future corporate restructuring and the associated headcount reduction may not result in anticipated savings, could result in total costs and expenses that are greater than expected and could disrupt our business.</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November 2023, we undertook an organizational restructuring that significantly reduced our workforce. We may need to undertake another organizational restructuring in the future. We may not realize, in full or in part, the anticipated benefits, savings and improvements in our cost structure from any future restructuring efforts due to unforeseen difficulties, delays or unexpected costs. If we are unable to realize the expected operational efficiencies and cost savings from a restructuring, our operating results and financial condition would be adversely affected. Furthermore, our restructuring plan may be disruptive to our operations. For example, any future headcount reductions could yield unanticipated consequences, such as increased difficulties in implementing our business strategy, including retention of our remaining employees. A future restructuring may lead to employee litigation related to the headcount reduction, which could be costly and prevent management from fully concentrating on the business.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a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2" w:name="page43"/>
    <w:bookmarkEnd w:id="42"/>
    <w:p>
      <w:pPr>
        <w:jc w:val="both"/>
        <w:ind w:right="120"/>
        <w:spacing w:after="0" w:line="249" w:lineRule="auto"/>
        <w:rPr>
          <w:sz w:val="20"/>
          <w:szCs w:val="20"/>
          <w:color w:val="auto"/>
        </w:rPr>
      </w:pPr>
      <w:r>
        <w:rPr>
          <w:rFonts w:ascii="Arial" w:cs="Arial" w:eastAsia="Arial" w:hAnsi="Arial"/>
          <w:sz w:val="17"/>
          <w:szCs w:val="17"/>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107"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3" w:name="page44"/>
    <w:bookmarkEnd w:id="43"/>
    <w:p>
      <w:pPr>
        <w:ind w:right="80"/>
        <w:spacing w:after="0" w:line="239" w:lineRule="auto"/>
        <w:rPr>
          <w:sz w:val="20"/>
          <w:szCs w:val="20"/>
          <w:color w:val="auto"/>
        </w:rPr>
      </w:pPr>
      <w:r>
        <w:rPr>
          <w:rFonts w:ascii="Arial" w:cs="Arial" w:eastAsia="Arial" w:hAnsi="Arial"/>
          <w:sz w:val="17"/>
          <w:szCs w:val="17"/>
          <w:color w:val="auto"/>
        </w:rPr>
        <w:t>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4"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6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regulatory approval or fail to achieve significant market acceptance, we would be delayed by many years in our ability to achieve profitability, if ever.</w:t>
      </w:r>
    </w:p>
    <w:p>
      <w:pPr>
        <w:spacing w:after="0" w:line="10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to date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recurrent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79"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4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5" w:name="page46"/>
    <w:bookmarkEnd w:id="45"/>
    <w:p>
      <w:pPr>
        <w:spacing w:after="0" w:line="239" w:lineRule="auto"/>
        <w:rPr>
          <w:sz w:val="20"/>
          <w:szCs w:val="20"/>
          <w:color w:val="auto"/>
        </w:rPr>
      </w:pPr>
      <w:r>
        <w:rPr>
          <w:rFonts w:ascii="Arial" w:cs="Arial" w:eastAsia="Arial" w:hAnsi="Arial"/>
          <w:sz w:val="17"/>
          <w:szCs w:val="17"/>
          <w:color w:val="auto"/>
        </w:rPr>
        <w:t>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6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3"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6" w:name="page47"/>
    <w:bookmarkEnd w:id="46"/>
    <w:p>
      <w:pPr>
        <w:ind w:right="20"/>
        <w:spacing w:after="0" w:line="249" w:lineRule="auto"/>
        <w:rPr>
          <w:sz w:val="20"/>
          <w:szCs w:val="20"/>
          <w:color w:val="auto"/>
        </w:rPr>
      </w:pPr>
      <w:r>
        <w:rPr>
          <w:rFonts w:ascii="Arial" w:cs="Arial" w:eastAsia="Arial" w:hAnsi="Arial"/>
          <w:sz w:val="17"/>
          <w:szCs w:val="17"/>
          <w:color w:val="auto"/>
        </w:rPr>
        <w:t>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6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7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w:t>
      </w:r>
    </w:p>
    <w:p>
      <w:pPr>
        <w:spacing w:after="0" w:line="5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talimogene laherparepvec (Imlygic, Amgen) and nadofaragene firadenovec-vncg (Adstiladrin, Ferring Pharmaceuticals) have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6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which investigated CAN-2409 in prostate cancer was a disease-free survival (DFS) endpoint. While this endpoint has not been utilized in prior trials, it was discussed and agreed by the FDA during the process resulting in the Special Protocol Assessment (SPA). The FDA may change its views on the clinical relevance of this endpoint because of evolving standards of care and contemporary disease management guidelines, or other emerging clinical or scientific information. However, even if this endpoint is accepted as a basis for approval in the United States, we cannot be certain that regulators outside of the United States will accept the endpoint or will not require us to conduct additional validation studies to support the suitability of such endpoints for approval in these jurisdictions.</w:t>
      </w:r>
    </w:p>
    <w:p>
      <w:pPr>
        <w:spacing w:after="0" w:line="73"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7" w:name="page48"/>
    <w:bookmarkEnd w:id="47"/>
    <w:p>
      <w:pPr>
        <w:ind w:right="2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76"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8" w:name="page49"/>
    <w:bookmarkEnd w:id="48"/>
    <w:p>
      <w:pPr>
        <w:ind w:right="80"/>
        <w:spacing w:after="0" w:line="244" w:lineRule="auto"/>
        <w:rPr>
          <w:sz w:val="20"/>
          <w:szCs w:val="20"/>
          <w:color w:val="auto"/>
        </w:rPr>
      </w:pPr>
      <w:r>
        <w:rPr>
          <w:rFonts w:ascii="Arial" w:cs="Arial" w:eastAsia="Arial" w:hAnsi="Arial"/>
          <w:sz w:val="17"/>
          <w:szCs w:val="17"/>
          <w:color w:val="auto"/>
        </w:rPr>
        <w:t>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6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1"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1020" w:right="200" w:hanging="503"/>
        <w:spacing w:after="0" w:line="249"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1020" w:right="64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9" w:name="page50"/>
    <w:bookmarkEnd w:id="49"/>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50" w:name="page51"/>
    <w:bookmarkEnd w:id="50"/>
    <w:p>
      <w:pPr>
        <w:ind w:right="40"/>
        <w:spacing w:after="0" w:line="241" w:lineRule="auto"/>
        <w:rPr>
          <w:sz w:val="20"/>
          <w:szCs w:val="20"/>
          <w:color w:val="auto"/>
        </w:rPr>
      </w:pPr>
      <w:r>
        <w:rPr>
          <w:rFonts w:ascii="Arial" w:cs="Arial" w:eastAsia="Arial" w:hAnsi="Arial"/>
          <w:sz w:val="17"/>
          <w:szCs w:val="17"/>
          <w:color w:val="auto"/>
        </w:rPr>
        <w:t>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For example, regulatory authorities may question the clinical relevance of data derived from our clinical trials because of evolving standards of care and contemporary disease management guidelines. It is possible that CAN-2409, CAN-3110 and future product candidates will never obtain the appropriate regulatory approvals necessary for us to commence product sales.</w:t>
      </w:r>
    </w:p>
    <w:p>
      <w:pPr>
        <w:spacing w:after="0" w:line="73"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or if the FDA has a different interpretation of the safety data from our clinical trials than we do,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5"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1" w:name="page52"/>
    <w:bookmarkEnd w:id="51"/>
    <w:p>
      <w:pPr>
        <w:spacing w:after="0" w:line="249" w:lineRule="auto"/>
        <w:rPr>
          <w:sz w:val="20"/>
          <w:szCs w:val="20"/>
          <w:color w:val="auto"/>
        </w:rPr>
      </w:pPr>
      <w:r>
        <w:rPr>
          <w:rFonts w:ascii="Arial" w:cs="Arial" w:eastAsia="Arial" w:hAnsi="Arial"/>
          <w:sz w:val="17"/>
          <w:szCs w:val="17"/>
          <w:color w:val="auto"/>
        </w:rPr>
        <w:t>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6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subsequently made minor changes to the protocol to include the use of hypofractionated radiotherapy. This change in the protocol was not considered an amendment to the SPA by the FDA.</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 For example, the FDA may change its views on a SPA agreement based on factors such as data that would call into question the clinical relevance of previously agreed-upon efficacy endpoints, identification of safety concerns related to a product or its pharmacologic class, or paradigm shifts in disease diagnosis or management.</w:t>
      </w:r>
    </w:p>
    <w:p>
      <w:pPr>
        <w:spacing w:after="0" w:line="7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some indications for CAN-2409 and CAN-3110, or if received for any other future product candidates, may not lead to a faster development or regulatory review or approval process, and does not increase the likelihood that our product candidates will receive marketing approval for the designated indications.</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HGG to improve overall survival. We may also seek Fast Track Designation for certain of our future product candidates in specific indications, as appropriate. However, there is no assurance that the FDA will grant this status to our proposed product candidates. Marketing applications filed by sponsors of products in Fast Track development are eligible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additional indications for CAN-2409 and CAN-3110, we may not experience a faster development process, review or approval compared to conventional FDA procedures, and receiving a Fast Track Designation does not provide assurance of ultimate FDA approval. In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2" w:name="page53"/>
    <w:bookmarkEnd w:id="52"/>
    <w:p>
      <w:pPr>
        <w:ind w:right="40"/>
        <w:spacing w:after="0" w:line="249" w:lineRule="auto"/>
        <w:rPr>
          <w:sz w:val="20"/>
          <w:szCs w:val="20"/>
          <w:color w:val="auto"/>
        </w:rPr>
      </w:pPr>
      <w:r>
        <w:rPr>
          <w:rFonts w:ascii="Arial" w:cs="Arial" w:eastAsia="Arial" w:hAnsi="Arial"/>
          <w:sz w:val="17"/>
          <w:szCs w:val="17"/>
          <w:color w:val="auto"/>
        </w:rPr>
        <w:t>addition, the FDA may withdraw Fast Track Designation at any time if it believes that the designation is no longer supported by data from our clinical development program. Drugs and biologics for indications designated as Fast Track therapies by the FDA may also be eligible for other expedited programs, including accelerated approval.</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some indications of our product candidates, may not lead to a faster development or regulatory review or approval process and it does not increase the likelihood that our product candidates will receive marketing approval for the designated indications.</w:t>
      </w:r>
    </w:p>
    <w:p>
      <w:pPr>
        <w:spacing w:after="0" w:line="4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for indications designated as Breakthrough Therapies by the FDA may also be eligible for other expedited approval programs, including accelerated approval.</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Designation as a Breakthrough Therapy is within the discretion of the FDA, and the FDA has not granted Breakthrough Therapy Designation to any of our product candidates.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the FDA may withdraw Breakthrough Therapy Designation at any time if it believes that the designation is no longer supported by data from our clinical development program. In addition, even if one or more of our product candidate indications qualify as Breakthrough Therapies, the FDA may later decide that the product no longer meets the conditions for qualification.</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We have received Orphan Drug Designation from the FDA for CAN-2409 for the treatment of pancreatic cancer and for CAN-3110 for the treatment of recurrent HGG. We may seek Orphan Drug Designation from regulatory authorities in other jurisdictions for CAN-2409 and CAN-3110,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received Orphan Drug Designation from the FDA for CAN-2409 for the treatment of pancreatic cancer and for CAN-3110 for the treatment of recurrent HGG. Even if CAN-2409 or CAN-3110 were to obtain orphan drug exclusivity for this use upon marketing approval by the FDA, the benefit of that exclusivity may be revoked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9"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3" w:name="page54"/>
    <w:bookmarkEnd w:id="53"/>
    <w:p>
      <w:pPr>
        <w:ind w:right="220"/>
        <w:spacing w:after="0" w:line="267" w:lineRule="auto"/>
        <w:rPr>
          <w:sz w:val="20"/>
          <w:szCs w:val="20"/>
          <w:color w:val="auto"/>
        </w:rPr>
      </w:pPr>
      <w:r>
        <w:rPr>
          <w:rFonts w:ascii="Arial" w:cs="Arial" w:eastAsia="Arial" w:hAnsi="Arial"/>
          <w:sz w:val="17"/>
          <w:szCs w:val="17"/>
          <w:color w:val="auto"/>
        </w:rPr>
        <w:t>review or approval process, and receiving accelerated approval does not provide assurance that the product's accelerated approval will eventually be converted to a traditional FDA approval.</w:t>
      </w:r>
    </w:p>
    <w:p>
      <w:pPr>
        <w:spacing w:after="0" w:line="51"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5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1020" w:right="140" w:hanging="503"/>
        <w:spacing w:after="0" w:line="266"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personnel, and substantial changes in leadership, personnel,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Currently, federal agencies in the United States are operating under a continuing resolution that is set to expire on September 30, 2025. Without appropriation of additional funding to federal agencies, our business operations related to our product development for the U.S. market could be impacted. 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the SEC and other agencies.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4" w:name="page55"/>
    <w:bookmarkEnd w:id="54"/>
    <w:p>
      <w:pPr>
        <w:ind w:right="10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Disruptions at the FDA and other agencies, including substantial leadership, personnel, and policy changes,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or substantial leadership, personnel, and policy changes occur,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spacing w:after="0" w:line="7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With the change in the U.S. presidential administration in 2025, there is substantial uncertainty as to whether and how the new administration will seek to modify or revise the requirements and policies of the FDA and other regulatory agencies with jurisdiction over our product candidates. This uncertainty could present new challenges and/or opportunities as we navigate development of our product candidates. Any delay in obtaining, or our inability to obtain, applicable regulatory approvals would delay or prevent development and commercialization of our product candidates and could materially adversely impact our business and prospects.</w:t>
      </w:r>
    </w:p>
    <w:p>
      <w:pPr>
        <w:spacing w:after="0" w:line="72"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 For certain commercial prescription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5520" w:right="4680" w:hanging="5003"/>
        <w:spacing w:after="0" w:line="852" w:lineRule="auto"/>
        <w:tabs>
          <w:tab w:leader="none" w:pos="1022"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5" w:name="page56"/>
    <w:bookmarkEnd w:id="55"/>
    <w:p>
      <w:pPr>
        <w:ind w:left="1020" w:right="62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1020" w:right="92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6" w:name="page57"/>
    <w:bookmarkEnd w:id="56"/>
    <w:p>
      <w:pPr>
        <w:ind w:right="140"/>
        <w:spacing w:after="0" w:line="239" w:lineRule="auto"/>
        <w:rPr>
          <w:sz w:val="20"/>
          <w:szCs w:val="20"/>
          <w:color w:val="auto"/>
        </w:rPr>
      </w:pPr>
      <w:r>
        <w:rPr>
          <w:rFonts w:ascii="Arial" w:cs="Arial" w:eastAsia="Arial" w:hAnsi="Arial"/>
          <w:sz w:val="17"/>
          <w:szCs w:val="17"/>
          <w:color w:val="auto"/>
        </w:rPr>
        <w:t>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authority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ind w:right="60"/>
        <w:spacing w:after="0" w:line="23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on healthcare laws and regulations that may impact our company, see “</w:t>
      </w:r>
      <w:r>
        <w:rPr>
          <w:rFonts w:ascii="Arial" w:cs="Arial" w:eastAsia="Arial" w:hAnsi="Arial"/>
          <w:sz w:val="17"/>
          <w:szCs w:val="17"/>
          <w:i w:val="1"/>
          <w:iCs w:val="1"/>
          <w:color w:val="auto"/>
        </w:rPr>
        <w:t>Business – Health Reform</w:t>
      </w:r>
      <w:r>
        <w:rPr>
          <w:rFonts w:ascii="Arial" w:cs="Arial" w:eastAsia="Arial" w:hAnsi="Arial"/>
          <w:sz w:val="17"/>
          <w:szCs w:val="17"/>
          <w:color w:val="auto"/>
        </w:rPr>
        <w:t>” in our Annual Report on Form 10-K for the year ended December 31, 2024.</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560"/>
        <w:spacing w:after="0" w:line="249"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8" w:name="page59"/>
    <w:bookmarkEnd w:id="58"/>
    <w:p>
      <w:pPr>
        <w:jc w:val="both"/>
        <w:ind w:right="340"/>
        <w:spacing w:after="0" w:line="267" w:lineRule="auto"/>
        <w:rPr>
          <w:sz w:val="20"/>
          <w:szCs w:val="20"/>
          <w:color w:val="auto"/>
        </w:rPr>
      </w:pPr>
      <w:r>
        <w:rPr>
          <w:rFonts w:ascii="Arial" w:cs="Arial" w:eastAsia="Arial" w:hAnsi="Arial"/>
          <w:sz w:val="17"/>
          <w:szCs w:val="17"/>
          <w:color w:val="auto"/>
        </w:rPr>
        <w:t>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5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For more information on healthcare laws and regulations that may impact our company,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2024.</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any approved product would depend on a number of factors, including:</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9" w:name="page60"/>
    <w:bookmarkEnd w:id="59"/>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 For more information on healthcare laws and regulations that may impact our company, see “</w:t>
      </w:r>
      <w:r>
        <w:rPr>
          <w:rFonts w:ascii="Arial" w:cs="Arial" w:eastAsia="Arial" w:hAnsi="Arial"/>
          <w:sz w:val="17"/>
          <w:szCs w:val="17"/>
          <w:i w:val="1"/>
          <w:iCs w:val="1"/>
          <w:color w:val="auto"/>
        </w:rPr>
        <w:t>Business - Other Healthcare Laws</w:t>
      </w:r>
      <w:r>
        <w:rPr>
          <w:rFonts w:ascii="Arial" w:cs="Arial" w:eastAsia="Arial" w:hAnsi="Arial"/>
          <w:sz w:val="17"/>
          <w:szCs w:val="17"/>
          <w:color w:val="auto"/>
        </w:rPr>
        <w:t xml:space="preserve"> </w:t>
      </w:r>
      <w:r>
        <w:rPr>
          <w:rFonts w:ascii="Arial" w:cs="Arial" w:eastAsia="Arial" w:hAnsi="Arial"/>
          <w:sz w:val="17"/>
          <w:szCs w:val="17"/>
          <w:i w:val="1"/>
          <w:iCs w:val="1"/>
          <w:color w:val="auto"/>
        </w:rPr>
        <w:t>and Compliance Requirements</w:t>
      </w:r>
      <w:r>
        <w:rPr>
          <w:rFonts w:ascii="Arial" w:cs="Arial" w:eastAsia="Arial" w:hAnsi="Arial"/>
          <w:sz w:val="17"/>
          <w:szCs w:val="17"/>
          <w:color w:val="auto"/>
        </w:rPr>
        <w:t>” in our Annual Report on Form 10-K for the year ended December 31, 2024.</w:t>
      </w:r>
    </w:p>
    <w:p>
      <w:pPr>
        <w:spacing w:after="0" w:line="76"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0" w:name="page61"/>
    <w:bookmarkEnd w:id="60"/>
    <w:p>
      <w:pPr>
        <w:ind w:right="100"/>
        <w:spacing w:after="0" w:line="249" w:lineRule="auto"/>
        <w:rPr>
          <w:sz w:val="20"/>
          <w:szCs w:val="20"/>
          <w:color w:val="auto"/>
        </w:rPr>
      </w:pPr>
      <w:r>
        <w:rPr>
          <w:rFonts w:ascii="Arial" w:cs="Arial" w:eastAsia="Arial" w:hAnsi="Arial"/>
          <w:sz w:val="17"/>
          <w:szCs w:val="17"/>
          <w:color w:val="auto"/>
        </w:rPr>
        <w:t>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7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relying on a legal basis or condition for the processing of personal data, where required obtaining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8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61" w:name="page62"/>
    <w:bookmarkEnd w:id="61"/>
    <w:p>
      <w:pPr>
        <w:spacing w:after="0" w:line="235" w:lineRule="auto"/>
        <w:rPr>
          <w:sz w:val="20"/>
          <w:szCs w:val="20"/>
          <w:color w:val="auto"/>
        </w:rPr>
      </w:pPr>
      <w:r>
        <w:rPr>
          <w:rFonts w:ascii="Arial" w:cs="Arial" w:eastAsia="Arial" w:hAnsi="Arial"/>
          <w:sz w:val="17"/>
          <w:szCs w:val="17"/>
          <w:color w:val="auto"/>
        </w:rPr>
        <w:t>In addition, in the United States, federal and state governments are increasingly passing stringent privacy laws. At the federal level,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Regulators and legislators in the United States are also increasingly scrutinizing and restricting certain personal information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information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7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certain state laws govern privacy and security of personal information. For example, in California, the California Consumer Privacy Act (CCPA), which went into effect January 1, 2020, established a comprehensive privacy framework for covered businesses by creating an expanded definition of personal information, established new individual privacy rights for California consumers (as defined in the law) and placed increased privacy and security obligations on entities handling personal data of consumers or households, including by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While clinical trial data and information governed by HIPAA are currently exempt from f the CCPA, other personal information we process may be subject to the law and possible changes to the CCPA may broaden its scope. Additionally, , the California Privacy Rights Act (CPRA) was passed in November 2020 and as of January 1, 2023, has imposed additional obligations on companies covered by the legislation. The CPRA significantly modified the CCPA, including by expanding consumers’ rights with respect to certain sensitive personal information. The CPRA also created a new state agency that is vested with authority to implement and enforce the CCPA. The effects of the CCPA, as amended by the CPRA, may require us to modify our data collection or processing practices and policies and to incur substantial costs and expenses in an effort to comply with the legislation and decrease our potential exposure to regulatory enforcement and/or litigation.</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Similar laws have been passed and proposed in numerous other states.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State laws are changing rapidly and there are discussions in the U.S. Congress of new comprehensive federal data privacy laws to which we could become subject to, if enacted.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3"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2" w:name="page63"/>
    <w:bookmarkEnd w:id="62"/>
    <w:p>
      <w:pPr>
        <w:spacing w:after="0" w:line="239" w:lineRule="auto"/>
        <w:rPr>
          <w:sz w:val="20"/>
          <w:szCs w:val="20"/>
          <w:color w:val="auto"/>
        </w:rPr>
      </w:pPr>
      <w:r>
        <w:rPr>
          <w:rFonts w:ascii="Arial" w:cs="Arial" w:eastAsia="Arial" w:hAnsi="Arial"/>
          <w:sz w:val="17"/>
          <w:szCs w:val="17"/>
          <w:color w:val="auto"/>
        </w:rPr>
        <w:t>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4"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51"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may use and integrate artificial intelligence into our business processes. Use of this technology presents risks and challenges that could affect our business. If we enable or use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rapid evolution of artificial intelligence will require the application of significant resources to design, develop, test and maintain such systems to help ensure that artificial intelligence is implemented in accordance with applicable law and regulation and in a socially responsible manner and to minimize any real or perceived unintended harmful impacts. The use of certain artificial intelligence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6"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68" w:right="419" w:bottom="1440" w:gutter="0" w:footer="0" w:header="0"/>
        </w:sectPr>
      </w:pPr>
    </w:p>
    <w:bookmarkStart w:id="63" w:name="page64"/>
    <w:bookmarkEnd w:id="63"/>
    <w:p>
      <w:pPr>
        <w:ind w:right="12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On December 11, 2023, Jason A. Amello resigned from his position as our Chief Financial Officer, principal financial officer and principal accounting officer, effective January 12, 2024. Mr. Amello will remain an advisor to us in order to support the transition of his responsibilities. On January 12, 2024, our board of directors unanimously appointed Charles Schoch as the Company’s interim Chief Financial Officer, principal financial officer and principal accounting officer, effective January 12, 2024.</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4" w:name="page65"/>
    <w:bookmarkEnd w:id="64"/>
    <w:p>
      <w:pPr>
        <w:spacing w:after="0" w:line="244" w:lineRule="auto"/>
        <w:rPr>
          <w:sz w:val="20"/>
          <w:szCs w:val="20"/>
          <w:color w:val="auto"/>
        </w:rPr>
      </w:pPr>
      <w:r>
        <w:rPr>
          <w:rFonts w:ascii="Arial" w:cs="Arial" w:eastAsia="Arial" w:hAnsi="Arial"/>
          <w:sz w:val="17"/>
          <w:szCs w:val="17"/>
          <w:color w:val="auto"/>
        </w:rPr>
        <w:t>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cybersecurity incidents or data breaches, which could result in a material disruption of our product candidates’ development programs.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data breach or cybersecurity incident were to result in a loss of or damage to our data or applications, or inappropriate disclosure of personal, confidential or proprietary information, we could incur liability and the further development of any of our product candidates could be delayed. Our contracts may not contain limitations of liability, and even where they do, there can be no assurance that limitations of liability in our contracts are sufficient to protect us from liabilities, damages, or claims related to our privacy and data security obligations. In addition, our liability and cyber insurance may not be sufficient in type or amount to cover us against claims related to cybersecurity incidents, cyber-attacks or other related liabilities, including data breaches.</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may also be carried out by employees or contractors unwittingly or acting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breach or cybersecurity incident. Our business partners face similar risks, and any cybersecurity incident or data breach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a cyber attack is increased with employees working remotely. Remote work increases the risk we may be vulnerable to cybersecurity-related events such as phishing attacks and other security threats.</w:t>
      </w:r>
    </w:p>
    <w:p>
      <w:pPr>
        <w:spacing w:after="0" w:line="16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Like other companies in our industry, we, and our third party vendors, have experienced threats and cybersecurity incidents relating to our information technology systems and infrastructure. 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data breach, industrial espionage attacks or insider threat attacks which could result in financial, legal, business or reputational harm.</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5" w:name="page66"/>
    <w:bookmarkEnd w:id="65"/>
    <w:p>
      <w:pPr>
        <w:spacing w:after="0" w:line="237" w:lineRule="auto"/>
        <w:rPr>
          <w:sz w:val="20"/>
          <w:szCs w:val="20"/>
          <w:color w:val="auto"/>
        </w:rPr>
      </w:pPr>
      <w:r>
        <w:rPr>
          <w:rFonts w:ascii="Arial" w:cs="Arial" w:eastAsia="Arial" w:hAnsi="Arial"/>
          <w:sz w:val="17"/>
          <w:szCs w:val="17"/>
          <w:color w:val="auto"/>
        </w:rPr>
        <w:t>If a cybersecurity incident or data breach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required to notify relevant stakeholders (including affected individuals, investors and regulators). We could also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spacing w:after="0" w:line="76"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6" w:name="page67"/>
    <w:bookmarkEnd w:id="66"/>
    <w:p>
      <w:pPr>
        <w:ind w:right="80"/>
        <w:spacing w:after="0" w:line="244" w:lineRule="auto"/>
        <w:rPr>
          <w:sz w:val="20"/>
          <w:szCs w:val="20"/>
          <w:color w:val="auto"/>
        </w:rPr>
      </w:pPr>
      <w:r>
        <w:rPr>
          <w:rFonts w:ascii="Arial" w:cs="Arial" w:eastAsia="Arial" w:hAnsi="Arial"/>
          <w:sz w:val="17"/>
          <w:szCs w:val="17"/>
          <w:color w:val="auto"/>
        </w:rPr>
        <w:t>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7" w:name="page68"/>
    <w:bookmarkEnd w:id="67"/>
    <w:p>
      <w:pPr>
        <w:spacing w:after="0" w:line="236"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6"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4"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Other Healthcare Laws and Compliance Requirements</w:t>
      </w:r>
      <w:r>
        <w:rPr>
          <w:rFonts w:ascii="Arial" w:cs="Arial" w:eastAsia="Arial" w:hAnsi="Arial"/>
          <w:sz w:val="17"/>
          <w:szCs w:val="17"/>
          <w:color w:val="auto"/>
        </w:rPr>
        <w:t>” in our Annual Report on Form 10-K for the year ended December 31, 2024.</w:t>
      </w:r>
    </w:p>
    <w:p>
      <w:pPr>
        <w:spacing w:after="0" w:line="7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8" w:name="page69"/>
    <w:bookmarkEnd w:id="68"/>
    <w:p>
      <w:pPr>
        <w:ind w:right="140"/>
        <w:spacing w:after="0" w:line="267" w:lineRule="auto"/>
        <w:rPr>
          <w:sz w:val="20"/>
          <w:szCs w:val="20"/>
          <w:color w:val="auto"/>
        </w:rPr>
      </w:pPr>
      <w:r>
        <w:rPr>
          <w:rFonts w:ascii="Arial" w:cs="Arial" w:eastAsia="Arial" w:hAnsi="Arial"/>
          <w:sz w:val="17"/>
          <w:szCs w:val="17"/>
          <w:color w:val="auto"/>
        </w:rPr>
        <w:t>they may be subject to criminal, civil or administrative sanctions, including but not limited to, exclusions from participation in government healthcare programs, which could also materially affect our business.</w:t>
      </w:r>
    </w:p>
    <w:p>
      <w:pPr>
        <w:spacing w:after="0" w:line="5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the 2024 Follow-On Offering, the initial public offering (IPO), and other transactions that have occurred over the past three years, we may have experienced, an “ownership change.” We may also experience ownership changes in the future as a result of subsequent shifts in our stock ownership. As of December 31, 2024, we had U.S. federal and state net operating loss carryforwards of $111.6 million and $101.9 million, which begin to expire in 2028 and 2033,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2024, we had a U.S. federal net operating loss carryforward of $102.8 million which do not expire but is limited to an annual deduction equal to 80% of annual taxable income.</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9" w:name="page70"/>
    <w:bookmarkEnd w:id="69"/>
    <w:p>
      <w:pPr>
        <w:jc w:val="both"/>
        <w:ind w:right="140"/>
        <w:spacing w:after="0" w:line="249" w:lineRule="auto"/>
        <w:rPr>
          <w:sz w:val="20"/>
          <w:szCs w:val="20"/>
          <w:color w:val="auto"/>
        </w:rPr>
      </w:pPr>
      <w:r>
        <w:rPr>
          <w:rFonts w:ascii="Arial" w:cs="Arial" w:eastAsia="Arial" w:hAnsi="Arial"/>
          <w:sz w:val="17"/>
          <w:szCs w:val="17"/>
          <w:color w:val="auto"/>
        </w:rPr>
        <w:t>or their investments. Alternatively, securing favorable reimbursement terms may require us to compromise pricing and prevent us from realizing an adequate margin over cost. For more information,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2024.</w:t>
      </w:r>
    </w:p>
    <w:p>
      <w:pPr>
        <w:spacing w:after="0" w:line="6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0" w:name="page71"/>
    <w:bookmarkEnd w:id="70"/>
    <w:p>
      <w:pPr>
        <w:ind w:right="100"/>
        <w:spacing w:after="0" w:line="241" w:lineRule="auto"/>
        <w:rPr>
          <w:sz w:val="20"/>
          <w:szCs w:val="20"/>
          <w:color w:val="auto"/>
        </w:rPr>
      </w:pPr>
      <w:r>
        <w:rPr>
          <w:rFonts w:ascii="Arial" w:cs="Arial" w:eastAsia="Arial" w:hAnsi="Arial"/>
          <w:sz w:val="17"/>
          <w:szCs w:val="17"/>
          <w:color w:val="auto"/>
        </w:rPr>
        <w:t>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p>
    <w:p>
      <w:pPr>
        <w:spacing w:after="0" w:line="7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For certain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we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or will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on development and commercialization collaborators to develop and conduct clinical trials with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obtain regulatory approvals for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and if approved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market and sell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If such collaborators fail to perform as expected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the potential for us to generate future revenue from such product candidates would be significantly reduced and our business would be harmed</w:t>
      </w:r>
      <w:r>
        <w:rPr>
          <w:rFonts w:ascii="Arial" w:cs="Arial" w:eastAsia="Arial" w:hAnsi="Arial"/>
          <w:sz w:val="17"/>
          <w:szCs w:val="17"/>
          <w:i w:val="1"/>
          <w:iCs w:val="1"/>
          <w:color w:val="auto"/>
        </w:rPr>
        <w:t>.</w:t>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1" w:name="page72"/>
    <w:bookmarkEnd w:id="71"/>
    <w:p>
      <w:pPr>
        <w:ind w:left="1020" w:right="760"/>
        <w:spacing w:after="0" w:line="267" w:lineRule="auto"/>
        <w:rPr>
          <w:sz w:val="20"/>
          <w:szCs w:val="20"/>
          <w:color w:val="auto"/>
        </w:rPr>
      </w:pPr>
      <w:r>
        <w:rPr>
          <w:rFonts w:ascii="Arial" w:cs="Arial" w:eastAsia="Arial" w:hAnsi="Arial"/>
          <w:sz w:val="17"/>
          <w:szCs w:val="17"/>
          <w:color w:val="auto"/>
        </w:rPr>
        <w:t>studies or clinical trial results, changes in the collaborators’ strategic focus or available funding or external factors, such as an acquisition, that divert resources or create competing priorities;</w:t>
      </w:r>
    </w:p>
    <w:p>
      <w:pPr>
        <w:spacing w:after="0" w:line="51" w:lineRule="exact"/>
        <w:rPr>
          <w:sz w:val="20"/>
          <w:szCs w:val="20"/>
          <w:color w:val="auto"/>
        </w:rPr>
      </w:pPr>
    </w:p>
    <w:p>
      <w:pPr>
        <w:ind w:left="102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r>
        <w:rPr>
          <w:rFonts w:ascii="Arial" w:cs="Arial" w:eastAsia="Arial" w:hAnsi="Arial"/>
          <w:sz w:val="17"/>
          <w:szCs w:val="17"/>
          <w:i w:val="1"/>
          <w:iCs w:val="1"/>
          <w:color w:val="auto"/>
        </w:rPr>
        <w:t>.</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2" w:name="page73"/>
    <w:bookmarkEnd w:id="72"/>
    <w:p>
      <w:pPr>
        <w:ind w:left="1020" w:right="52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Arial" w:cs="Arial" w:eastAsia="Arial" w:hAnsi="Arial"/>
          <w:sz w:val="17"/>
          <w:szCs w:val="17"/>
          <w:i w:val="1"/>
          <w:iCs w:val="1"/>
          <w:color w:val="auto"/>
        </w:rPr>
        <w:t>.</w:t>
      </w:r>
    </w:p>
    <w:p>
      <w:pPr>
        <w:spacing w:after="0" w:line="4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countries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73" w:name="page74"/>
    <w:bookmarkEnd w:id="73"/>
    <w:p>
      <w:pPr>
        <w:ind w:right="80"/>
        <w:spacing w:after="0" w:line="244" w:lineRule="auto"/>
        <w:rPr>
          <w:sz w:val="20"/>
          <w:szCs w:val="20"/>
          <w:color w:val="auto"/>
        </w:rPr>
      </w:pPr>
      <w:r>
        <w:rPr>
          <w:rFonts w:ascii="Arial" w:cs="Arial" w:eastAsia="Arial" w:hAnsi="Arial"/>
          <w:sz w:val="17"/>
          <w:szCs w:val="17"/>
          <w:color w:val="auto"/>
        </w:rPr>
        <w:t>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69"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74" w:name="page75"/>
    <w:bookmarkEnd w:id="74"/>
    <w:p>
      <w:pPr>
        <w:spacing w:after="0" w:line="236" w:lineRule="auto"/>
        <w:rPr>
          <w:sz w:val="20"/>
          <w:szCs w:val="20"/>
          <w:color w:val="auto"/>
        </w:rPr>
      </w:pPr>
      <w:r>
        <w:rPr>
          <w:rFonts w:ascii="Arial" w:cs="Arial" w:eastAsia="Arial" w:hAnsi="Arial"/>
          <w:sz w:val="17"/>
          <w:szCs w:val="17"/>
          <w:color w:val="auto"/>
        </w:rPr>
        <w:t>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There are also current geopolitical tensions with China that may affect our operations. For example, there have been Congressional legislative proposals, such as the bill titled the BIOSECURE Act, which would, among other things, prohibit U.S. federal funding in connection with biotechnology equipment or services produced or provided by certain named Chinese “biotechnology companies of concern” (which includes WuXi Biologics) and loans and grants to, and federal contracts with any entity that uses biotechnology equipment or services from one of these entities. Any additional executive action, legislative action or potential sanctions with China could materially impact one of our current partners, WuXi, and our agreement with them as it relates to our stability testing. We continue to assess the legislation as it develops to determine the effect, if any, on our contractual relationships.</w:t>
      </w:r>
    </w:p>
    <w:p>
      <w:pPr>
        <w:spacing w:after="0" w:line="7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5" w:name="page76"/>
    <w:bookmarkEnd w:id="75"/>
    <w:p>
      <w:pPr>
        <w:ind w:right="40"/>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74"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In connection with the IPO, we adopted a written related-person transactions policy that sets forth our policies and procedures regarding the identification, review, consideration and oversight of related-person transactions.</w:t>
      </w:r>
    </w:p>
    <w:p>
      <w:pPr>
        <w:spacing w:after="0" w:line="5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which increases the possibility that a competitor will discover them or that our trade secrets will be misappropriated or disclosed</w:t>
      </w:r>
      <w:r>
        <w:rPr>
          <w:rFonts w:ascii="Arial" w:cs="Arial" w:eastAsia="Arial" w:hAnsi="Arial"/>
          <w:sz w:val="17"/>
          <w:szCs w:val="17"/>
          <w:i w:val="1"/>
          <w:iCs w:val="1"/>
          <w:color w:val="auto"/>
        </w:rPr>
        <w:t>.</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6" w:name="page77"/>
    <w:bookmarkEnd w:id="76"/>
    <w:p>
      <w:pPr>
        <w:ind w:right="80"/>
        <w:spacing w:after="0" w:line="236" w:lineRule="auto"/>
        <w:rPr>
          <w:sz w:val="20"/>
          <w:szCs w:val="20"/>
          <w:color w:val="auto"/>
        </w:rPr>
      </w:pPr>
      <w:r>
        <w:rPr>
          <w:rFonts w:ascii="Arial" w:cs="Arial" w:eastAsia="Arial" w:hAnsi="Arial"/>
          <w:sz w:val="17"/>
          <w:szCs w:val="17"/>
          <w:color w:val="auto"/>
        </w:rPr>
        <w:t>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7" w:name="page78"/>
    <w:bookmarkEnd w:id="77"/>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including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3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8" w:name="page79"/>
    <w:bookmarkEnd w:id="78"/>
    <w:p>
      <w:pPr>
        <w:ind w:right="120"/>
        <w:spacing w:after="0" w:line="267" w:lineRule="auto"/>
        <w:rPr>
          <w:sz w:val="20"/>
          <w:szCs w:val="20"/>
          <w:color w:val="auto"/>
        </w:rPr>
      </w:pPr>
      <w:r>
        <w:rPr>
          <w:rFonts w:ascii="Arial" w:cs="Arial" w:eastAsia="Arial" w:hAnsi="Arial"/>
          <w:sz w:val="17"/>
          <w:szCs w:val="17"/>
          <w:color w:val="auto"/>
        </w:rPr>
        <w:t>is more restrictive than U.S. patent law in connection with the patentability of methods of treatment of the human body and Chinese bankruptcy law may not provide a licensee the same protections as U.S. bankruptcy law.</w:t>
      </w:r>
    </w:p>
    <w:p>
      <w:pPr>
        <w:spacing w:after="0" w:line="5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For example, the United States Supreme Court has ruled on several recent patent cases, either narrowing the scope of patent protection available in certain circumstances or weakening the rights of patent owners in certain situations. While we do not believe that any of our patents will be found invalid based on these or other decisions, we cannot predict how future decisions by the courts, the U.S. Congress or the USPTO may impact the value of our patents. Furthermore, in 2022,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9" w:name="page80"/>
    <w:bookmarkEnd w:id="79"/>
    <w:p>
      <w:pPr>
        <w:ind w:left="1020" w:right="14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0" w:name="page81"/>
    <w:bookmarkEnd w:id="80"/>
    <w:p>
      <w:pPr>
        <w:ind w:left="1020" w:right="52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1" w:name="page82"/>
    <w:bookmarkEnd w:id="81"/>
    <w:p>
      <w:pPr>
        <w:ind w:right="40"/>
        <w:spacing w:after="0" w:line="23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2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2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2" w:name="page83"/>
    <w:bookmarkEnd w:id="82"/>
    <w:p>
      <w:pPr>
        <w:ind w:right="80"/>
        <w:spacing w:after="0" w:line="244" w:lineRule="auto"/>
        <w:rPr>
          <w:sz w:val="20"/>
          <w:szCs w:val="20"/>
          <w:color w:val="auto"/>
        </w:rPr>
      </w:pPr>
      <w:r>
        <w:rPr>
          <w:rFonts w:ascii="Arial" w:cs="Arial" w:eastAsia="Arial" w:hAnsi="Arial"/>
          <w:sz w:val="17"/>
          <w:szCs w:val="17"/>
          <w:color w:val="auto"/>
        </w:rPr>
        <w:t>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83" w:name="page84"/>
    <w:bookmarkEnd w:id="83"/>
    <w:p>
      <w:pPr>
        <w:ind w:right="20"/>
        <w:spacing w:after="0" w:line="267" w:lineRule="auto"/>
        <w:rPr>
          <w:sz w:val="20"/>
          <w:szCs w:val="20"/>
          <w:color w:val="auto"/>
        </w:rPr>
      </w:pPr>
      <w:r>
        <w:rPr>
          <w:rFonts w:ascii="Arial" w:cs="Arial" w:eastAsia="Arial" w:hAnsi="Arial"/>
          <w:sz w:val="17"/>
          <w:szCs w:val="17"/>
          <w:color w:val="auto"/>
        </w:rPr>
        <w:t>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5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6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4" w:name="page85"/>
    <w:bookmarkEnd w:id="84"/>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9"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2045,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5" w:name="page86"/>
    <w:bookmarkEnd w:id="85"/>
    <w:p>
      <w:pPr>
        <w:ind w:right="20"/>
        <w:spacing w:after="0" w:line="244" w:lineRule="auto"/>
        <w:rPr>
          <w:sz w:val="20"/>
          <w:szCs w:val="20"/>
          <w:color w:val="auto"/>
        </w:rPr>
      </w:pPr>
      <w:r>
        <w:rPr>
          <w:rFonts w:ascii="Arial" w:cs="Arial" w:eastAsia="Arial" w:hAnsi="Arial"/>
          <w:sz w:val="17"/>
          <w:szCs w:val="17"/>
          <w:color w:val="auto"/>
        </w:rPr>
        <w:t>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2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6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6" w:name="page87"/>
    <w:bookmarkEnd w:id="86"/>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May 5, 2025, we have sold and issued 3,809,402 shares of common stock under the ATM Program, with total net proceeds of $20.2 million. Any sale or issuance of securities pursuant to this registration statement or otherwise may result in dilution to our stockholders and may cause our stock price to decline.</w:t>
      </w:r>
    </w:p>
    <w:p>
      <w:pPr>
        <w:spacing w:after="0" w:line="76"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7" w:name="page88"/>
    <w:bookmarkEnd w:id="87"/>
    <w:p>
      <w:pPr>
        <w:ind w:right="60"/>
        <w:spacing w:after="0" w:line="267" w:lineRule="auto"/>
        <w:rPr>
          <w:sz w:val="20"/>
          <w:szCs w:val="20"/>
          <w:color w:val="auto"/>
        </w:rPr>
      </w:pPr>
      <w:r>
        <w:rPr>
          <w:rFonts w:ascii="Arial" w:cs="Arial" w:eastAsia="Arial" w:hAnsi="Arial"/>
          <w:sz w:val="17"/>
          <w:szCs w:val="17"/>
          <w:color w:val="auto"/>
        </w:rPr>
        <w:t>permitted and intend to rely on exemptions from certain disclosure requirements that are applicable to other public companies that are not emerging growth companies. These exemptions include:</w:t>
      </w:r>
    </w:p>
    <w:p>
      <w:pPr>
        <w:spacing w:after="0" w:line="5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58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our Annual Report on Form 10-K. In particular, we provided only two years of audited financial statements and a correspondingly reduced “Management’s Discussion and Analysis of Financial Condition and Results of Operations” disclosure, and did not include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6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74"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8" w:name="page89"/>
    <w:bookmarkEnd w:id="88"/>
    <w:p>
      <w:pPr>
        <w:ind w:right="80"/>
        <w:spacing w:after="0" w:line="237" w:lineRule="auto"/>
        <w:rPr>
          <w:sz w:val="20"/>
          <w:szCs w:val="20"/>
          <w:color w:val="auto"/>
        </w:rPr>
      </w:pPr>
      <w:r>
        <w:rPr>
          <w:rFonts w:ascii="Arial" w:cs="Arial" w:eastAsia="Arial" w:hAnsi="Arial"/>
          <w:sz w:val="17"/>
          <w:szCs w:val="17"/>
          <w:color w:val="auto"/>
        </w:rPr>
        <w:t>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9"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May 5, 2025, we had a total of 50,102,679 shares of common stock outstanding.</w:t>
      </w:r>
    </w:p>
    <w:p>
      <w:pPr>
        <w:spacing w:after="0" w:line="5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25.1% of our outstanding common stock with entities and persons affiliated with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9" w:name="page90"/>
    <w:bookmarkEnd w:id="89"/>
    <w:p>
      <w:pPr>
        <w:ind w:right="80"/>
        <w:spacing w:after="0" w:line="241" w:lineRule="auto"/>
        <w:rPr>
          <w:sz w:val="20"/>
          <w:szCs w:val="20"/>
          <w:color w:val="auto"/>
        </w:rPr>
      </w:pPr>
      <w:r>
        <w:rPr>
          <w:rFonts w:ascii="Arial" w:cs="Arial" w:eastAsia="Arial" w:hAnsi="Arial"/>
          <w:sz w:val="17"/>
          <w:szCs w:val="17"/>
          <w:color w:val="auto"/>
        </w:rPr>
        <w:t>PBM Capital Group, LLC (PBM Capital) beneficially owning approximately 17.1%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2"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4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0" w:name="page91"/>
    <w:bookmarkEnd w:id="90"/>
    <w:p>
      <w:pPr>
        <w:ind w:right="60"/>
        <w:spacing w:after="0" w:line="244" w:lineRule="auto"/>
        <w:rPr>
          <w:sz w:val="20"/>
          <w:szCs w:val="20"/>
          <w:color w:val="auto"/>
        </w:rPr>
      </w:pPr>
      <w:r>
        <w:rPr>
          <w:rFonts w:ascii="Arial" w:cs="Arial" w:eastAsia="Arial" w:hAnsi="Arial"/>
          <w:sz w:val="17"/>
          <w:szCs w:val="17"/>
          <w:color w:val="auto"/>
        </w:rPr>
        <w:t>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6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9"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lose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520"/>
        <w:spacing w:after="0" w:line="256"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 or as a result of our December 2024 issuance of pre-funded warrants to purchase up to an aggregate of 3,333,333 shares of common stock.</w:t>
      </w:r>
    </w:p>
    <w:p>
      <w:pPr>
        <w:spacing w:after="0" w:line="4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6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91" w:name="page92"/>
    <w:bookmarkEnd w:id="91"/>
    <w:p>
      <w:pPr>
        <w:ind w:left="1020" w:right="76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income (loss).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6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the 2024 Follow-On Offering, in lieu of common stock to certain investors, we issued and sold pre-funded warrants to purchase 3,333,333 shares of our common stock. During the three months ended March 31, 2025, 1,947,192 shares of common stock were issued upon the exercise of pre-funded warrants. As of March 31, 2025, 1,383,334 shares of our common stock were reserved for issuance upon exercise of pre-funded warrants.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7140" w:firstLine="8"/>
        <w:spacing w:after="0" w:line="381" w:lineRule="auto"/>
        <w:tabs>
          <w:tab w:leader="none" w:pos="25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Sales of Unregistered Equity Securities </w:t>
      </w:r>
      <w:r>
        <w:rPr>
          <w:rFonts w:ascii="Arial" w:cs="Arial" w:eastAsia="Arial" w:hAnsi="Arial"/>
          <w:sz w:val="17"/>
          <w:szCs w:val="17"/>
          <w:color w:val="auto"/>
        </w:rPr>
        <w:t>None.</w:t>
      </w:r>
    </w:p>
    <w:p>
      <w:pPr>
        <w:ind w:left="280" w:hanging="272"/>
        <w:spacing w:after="0"/>
        <w:tabs>
          <w:tab w:leader="none" w:pos="28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2" w:lineRule="exact"/>
        <w:rPr>
          <w:sz w:val="20"/>
          <w:szCs w:val="20"/>
          <w:color w:val="auto"/>
        </w:rPr>
      </w:pPr>
    </w:p>
    <w:p>
      <w:pPr>
        <w:ind w:right="7900" w:firstLine="8"/>
        <w:spacing w:after="0" w:line="391" w:lineRule="auto"/>
        <w:tabs>
          <w:tab w:leader="none" w:pos="256"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During the three months ended March 31, 2025,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gridSpan w:val="14"/>
          </w:tcPr>
          <w:p>
            <w:pPr>
              <w:ind w:left="2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60" w:type="dxa"/>
            <w:vAlign w:val="bottom"/>
          </w:tcPr>
          <w:p>
            <w:pPr>
              <w:jc w:val="right"/>
              <w:ind w:right="41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10140" w:type="dxa"/>
            <w:vAlign w:val="bottom"/>
            <w:gridSpan w:val="16"/>
          </w:tcPr>
          <w:p>
            <w:pPr>
              <w:spacing w:after="0" w:line="169" w:lineRule="exact"/>
              <w:rPr>
                <w:rFonts w:ascii="Arial" w:cs="Arial" w:eastAsia="Arial" w:hAnsi="Arial"/>
                <w:sz w:val="18"/>
                <w:szCs w:val="18"/>
                <w:color w:val="0000FF"/>
              </w:rPr>
            </w:pPr>
            <w:hyperlink r:id="rId234">
              <w:r>
                <w:rPr>
                  <w:rFonts w:ascii="Arial" w:cs="Arial" w:eastAsia="Arial" w:hAnsi="Arial"/>
                  <w:sz w:val="18"/>
                  <w:szCs w:val="18"/>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34">
              <w:r>
                <w:rPr>
                  <w:rFonts w:ascii="Arial" w:cs="Arial" w:eastAsia="Arial" w:hAnsi="Arial"/>
                  <w:sz w:val="18"/>
                  <w:szCs w:val="18"/>
                  <w:color w:val="0000FF"/>
                </w:rPr>
                <w:t>Registrant’s Current Report on Form 8-K filed with the SEC on July 30,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ind w:right="410"/>
              <w:spacing w:after="0" w:line="202" w:lineRule="exact"/>
              <w:rPr>
                <w:sz w:val="20"/>
                <w:szCs w:val="20"/>
                <w:color w:val="auto"/>
              </w:rPr>
            </w:pPr>
            <w:r>
              <w:rPr>
                <w:rFonts w:ascii="Arial" w:cs="Arial" w:eastAsia="Arial" w:hAnsi="Arial"/>
                <w:sz w:val="18"/>
                <w:szCs w:val="18"/>
                <w:color w:val="auto"/>
              </w:rPr>
              <w:t>3.2</w:t>
            </w: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960" w:type="dxa"/>
            <w:vAlign w:val="bottom"/>
            <w:gridSpan w:val="10"/>
            <w:vMerge w:val="restart"/>
          </w:tcPr>
          <w:p>
            <w:pPr>
              <w:spacing w:after="0" w:line="202" w:lineRule="exact"/>
              <w:rPr>
                <w:rFonts w:ascii="Arial" w:cs="Arial" w:eastAsia="Arial" w:hAnsi="Arial"/>
                <w:sz w:val="18"/>
                <w:szCs w:val="18"/>
                <w:color w:val="0000FF"/>
              </w:rPr>
            </w:pPr>
            <w:hyperlink r:id="rId235">
              <w:r>
                <w:rPr>
                  <w:rFonts w:ascii="Arial" w:cs="Arial" w:eastAsia="Arial" w:hAnsi="Arial"/>
                  <w:sz w:val="18"/>
                  <w:szCs w:val="18"/>
                  <w:color w:val="0000FF"/>
                </w:rPr>
                <w:t>reference to Exhibit 3.2 to the Registrant’s</w:t>
              </w:r>
            </w:hyperlink>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160" w:type="dxa"/>
            <w:vAlign w:val="bottom"/>
            <w:gridSpan w:val="5"/>
          </w:tcPr>
          <w:p>
            <w:pPr>
              <w:spacing w:after="0" w:line="182"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Amended and Restated Bylaws of Candel Therapeutics, Inc. (incorporated by</w:t>
              </w:r>
            </w:hyperlink>
          </w:p>
        </w:tc>
        <w:tc>
          <w:tcPr>
            <w:tcW w:w="20" w:type="dxa"/>
            <w:vAlign w:val="bottom"/>
            <w:vMerge w:val="continue"/>
          </w:tcPr>
          <w:p>
            <w:pPr>
              <w:spacing w:after="0"/>
              <w:rPr>
                <w:sz w:val="15"/>
                <w:szCs w:val="15"/>
                <w:color w:val="auto"/>
              </w:rPr>
            </w:pPr>
          </w:p>
        </w:tc>
        <w:tc>
          <w:tcPr>
            <w:tcW w:w="396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4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5"/>
                <w:szCs w:val="15"/>
                <w:color w:val="auto"/>
              </w:rPr>
            </w:pPr>
          </w:p>
        </w:tc>
        <w:tc>
          <w:tcPr>
            <w:tcW w:w="958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Current Report on Form 8-K filed with the SEC on July 30,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Amendment to Amended and Restated Bylaws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36">
              <w:r>
                <w:rPr>
                  <w:rFonts w:ascii="Arial" w:cs="Arial" w:eastAsia="Arial" w:hAnsi="Arial"/>
                  <w:sz w:val="18"/>
                  <w:szCs w:val="18"/>
                  <w:color w:val="0000FF"/>
                  <w:w w:val="99"/>
                </w:rPr>
                <w:t>Registrant's Current Report on Form 8-K filed with the SEC on May 30, 2024).</w:t>
              </w:r>
            </w:hyperlink>
          </w:p>
        </w:tc>
        <w:tc>
          <w:tcPr>
            <w:tcW w:w="36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jc w:val="right"/>
              <w:ind w:right="410"/>
              <w:spacing w:after="0" w:line="18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6180" w:type="dxa"/>
            <w:vAlign w:val="bottom"/>
            <w:gridSpan w:val="6"/>
          </w:tcPr>
          <w:p>
            <w:pPr>
              <w:spacing w:after="0" w:line="182" w:lineRule="exact"/>
              <w:rPr>
                <w:rFonts w:ascii="Arial" w:cs="Arial" w:eastAsia="Arial" w:hAnsi="Arial"/>
                <w:sz w:val="18"/>
                <w:szCs w:val="18"/>
                <w:color w:val="0000FF"/>
                <w:w w:val="99"/>
              </w:rPr>
            </w:pPr>
            <w:hyperlink r:id="rId237">
              <w:r>
                <w:rPr>
                  <w:rFonts w:ascii="Arial" w:cs="Arial" w:eastAsia="Arial" w:hAnsi="Arial"/>
                  <w:sz w:val="18"/>
                  <w:szCs w:val="18"/>
                  <w:color w:val="0000FF"/>
                  <w:w w:val="99"/>
                </w:rPr>
                <w:t>Specimen Common Stock Certificate (incorporated by reference to Exhibit 4.1</w:t>
              </w:r>
            </w:hyperlink>
          </w:p>
        </w:tc>
        <w:tc>
          <w:tcPr>
            <w:tcW w:w="40" w:type="dxa"/>
            <w:vAlign w:val="bottom"/>
          </w:tcPr>
          <w:p>
            <w:pPr>
              <w:spacing w:after="0"/>
              <w:rPr>
                <w:sz w:val="15"/>
                <w:szCs w:val="15"/>
                <w:color w:val="auto"/>
              </w:rPr>
            </w:pPr>
          </w:p>
        </w:tc>
        <w:tc>
          <w:tcPr>
            <w:tcW w:w="3920" w:type="dxa"/>
            <w:vAlign w:val="bottom"/>
            <w:gridSpan w:val="9"/>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to the Registrant’s Registration Statement 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98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Form S-1/A (File No. 333- 257444) filed with the SEC on July 16, 2021)</w:t>
              </w:r>
              <w:r>
                <w:rPr>
                  <w:rFonts w:ascii="Times New Roman" w:cs="Times New Roman" w:eastAsia="Times New Roman" w:hAnsi="Times New Roman"/>
                  <w:sz w:val="18"/>
                  <w:szCs w:val="18"/>
                  <w:color w:val="000000"/>
                </w:rPr>
                <w:t>.</w:t>
              </w:r>
            </w:hyperlink>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982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3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5"/>
            <w:shd w:val="clear" w:color="auto" w:fill="0000FF"/>
          </w:tcPr>
          <w:p>
            <w:pPr>
              <w:spacing w:after="0" w:line="20" w:lineRule="exact"/>
              <w:rPr>
                <w:sz w:val="1"/>
                <w:szCs w:val="1"/>
                <w:color w:val="auto"/>
              </w:rPr>
            </w:pPr>
          </w:p>
        </w:tc>
        <w:tc>
          <w:tcPr>
            <w:tcW w:w="3920" w:type="dxa"/>
            <w:vAlign w:val="bottom"/>
            <w:gridSpan w:val="9"/>
            <w:vMerge w:val="restart"/>
          </w:tcPr>
          <w:p>
            <w:pPr>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gridSpan w:val="7"/>
          </w:tcPr>
          <w:p>
            <w:pPr>
              <w:spacing w:after="0" w:line="182" w:lineRule="exact"/>
              <w:rPr>
                <w:sz w:val="20"/>
                <w:szCs w:val="20"/>
                <w:color w:val="auto"/>
              </w:rPr>
            </w:pPr>
            <w:r>
              <w:rPr>
                <w:rFonts w:ascii="Arial" w:cs="Arial" w:eastAsia="Arial" w:hAnsi="Arial"/>
                <w:sz w:val="18"/>
                <w:szCs w:val="18"/>
                <w:color w:val="0000FF"/>
                <w:w w:val="98"/>
              </w:rPr>
              <w:t>Certification of Principal Financial Officer Pursuant to Rules 13a-14(a) and 15d</w:t>
            </w:r>
          </w:p>
        </w:tc>
        <w:tc>
          <w:tcPr>
            <w:tcW w:w="39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1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5"/>
                <w:szCs w:val="15"/>
                <w:color w:val="auto"/>
              </w:rPr>
            </w:pPr>
          </w:p>
        </w:tc>
        <w:tc>
          <w:tcPr>
            <w:tcW w:w="97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3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5"/>
            <w:shd w:val="clear" w:color="auto" w:fill="0000FF"/>
          </w:tcPr>
          <w:p>
            <w:pPr>
              <w:spacing w:after="0" w:line="20" w:lineRule="exact"/>
              <w:rPr>
                <w:sz w:val="1"/>
                <w:szCs w:val="1"/>
                <w:color w:val="auto"/>
              </w:rPr>
            </w:pPr>
          </w:p>
        </w:tc>
        <w:tc>
          <w:tcPr>
            <w:tcW w:w="3920" w:type="dxa"/>
            <w:vAlign w:val="bottom"/>
            <w:gridSpan w:val="9"/>
            <w:vMerge w:val="restart"/>
          </w:tcPr>
          <w:p>
            <w:pPr>
              <w:ind w:left="60"/>
              <w:spacing w:after="0" w:line="202" w:lineRule="exact"/>
              <w:rPr>
                <w:sz w:val="20"/>
                <w:szCs w:val="20"/>
                <w:color w:val="auto"/>
              </w:rPr>
            </w:pPr>
            <w:r>
              <w:rPr>
                <w:rFonts w:ascii="Arial" w:cs="Arial" w:eastAsia="Arial" w:hAnsi="Arial"/>
                <w:sz w:val="18"/>
                <w:szCs w:val="18"/>
                <w:color w:val="0000FF"/>
              </w:rPr>
              <w:t>as Adopted Pursuant to Section 906 of the</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gridSpan w:val="7"/>
          </w:tcPr>
          <w:p>
            <w:pPr>
              <w:spacing w:after="0" w:line="182" w:lineRule="exact"/>
              <w:rPr>
                <w:sz w:val="20"/>
                <w:szCs w:val="20"/>
                <w:color w:val="auto"/>
              </w:rPr>
            </w:pPr>
            <w:r>
              <w:rPr>
                <w:rFonts w:ascii="Arial" w:cs="Arial" w:eastAsia="Arial" w:hAnsi="Arial"/>
                <w:sz w:val="18"/>
                <w:szCs w:val="18"/>
                <w:color w:val="0000FF"/>
                <w:w w:val="98"/>
              </w:rPr>
              <w:t>Certification of Principal Executive Officer Pursuant to 18 U.S.C. Section 1350,</w:t>
            </w:r>
          </w:p>
        </w:tc>
        <w:tc>
          <w:tcPr>
            <w:tcW w:w="39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1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8"/>
          </w:tcPr>
          <w:p>
            <w:pPr>
              <w:spacing w:after="0"/>
              <w:rPr>
                <w:sz w:val="15"/>
                <w:szCs w:val="15"/>
                <w:color w:val="auto"/>
              </w:rPr>
            </w:pPr>
          </w:p>
        </w:tc>
        <w:tc>
          <w:tcPr>
            <w:tcW w:w="4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40" w:type="dxa"/>
            <w:vAlign w:val="bottom"/>
            <w:gridSpan w:val="16"/>
          </w:tcPr>
          <w:p>
            <w:pPr>
              <w:spacing w:after="0" w:line="182"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7"/>
          </w:tcPr>
          <w:p>
            <w:pPr>
              <w:spacing w:after="0"/>
              <w:rPr>
                <w:sz w:val="15"/>
                <w:szCs w:val="15"/>
                <w:color w:val="auto"/>
              </w:rPr>
            </w:pPr>
          </w:p>
        </w:tc>
        <w:tc>
          <w:tcPr>
            <w:tcW w:w="5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140" w:type="dxa"/>
            <w:vAlign w:val="bottom"/>
            <w:gridSpan w:val="16"/>
          </w:tcPr>
          <w:p>
            <w:pPr>
              <w:spacing w:after="0" w:line="19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16"/>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512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34" w:lineRule="exact"/>
        <w:rPr>
          <w:sz w:val="20"/>
          <w:szCs w:val="20"/>
          <w:color w:val="auto"/>
        </w:rPr>
      </w:pPr>
    </w:p>
    <w:p>
      <w:pPr>
        <w:jc w:val="both"/>
        <w:ind w:right="180" w:firstLine="8"/>
        <w:spacing w:after="0" w:line="249" w:lineRule="auto"/>
        <w:tabs>
          <w:tab w:leader="none" w:pos="14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4" w:name="page95"/>
    <w:bookmarkEnd w:id="94"/>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Candel Therapeutics, Inc.</w:t>
      </w:r>
    </w:p>
    <w:p>
      <w:pPr>
        <w:spacing w:after="0" w:line="183"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7"/>
          <w:szCs w:val="17"/>
          <w:color w:val="auto"/>
        </w:rPr>
        <w:t>Date: May 13,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10160</wp:posOffset>
            </wp:positionV>
            <wp:extent cx="33089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Paul Peter Tak</w:t>
      </w: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7"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(Principal executive officer)</w:t>
      </w:r>
    </w:p>
    <w:p>
      <w:pPr>
        <w:spacing w:after="0" w:line="180"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7"/>
          <w:szCs w:val="17"/>
          <w:color w:val="auto"/>
        </w:rPr>
        <w:t>Date: May 13,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10160</wp:posOffset>
            </wp:positionV>
            <wp:extent cx="33089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Charles Schoch</w:t>
      </w:r>
    </w:p>
    <w:p>
      <w:pPr>
        <w:jc w:val="center"/>
        <w:ind w:left="6000"/>
        <w:spacing w:after="0" w:line="232" w:lineRule="auto"/>
        <w:rPr>
          <w:sz w:val="20"/>
          <w:szCs w:val="20"/>
          <w:color w:val="auto"/>
        </w:rPr>
      </w:pPr>
      <w:r>
        <w:rPr>
          <w:rFonts w:ascii="Arial" w:cs="Arial" w:eastAsia="Arial" w:hAnsi="Arial"/>
          <w:sz w:val="17"/>
          <w:szCs w:val="17"/>
          <w:color w:val="auto"/>
        </w:rPr>
        <w:t>Interim Chief Financial Officer</w:t>
      </w:r>
    </w:p>
    <w:p>
      <w:pPr>
        <w:jc w:val="center"/>
        <w:ind w:left="60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95" w:name="page96"/>
    <w:bookmarkEnd w:id="95"/>
    <w:p>
      <w:pPr>
        <w:jc w:val="right"/>
        <w:spacing w:after="0"/>
        <w:rPr>
          <w:sz w:val="20"/>
          <w:szCs w:val="20"/>
          <w:color w:val="auto"/>
        </w:rPr>
      </w:pPr>
      <w:r>
        <w:rPr>
          <w:rFonts w:ascii="Arial" w:cs="Arial" w:eastAsia="Arial" w:hAnsi="Arial"/>
          <w:sz w:val="21"/>
          <w:szCs w:val="21"/>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Paul Peter Tak, certify that:</w:t>
      </w:r>
    </w:p>
    <w:p>
      <w:pPr>
        <w:spacing w:after="0" w:line="123"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4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20" w:hanging="479"/>
        <w:spacing w:after="0" w:line="257"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21"/>
          <w:szCs w:val="21"/>
          <w:color w:val="auto"/>
        </w:rPr>
        <w:t>Date: May 13, 2025</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12700</wp:posOffset>
            </wp:positionV>
            <wp:extent cx="32061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Paul Peter Tak</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Charles Schoch, certify that:</w:t>
      </w:r>
    </w:p>
    <w:p>
      <w:pPr>
        <w:spacing w:after="0" w:line="12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4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20" w:hanging="479"/>
        <w:spacing w:after="0" w:line="257"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21"/>
          <w:szCs w:val="21"/>
          <w:color w:val="auto"/>
        </w:rPr>
        <w:t>Date: May 13, 2025</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12700</wp:posOffset>
            </wp:positionV>
            <wp:extent cx="32061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Charles Schoch</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Interim Chief Financial Officer</w:t>
      </w:r>
    </w:p>
    <w:p>
      <w:pPr>
        <w:spacing w:after="0" w:line="2" w:lineRule="exact"/>
        <w:rPr>
          <w:sz w:val="20"/>
          <w:szCs w:val="20"/>
          <w:color w:val="auto"/>
        </w:rPr>
      </w:pPr>
    </w:p>
    <w:p>
      <w:pPr>
        <w:jc w:val="center"/>
        <w:ind w:left="6140"/>
        <w:spacing w:after="0"/>
        <w:rPr>
          <w:sz w:val="20"/>
          <w:szCs w:val="20"/>
          <w:color w:val="auto"/>
        </w:rPr>
      </w:pPr>
      <w:r>
        <w:rPr>
          <w:rFonts w:ascii="Arial" w:cs="Arial" w:eastAsia="Arial" w:hAnsi="Arial"/>
          <w:sz w:val="20"/>
          <w:szCs w:val="20"/>
          <w:b w:val="1"/>
          <w:bCs w:val="1"/>
          <w:i w:val="1"/>
          <w:iCs w:val="1"/>
          <w:color w:val="auto"/>
        </w:rPr>
        <w:t>(principal financial officer and principal accounting</w:t>
      </w:r>
    </w:p>
    <w:p>
      <w:pPr>
        <w:spacing w:after="0" w:line="13"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0"/>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March 31, 2025 as filed with the Securities and Exchange Commission on the date hereof (the “Report”), I, Paul Peter Tak,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 w:leader="none" w:pos="8020" w:val="left"/>
        </w:tabs>
        <w:rPr>
          <w:sz w:val="20"/>
          <w:szCs w:val="20"/>
          <w:color w:val="auto"/>
        </w:rPr>
      </w:pPr>
      <w:r>
        <w:rPr>
          <w:rFonts w:ascii="Arial" w:cs="Arial" w:eastAsia="Arial" w:hAnsi="Arial"/>
          <w:sz w:val="22"/>
          <w:szCs w:val="22"/>
          <w:color w:val="auto"/>
        </w:rPr>
        <w:t>Date: May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10795</wp:posOffset>
            </wp:positionV>
            <wp:extent cx="29832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22"/>
          <w:szCs w:val="22"/>
          <w:b w:val="1"/>
          <w:bCs w:val="1"/>
          <w:color w:val="auto"/>
        </w:rPr>
        <w:t>Paul Peter Tak</w:t>
      </w:r>
    </w:p>
    <w:p>
      <w:pPr>
        <w:jc w:val="center"/>
        <w:ind w:left="6520"/>
        <w:spacing w:after="0" w:line="230" w:lineRule="auto"/>
        <w:rPr>
          <w:sz w:val="20"/>
          <w:szCs w:val="20"/>
          <w:color w:val="auto"/>
        </w:rPr>
      </w:pPr>
      <w:r>
        <w:rPr>
          <w:rFonts w:ascii="Arial" w:cs="Arial" w:eastAsia="Arial" w:hAnsi="Arial"/>
          <w:sz w:val="22"/>
          <w:szCs w:val="22"/>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0"/>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March 31, 2025 as filed with the Securities and Exchange Commission on the date hereof (the “Report”), I, Charles Schoch,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 w:leader="none" w:pos="7960" w:val="left"/>
        </w:tabs>
        <w:rPr>
          <w:sz w:val="20"/>
          <w:szCs w:val="20"/>
          <w:color w:val="auto"/>
        </w:rPr>
      </w:pPr>
      <w:r>
        <w:rPr>
          <w:rFonts w:ascii="Arial" w:cs="Arial" w:eastAsia="Arial" w:hAnsi="Arial"/>
          <w:sz w:val="22"/>
          <w:szCs w:val="22"/>
          <w:color w:val="auto"/>
        </w:rPr>
        <w:t>Date: May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10795</wp:posOffset>
            </wp:positionV>
            <wp:extent cx="29832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22"/>
          <w:szCs w:val="22"/>
          <w:b w:val="1"/>
          <w:bCs w:val="1"/>
          <w:color w:val="auto"/>
        </w:rPr>
        <w:t>Charles Schoch</w:t>
      </w:r>
    </w:p>
    <w:p>
      <w:pPr>
        <w:jc w:val="center"/>
        <w:ind w:left="6520"/>
        <w:spacing w:after="0" w:line="230" w:lineRule="auto"/>
        <w:rPr>
          <w:sz w:val="20"/>
          <w:szCs w:val="20"/>
          <w:color w:val="auto"/>
        </w:rPr>
      </w:pPr>
      <w:r>
        <w:rPr>
          <w:rFonts w:ascii="Arial" w:cs="Arial" w:eastAsia="Arial" w:hAnsi="Arial"/>
          <w:sz w:val="22"/>
          <w:szCs w:val="22"/>
          <w:b w:val="1"/>
          <w:bCs w:val="1"/>
          <w:color w:val="auto"/>
        </w:rPr>
        <w:t>Interim Chief Financial Officer</w:t>
      </w:r>
    </w:p>
    <w:p>
      <w:pPr>
        <w:jc w:val="center"/>
        <w:ind w:left="6460"/>
        <w:spacing w:after="0" w:line="231"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jc w:val="center"/>
        <w:ind w:left="65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1"/>
    </w:lvl>
  </w:abstractNum>
  <w:abstractNum w:abstractNumId="7">
    <w:nsid w:val="3804823E"/>
    <w:multiLevelType w:val="hybridMultilevel"/>
    <w:lvl w:ilvl="0">
      <w:lvlJc w:val="left"/>
      <w:lvlText w:val="%1."/>
      <w:numFmt w:val="decimal"/>
      <w:start w:val="15"/>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
      <w:numFmt w:val="bullet"/>
      <w:start w:val="1"/>
    </w:lvl>
    <w:lvl w:ilvl="1">
      <w:lvlJc w:val="left"/>
      <w:lvlText w:val="▪"/>
      <w:numFmt w:val="bullet"/>
      <w:start w:val="1"/>
    </w:lvl>
  </w:abstractNum>
  <w:abstractNum w:abstractNumId="10">
    <w:nsid w:val="5C482A97"/>
    <w:multiLevelType w:val="hybridMultilevel"/>
    <w:lvl w:ilvl="0">
      <w:lvlJc w:val="left"/>
      <w:lvlText w:val="▪"/>
      <w:numFmt w:val="bullet"/>
      <w:start w:val="1"/>
    </w:lvl>
    <w:lvl w:ilvl="1">
      <w:lvlJc w:val="left"/>
      <w:lvlText w:val="•"/>
      <w:numFmt w:val="bullet"/>
      <w:start w:val="1"/>
    </w:lvl>
  </w:abstractNum>
  <w:abstractNum w:abstractNumId="11">
    <w:nsid w:val="2463B9EA"/>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2">
    <w:nsid w:val="5E884ADC"/>
    <w:multiLevelType w:val="hybridMultilevel"/>
    <w:lvl w:ilvl="0">
      <w:lvlJc w:val="left"/>
      <w:lvlText w:val="o"/>
      <w:numFmt w:val="bullet"/>
      <w:start w:val="1"/>
    </w:lvl>
  </w:abstractNum>
  <w:abstractNum w:abstractNumId="13">
    <w:nsid w:val="51EAD36B"/>
    <w:multiLevelType w:val="hybridMultilevel"/>
    <w:lvl w:ilvl="0">
      <w:lvlJc w:val="left"/>
      <w:lvlText w:val="o"/>
      <w:numFmt w:val="bullet"/>
      <w:start w:val="1"/>
    </w:lvl>
  </w:abstractNum>
  <w:abstractNum w:abstractNumId="14">
    <w:nsid w:val="2D517796"/>
    <w:multiLevelType w:val="hybridMultilevel"/>
    <w:lvl w:ilvl="0">
      <w:lvlJc w:val="left"/>
      <w:lvlText w:val="•"/>
      <w:numFmt w:val="bullet"/>
      <w:start w:val="1"/>
    </w:lvl>
    <w:lvl w:ilvl="1">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3"/>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34" Type="http://schemas.openxmlformats.org/officeDocument/2006/relationships/hyperlink" Target="https://www.sec.gov/Archives/edgar/data/0001841387/000119312521229437/d203496dex31.htm" TargetMode="External"/><Relationship Id="rId235" Type="http://schemas.openxmlformats.org/officeDocument/2006/relationships/hyperlink" Target="https://www.sec.gov/Archives/edgar/data/0001841387/000119312521229437/d203496dex32.htm" TargetMode="External"/><Relationship Id="rId236" Type="http://schemas.openxmlformats.org/officeDocument/2006/relationships/hyperlink" Target="https://www.sec.gov/Archives/edgar/data/1841387/000095017024066608/cadl-ex3_1.htm" TargetMode="External"/><Relationship Id="rId237" Type="http://schemas.openxmlformats.org/officeDocument/2006/relationships/hyperlink" Target="https://www.sec.gov/Archives/edgar/data/0001841387/000119312521216891/d12090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2025-05-13T07:41:53Z</dcterms:created>
  <dcterms:modified xsi:type="dcterms:W3CDTF">2025-05-13T07:41:53Z</dcterms:modified>
</cp:coreProperties>
</file>