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3920" w:right="2760" w:hanging="3899"/>
        <w:spacing w:after="0" w:line="317"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001-40629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5"/>
          <w:szCs w:val="5"/>
          <w:color w:val="auto"/>
        </w:rPr>
        <w: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CANDEL THERAPEUTICS, INC.</w:t>
      </w:r>
    </w:p>
    <w:p>
      <w:pPr>
        <w:sectPr>
          <w:pgSz w:w="11900" w:h="16838" w:orient="portrait"/>
          <w:cols w:equalWidth="0" w:num="1">
            <w:col w:w="11240"/>
          </w:cols>
          <w:pgMar w:left="320" w:top="1104"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p>
      <w:pPr>
        <w:jc w:val="center"/>
        <w:ind w:right="2040"/>
        <w:spacing w:after="0"/>
        <w:rPr>
          <w:sz w:val="20"/>
          <w:szCs w:val="20"/>
          <w:color w:val="auto"/>
        </w:rPr>
      </w:pPr>
      <w:r>
        <w:rPr>
          <w:rFonts w:ascii="Arial" w:cs="Arial" w:eastAsia="Arial" w:hAnsi="Arial"/>
          <w:sz w:val="17"/>
          <w:szCs w:val="17"/>
          <w:b w:val="1"/>
          <w:bCs w:val="1"/>
          <w:color w:val="auto"/>
        </w:rPr>
        <w:t>Delaware</w:t>
      </w:r>
    </w:p>
    <w:p>
      <w:pPr>
        <w:ind w:left="1940"/>
        <w:spacing w:after="0" w:line="232" w:lineRule="auto"/>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52-2214851</w:t>
      </w:r>
    </w:p>
    <w:p>
      <w:pPr>
        <w:spacing w:after="0" w:line="9"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35" w:lineRule="exact"/>
        <w:rPr>
          <w:sz w:val="24"/>
          <w:szCs w:val="24"/>
          <w:color w:val="auto"/>
        </w:rPr>
      </w:pPr>
    </w:p>
    <w:p>
      <w:pPr>
        <w:sectPr>
          <w:pgSz w:w="11900" w:h="16838" w:orient="portrait"/>
          <w:cols w:equalWidth="0" w:num="2">
            <w:col w:w="7660" w:space="240"/>
            <w:col w:w="3340"/>
          </w:cols>
          <w:pgMar w:left="320" w:top="1104" w:right="339" w:bottom="1440" w:gutter="0" w:footer="0" w:header="0"/>
          <w:type w:val="continuous"/>
        </w:sectPr>
      </w:pPr>
    </w:p>
    <w:tbl>
      <w:tblPr>
        <w:tblLayout w:type="fixed"/>
        <w:tblInd w:w="1640" w:type="dxa"/>
        <w:tblCellMar>
          <w:top w:w="0" w:type="dxa"/>
          <w:left w:w="0" w:type="dxa"/>
          <w:bottom w:w="0" w:type="dxa"/>
          <w:right w:w="0" w:type="dxa"/>
        </w:tblCellMar>
      </w:tblPr>
      <w:tr>
        <w:trPr>
          <w:trHeight w:val="203"/>
        </w:trPr>
        <w:tc>
          <w:tcPr>
            <w:tcW w:w="4400" w:type="dxa"/>
            <w:vAlign w:val="bottom"/>
          </w:tcPr>
          <w:p>
            <w:pPr>
              <w:jc w:val="center"/>
              <w:ind w:right="1982"/>
              <w:spacing w:after="0"/>
              <w:rPr>
                <w:sz w:val="20"/>
                <w:szCs w:val="20"/>
                <w:color w:val="auto"/>
              </w:rPr>
            </w:pPr>
            <w:r>
              <w:rPr>
                <w:rFonts w:ascii="Arial" w:cs="Arial" w:eastAsia="Arial" w:hAnsi="Arial"/>
                <w:sz w:val="17"/>
                <w:szCs w:val="17"/>
                <w:b w:val="1"/>
                <w:bCs w:val="1"/>
                <w:color w:val="auto"/>
              </w:rPr>
              <w:t>117 Kendrick St, Suite 450</w:t>
            </w:r>
          </w:p>
        </w:tc>
        <w:tc>
          <w:tcPr>
            <w:tcW w:w="2700" w:type="dxa"/>
            <w:vAlign w:val="bottom"/>
          </w:tcPr>
          <w:p>
            <w:pPr>
              <w:spacing w:after="0"/>
              <w:rPr>
                <w:sz w:val="17"/>
                <w:szCs w:val="17"/>
                <w:color w:val="auto"/>
              </w:rPr>
            </w:pPr>
          </w:p>
        </w:tc>
      </w:tr>
      <w:tr>
        <w:trPr>
          <w:trHeight w:val="207"/>
        </w:trPr>
        <w:tc>
          <w:tcPr>
            <w:tcW w:w="4400" w:type="dxa"/>
            <w:vAlign w:val="bottom"/>
          </w:tcPr>
          <w:p>
            <w:pPr>
              <w:jc w:val="center"/>
              <w:ind w:right="1982"/>
              <w:spacing w:after="0"/>
              <w:rPr>
                <w:sz w:val="20"/>
                <w:szCs w:val="20"/>
                <w:color w:val="auto"/>
              </w:rPr>
            </w:pPr>
            <w:r>
              <w:rPr>
                <w:rFonts w:ascii="Arial" w:cs="Arial" w:eastAsia="Arial" w:hAnsi="Arial"/>
                <w:sz w:val="17"/>
                <w:szCs w:val="17"/>
                <w:b w:val="1"/>
                <w:bCs w:val="1"/>
                <w:color w:val="auto"/>
              </w:rPr>
              <w:t>Needham, MA</w:t>
            </w:r>
          </w:p>
        </w:tc>
        <w:tc>
          <w:tcPr>
            <w:tcW w:w="2700" w:type="dxa"/>
            <w:vAlign w:val="bottom"/>
          </w:tcPr>
          <w:p>
            <w:pPr>
              <w:jc w:val="right"/>
              <w:ind w:right="6"/>
              <w:spacing w:after="0"/>
              <w:rPr>
                <w:sz w:val="20"/>
                <w:szCs w:val="20"/>
                <w:color w:val="auto"/>
              </w:rPr>
            </w:pPr>
            <w:r>
              <w:rPr>
                <w:rFonts w:ascii="Arial" w:cs="Arial" w:eastAsia="Arial" w:hAnsi="Arial"/>
                <w:sz w:val="17"/>
                <w:szCs w:val="17"/>
                <w:b w:val="1"/>
                <w:bCs w:val="1"/>
                <w:color w:val="auto"/>
              </w:rPr>
              <w:t>02494</w:t>
            </w:r>
          </w:p>
        </w:tc>
      </w:tr>
      <w:tr>
        <w:trPr>
          <w:trHeight w:val="172"/>
        </w:trPr>
        <w:tc>
          <w:tcPr>
            <w:tcW w:w="4400" w:type="dxa"/>
            <w:vAlign w:val="bottom"/>
          </w:tcPr>
          <w:p>
            <w:pPr>
              <w:jc w:val="center"/>
              <w:ind w:right="1982"/>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00" w:type="dxa"/>
            <w:vAlign w:val="bottom"/>
          </w:tcPr>
          <w:p>
            <w:pPr>
              <w:jc w:val="center"/>
              <w:ind w:left="2006"/>
              <w:spacing w:after="0"/>
              <w:rPr>
                <w:sz w:val="20"/>
                <w:szCs w:val="20"/>
                <w:color w:val="auto"/>
              </w:rPr>
            </w:pPr>
            <w:r>
              <w:rPr>
                <w:rFonts w:ascii="Arial" w:cs="Arial" w:eastAsia="Arial" w:hAnsi="Arial"/>
                <w:sz w:val="13"/>
                <w:szCs w:val="13"/>
                <w:b w:val="1"/>
                <w:bCs w:val="1"/>
                <w:color w:val="auto"/>
                <w:w w:val="96"/>
              </w:rPr>
              <w:t>(Zip Code)</w:t>
            </w:r>
          </w:p>
        </w:tc>
      </w:tr>
    </w:tbl>
    <w:p>
      <w:pPr>
        <w:spacing w:after="0" w:line="21"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4"/>
        </w:trPr>
        <w:tc>
          <w:tcPr>
            <w:tcW w:w="4280" w:type="dxa"/>
            <w:vAlign w:val="bottom"/>
          </w:tcPr>
          <w:p>
            <w:pPr>
              <w:jc w:val="center"/>
              <w:spacing w:after="0"/>
              <w:rPr>
                <w:sz w:val="20"/>
                <w:szCs w:val="20"/>
                <w:color w:val="auto"/>
              </w:rPr>
            </w:pPr>
            <w:r>
              <w:rPr>
                <w:rFonts w:ascii="Arial" w:cs="Arial" w:eastAsia="Arial" w:hAnsi="Arial"/>
                <w:sz w:val="15"/>
                <w:szCs w:val="15"/>
                <w:color w:val="auto"/>
              </w:rPr>
              <w:t>Common Stock, par value $0.01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rPr>
              <w:t>CADL</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5"/>
                <w:szCs w:val="15"/>
                <w:color w:val="auto"/>
              </w:rPr>
              <w:t>The Nasdaq Global Market</w:t>
            </w:r>
          </w:p>
        </w:tc>
      </w:tr>
      <w:tr>
        <w:trPr>
          <w:trHeight w:val="203"/>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r>
    </w:tbl>
    <w:p>
      <w:pPr>
        <w:ind w:right="2700"/>
        <w:spacing w:after="0" w:line="23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9" w:lineRule="exact"/>
        <w:rPr>
          <w:sz w:val="24"/>
          <w:szCs w:val="24"/>
          <w:color w:val="auto"/>
        </w:rPr>
      </w:pPr>
    </w:p>
    <w:p>
      <w:pPr>
        <w:ind w:right="68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80"/>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200" w:type="dxa"/>
            <w:vAlign w:val="bottom"/>
          </w:tcPr>
          <w:p>
            <w:pPr>
              <w:ind w:left="314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48" w:lineRule="exact"/>
        <w:rPr>
          <w:sz w:val="24"/>
          <w:szCs w:val="24"/>
          <w:color w:val="auto"/>
        </w:rPr>
      </w:pPr>
    </w:p>
    <w:p>
      <w:pPr>
        <w:ind w:right="200"/>
        <w:spacing w:after="0" w:line="252" w:lineRule="auto"/>
        <w:rPr>
          <w:sz w:val="20"/>
          <w:szCs w:val="20"/>
          <w:color w:val="auto"/>
        </w:rPr>
      </w:pPr>
      <w:r>
        <w:rPr>
          <w:rFonts w:ascii="Arial" w:cs="Arial" w:eastAsia="Arial" w:hAnsi="Arial"/>
          <w:sz w:val="14"/>
          <w:szCs w:val="14"/>
          <w:color w:val="auto"/>
        </w:rPr>
        <w:t>The aggregate market value of voting stock held by non-affiliates of the registrant on June 30, 2025, based on the closing price of $5.06 for shares of the registrant’s common stock as reported by the Nasdaq Global Market, was approximately $245.3 million. This calculation does not reflect a determination that certain persons are affiliates of the registrant for any other purposes.</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5, 2026 was 73,246,927.</w:t>
      </w:r>
    </w:p>
    <w:p>
      <w:pPr>
        <w:spacing w:after="0" w:line="55"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4"/>
          <w:szCs w:val="14"/>
          <w:color w:val="auto"/>
        </w:rPr>
        <w:t>Portions of the registrant’s definitive proxy statement for its 2026 Annual Meeting of Stockholders (the Proxy Statement)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5"/>
        </w:trPr>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60" w:type="dxa"/>
            <w:vAlign w:val="bottom"/>
            <w:gridSpan w:val="9"/>
          </w:tcPr>
          <w:p>
            <w:pPr>
              <w:ind w:left="120"/>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124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12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20"/>
              <w:spacing w:after="0" w:line="185" w:lineRule="exact"/>
              <w:rPr>
                <w:sz w:val="20"/>
                <w:szCs w:val="20"/>
                <w:color w:val="auto"/>
              </w:rPr>
            </w:pPr>
            <w:r>
              <w:rPr>
                <w:rFonts w:ascii="Arial" w:cs="Arial" w:eastAsia="Arial" w:hAnsi="Arial"/>
                <w:sz w:val="17"/>
                <w:szCs w:val="17"/>
                <w:color w:val="auto"/>
              </w:rPr>
              <w:t>Item 1.</w:t>
            </w:r>
          </w:p>
        </w:tc>
        <w:tc>
          <w:tcPr>
            <w:tcW w:w="20" w:type="dxa"/>
            <w:vAlign w:val="bottom"/>
          </w:tcPr>
          <w:p>
            <w:pPr>
              <w:spacing w:after="0"/>
              <w:rPr>
                <w:sz w:val="16"/>
                <w:szCs w:val="16"/>
                <w:color w:val="auto"/>
              </w:rPr>
            </w:pPr>
          </w:p>
        </w:tc>
        <w:tc>
          <w:tcPr>
            <w:tcW w:w="9180" w:type="dxa"/>
            <w:vAlign w:val="bottom"/>
            <w:gridSpan w:val="24"/>
          </w:tcPr>
          <w:p>
            <w:pPr>
              <w:spacing w:after="0" w:line="185" w:lineRule="exact"/>
              <w:rPr>
                <w:sz w:val="20"/>
                <w:szCs w:val="20"/>
                <w:color w:val="auto"/>
              </w:rPr>
            </w:pPr>
            <w:r>
              <w:rPr>
                <w:rFonts w:ascii="Arial" w:cs="Arial" w:eastAsia="Arial" w:hAnsi="Arial"/>
                <w:sz w:val="17"/>
                <w:szCs w:val="17"/>
                <w:color w:val="0000FF"/>
              </w:rPr>
              <w:t>Business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1A.</w:t>
            </w:r>
          </w:p>
        </w:tc>
        <w:tc>
          <w:tcPr>
            <w:tcW w:w="20" w:type="dxa"/>
            <w:vAlign w:val="bottom"/>
          </w:tcPr>
          <w:p>
            <w:pPr>
              <w:spacing w:after="0" w:line="20" w:lineRule="exact"/>
              <w:rPr>
                <w:sz w:val="1"/>
                <w:szCs w:val="1"/>
                <w:color w:val="auto"/>
              </w:rPr>
            </w:pPr>
          </w:p>
        </w:tc>
        <w:tc>
          <w:tcPr>
            <w:tcW w:w="7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4"/>
          </w:tcPr>
          <w:p>
            <w:pPr>
              <w:spacing w:after="0" w:line="169" w:lineRule="exact"/>
              <w:rPr>
                <w:sz w:val="20"/>
                <w:szCs w:val="20"/>
                <w:color w:val="auto"/>
              </w:rPr>
            </w:pPr>
            <w:r>
              <w:rPr>
                <w:rFonts w:ascii="Arial" w:cs="Arial" w:eastAsia="Arial" w:hAnsi="Arial"/>
                <w:sz w:val="17"/>
                <w:szCs w:val="17"/>
                <w:color w:val="0000FF"/>
              </w:rPr>
              <w:t>Risk Factors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1B.</w:t>
            </w:r>
          </w:p>
        </w:tc>
        <w:tc>
          <w:tcPr>
            <w:tcW w:w="2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220" w:type="dxa"/>
            <w:vAlign w:val="bottom"/>
            <w:gridSpan w:val="19"/>
            <w:vMerge w:val="restart"/>
          </w:tcPr>
          <w:p>
            <w:pPr>
              <w:spacing w:after="0" w:line="189" w:lineRule="exact"/>
              <w:rPr>
                <w:sz w:val="20"/>
                <w:szCs w:val="20"/>
                <w:color w:val="auto"/>
              </w:rPr>
            </w:pPr>
            <w:r>
              <w:rPr>
                <w:rFonts w:ascii="Arial" w:cs="Arial" w:eastAsia="Arial" w:hAnsi="Arial"/>
                <w:sz w:val="17"/>
                <w:szCs w:val="17"/>
                <w:color w:val="0000FF"/>
              </w:rPr>
              <w:t>Staff Comments</w:t>
            </w: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5"/>
          </w:tcPr>
          <w:p>
            <w:pPr>
              <w:spacing w:after="0" w:line="169" w:lineRule="exact"/>
              <w:rPr>
                <w:sz w:val="20"/>
                <w:szCs w:val="20"/>
                <w:color w:val="auto"/>
              </w:rPr>
            </w:pPr>
            <w:r>
              <w:rPr>
                <w:rFonts w:ascii="Arial" w:cs="Arial" w:eastAsia="Arial" w:hAnsi="Arial"/>
                <w:sz w:val="17"/>
                <w:szCs w:val="17"/>
                <w:color w:val="0000FF"/>
              </w:rPr>
              <w:t>Unresolved</w:t>
            </w:r>
          </w:p>
        </w:tc>
        <w:tc>
          <w:tcPr>
            <w:tcW w:w="8220" w:type="dxa"/>
            <w:vAlign w:val="bottom"/>
            <w:gridSpan w:val="19"/>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1C.</w:t>
            </w:r>
          </w:p>
        </w:tc>
        <w:tc>
          <w:tcPr>
            <w:tcW w:w="2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12"/>
          </w:tcPr>
          <w:p>
            <w:pPr>
              <w:spacing w:after="0" w:line="169" w:lineRule="exact"/>
              <w:rPr>
                <w:sz w:val="20"/>
                <w:szCs w:val="20"/>
                <w:color w:val="auto"/>
              </w:rPr>
            </w:pPr>
            <w:r>
              <w:rPr>
                <w:rFonts w:ascii="Arial" w:cs="Arial" w:eastAsia="Arial" w:hAnsi="Arial"/>
                <w:sz w:val="17"/>
                <w:szCs w:val="17"/>
                <w:color w:val="0000FF"/>
              </w:rPr>
              <w:t>Cybersecurity</w:t>
            </w:r>
          </w:p>
        </w:tc>
        <w:tc>
          <w:tcPr>
            <w:tcW w:w="9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2.</w:t>
            </w:r>
          </w:p>
        </w:tc>
        <w:tc>
          <w:tcPr>
            <w:tcW w:w="2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4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6"/>
          </w:tcPr>
          <w:p>
            <w:pPr>
              <w:spacing w:after="0" w:line="169" w:lineRule="exact"/>
              <w:rPr>
                <w:sz w:val="20"/>
                <w:szCs w:val="20"/>
                <w:color w:val="auto"/>
              </w:rPr>
            </w:pPr>
            <w:r>
              <w:rPr>
                <w:rFonts w:ascii="Arial" w:cs="Arial" w:eastAsia="Arial" w:hAnsi="Arial"/>
                <w:sz w:val="17"/>
                <w:szCs w:val="17"/>
                <w:color w:val="0000FF"/>
              </w:rPr>
              <w:t>Properties</w:t>
            </w:r>
          </w:p>
        </w:tc>
        <w:tc>
          <w:tcPr>
            <w:tcW w:w="3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3.</w:t>
            </w:r>
          </w:p>
        </w:tc>
        <w:tc>
          <w:tcPr>
            <w:tcW w:w="20" w:type="dxa"/>
            <w:vAlign w:val="bottom"/>
          </w:tcPr>
          <w:p>
            <w:pPr>
              <w:spacing w:after="0" w:line="20" w:lineRule="exact"/>
              <w:rPr>
                <w:sz w:val="1"/>
                <w:szCs w:val="1"/>
                <w:color w:val="auto"/>
              </w:rPr>
            </w:pPr>
          </w:p>
        </w:tc>
        <w:tc>
          <w:tcPr>
            <w:tcW w:w="7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103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4"/>
          </w:tcPr>
          <w:p>
            <w:pPr>
              <w:spacing w:after="0" w:line="169" w:lineRule="exact"/>
              <w:rPr>
                <w:sz w:val="20"/>
                <w:szCs w:val="20"/>
                <w:color w:val="auto"/>
              </w:rPr>
            </w:pPr>
            <w:r>
              <w:rPr>
                <w:rFonts w:ascii="Arial" w:cs="Arial" w:eastAsia="Arial" w:hAnsi="Arial"/>
                <w:sz w:val="17"/>
                <w:szCs w:val="17"/>
                <w:color w:val="0000FF"/>
              </w:rPr>
              <w:t>Legal Proceedings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4.</w:t>
            </w:r>
          </w:p>
        </w:tc>
        <w:tc>
          <w:tcPr>
            <w:tcW w:w="20" w:type="dxa"/>
            <w:vAlign w:val="bottom"/>
          </w:tcPr>
          <w:p>
            <w:pPr>
              <w:spacing w:after="0" w:line="20" w:lineRule="exact"/>
              <w:rPr>
                <w:sz w:val="1"/>
                <w:szCs w:val="1"/>
                <w:color w:val="auto"/>
              </w:rPr>
            </w:pPr>
          </w:p>
        </w:tc>
        <w:tc>
          <w:tcPr>
            <w:tcW w:w="820" w:type="dxa"/>
            <w:vAlign w:val="bottom"/>
            <w:tcBorders>
              <w:left w:val="single" w:sz="8" w:color="0000EE"/>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103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4"/>
          </w:tcPr>
          <w:p>
            <w:pPr>
              <w:spacing w:after="0" w:line="169" w:lineRule="exact"/>
              <w:rPr>
                <w:sz w:val="20"/>
                <w:szCs w:val="20"/>
                <w:color w:val="auto"/>
              </w:rPr>
            </w:pPr>
            <w:r>
              <w:rPr>
                <w:rFonts w:ascii="Arial" w:cs="Arial" w:eastAsia="Arial" w:hAnsi="Arial"/>
                <w:sz w:val="17"/>
                <w:szCs w:val="17"/>
                <w:color w:val="0000FF"/>
              </w:rPr>
              <w:t>Mine Safety Disclosures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20"/>
              <w:spacing w:after="0" w:line="185" w:lineRule="exact"/>
              <w:rPr>
                <w:sz w:val="20"/>
                <w:szCs w:val="20"/>
                <w:color w:val="auto"/>
              </w:rPr>
            </w:pPr>
            <w:r>
              <w:rPr>
                <w:rFonts w:ascii="Arial" w:cs="Arial" w:eastAsia="Arial" w:hAnsi="Arial"/>
                <w:sz w:val="17"/>
                <w:szCs w:val="17"/>
                <w:color w:val="auto"/>
              </w:rPr>
              <w:t>Item 5.</w:t>
            </w:r>
          </w:p>
        </w:tc>
        <w:tc>
          <w:tcPr>
            <w:tcW w:w="20" w:type="dxa"/>
            <w:vAlign w:val="bottom"/>
          </w:tcPr>
          <w:p>
            <w:pPr>
              <w:spacing w:after="0"/>
              <w:rPr>
                <w:sz w:val="16"/>
                <w:szCs w:val="16"/>
                <w:color w:val="auto"/>
              </w:rPr>
            </w:pPr>
          </w:p>
        </w:tc>
        <w:tc>
          <w:tcPr>
            <w:tcW w:w="9180" w:type="dxa"/>
            <w:vAlign w:val="bottom"/>
            <w:gridSpan w:val="24"/>
          </w:tcPr>
          <w:p>
            <w:pPr>
              <w:spacing w:after="0" w:line="185"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6.</w:t>
            </w:r>
          </w:p>
        </w:tc>
        <w:tc>
          <w:tcPr>
            <w:tcW w:w="20" w:type="dxa"/>
            <w:vAlign w:val="bottom"/>
            <w:vMerge w:val="restart"/>
          </w:tcPr>
          <w:p>
            <w:pPr>
              <w:spacing w:after="0" w:line="20" w:lineRule="exact"/>
              <w:rPr>
                <w:sz w:val="1"/>
                <w:szCs w:val="1"/>
                <w:color w:val="auto"/>
              </w:rPr>
            </w:pPr>
          </w:p>
        </w:tc>
        <w:tc>
          <w:tcPr>
            <w:tcW w:w="820" w:type="dxa"/>
            <w:vAlign w:val="bottom"/>
            <w:tcBorders>
              <w:left w:val="single" w:sz="8" w:color="0000EE"/>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104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82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7"/>
                <w:szCs w:val="17"/>
                <w:color w:val="0000FF"/>
                <w:w w:val="97"/>
              </w:rPr>
              <w:t>[Reserved]</w:t>
            </w:r>
          </w:p>
        </w:tc>
        <w:tc>
          <w:tcPr>
            <w:tcW w:w="20" w:type="dxa"/>
            <w:vAlign w:val="bottom"/>
            <w:tcBorders>
              <w:bottom w:val="single" w:sz="8" w:color="0000EE"/>
            </w:tcBorders>
          </w:tcPr>
          <w:p>
            <w:pPr>
              <w:spacing w:after="0"/>
              <w:rPr>
                <w:sz w:val="14"/>
                <w:szCs w:val="14"/>
                <w:color w:val="auto"/>
              </w:rPr>
            </w:pPr>
          </w:p>
        </w:tc>
        <w:tc>
          <w:tcPr>
            <w:tcW w:w="7600" w:type="dxa"/>
            <w:vAlign w:val="bottom"/>
            <w:gridSpan w:val="19"/>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7"/>
                <w:szCs w:val="17"/>
                <w:color w:val="auto"/>
              </w:rPr>
              <w:t>Item 7.</w:t>
            </w:r>
          </w:p>
        </w:tc>
        <w:tc>
          <w:tcPr>
            <w:tcW w:w="20" w:type="dxa"/>
            <w:vAlign w:val="bottom"/>
          </w:tcPr>
          <w:p>
            <w:pPr>
              <w:spacing w:after="0"/>
              <w:rPr>
                <w:sz w:val="14"/>
                <w:szCs w:val="14"/>
                <w:color w:val="auto"/>
              </w:rPr>
            </w:pPr>
          </w:p>
        </w:tc>
        <w:tc>
          <w:tcPr>
            <w:tcW w:w="9180" w:type="dxa"/>
            <w:vAlign w:val="bottom"/>
            <w:gridSpan w:val="24"/>
          </w:tcPr>
          <w:p>
            <w:pPr>
              <w:spacing w:after="0" w:line="169"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00" w:type="dxa"/>
            <w:vAlign w:val="bottom"/>
          </w:tcPr>
          <w:p>
            <w:pPr>
              <w:jc w:val="right"/>
              <w:spacing w:after="0" w:line="169"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7A.</w:t>
            </w:r>
          </w:p>
        </w:tc>
        <w:tc>
          <w:tcPr>
            <w:tcW w:w="20" w:type="dxa"/>
            <w:vAlign w:val="bottom"/>
          </w:tcPr>
          <w:p>
            <w:pPr>
              <w:spacing w:after="0" w:line="20" w:lineRule="exact"/>
              <w:rPr>
                <w:sz w:val="1"/>
                <w:szCs w:val="1"/>
                <w:color w:val="auto"/>
              </w:rPr>
            </w:pPr>
          </w:p>
        </w:tc>
        <w:tc>
          <w:tcPr>
            <w:tcW w:w="134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gridSpan w:val="20"/>
          </w:tcPr>
          <w:p>
            <w:pPr>
              <w:spacing w:after="0" w:line="169" w:lineRule="exact"/>
              <w:rPr>
                <w:sz w:val="20"/>
                <w:szCs w:val="20"/>
                <w:color w:val="auto"/>
              </w:rPr>
            </w:pPr>
            <w:r>
              <w:rPr>
                <w:rFonts w:ascii="Arial" w:cs="Arial" w:eastAsia="Arial" w:hAnsi="Arial"/>
                <w:sz w:val="17"/>
                <w:szCs w:val="17"/>
                <w:color w:val="0000FF"/>
              </w:rPr>
              <w:t>Quantitative and Qualitative Disclosures About Market Risk</w:t>
            </w: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8.</w:t>
            </w:r>
          </w:p>
        </w:tc>
        <w:tc>
          <w:tcPr>
            <w:tcW w:w="20" w:type="dxa"/>
            <w:vAlign w:val="bottom"/>
          </w:tcPr>
          <w:p>
            <w:pPr>
              <w:spacing w:after="0" w:line="20" w:lineRule="exact"/>
              <w:rPr>
                <w:sz w:val="1"/>
                <w:szCs w:val="1"/>
                <w:color w:val="auto"/>
              </w:rPr>
            </w:pPr>
          </w:p>
        </w:tc>
        <w:tc>
          <w:tcPr>
            <w:tcW w:w="134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gridSpan w:val="17"/>
          </w:tcPr>
          <w:p>
            <w:pPr>
              <w:spacing w:after="0" w:line="169" w:lineRule="exact"/>
              <w:rPr>
                <w:sz w:val="20"/>
                <w:szCs w:val="20"/>
                <w:color w:val="auto"/>
              </w:rPr>
            </w:pPr>
            <w:r>
              <w:rPr>
                <w:rFonts w:ascii="Arial" w:cs="Arial" w:eastAsia="Arial" w:hAnsi="Arial"/>
                <w:sz w:val="17"/>
                <w:szCs w:val="17"/>
                <w:color w:val="0000FF"/>
              </w:rPr>
              <w:t>Financial Statements and Supplementary Data</w:t>
            </w:r>
          </w:p>
        </w:tc>
        <w:tc>
          <w:tcPr>
            <w:tcW w:w="6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9.</w:t>
            </w:r>
          </w:p>
        </w:tc>
        <w:tc>
          <w:tcPr>
            <w:tcW w:w="20" w:type="dxa"/>
            <w:vAlign w:val="bottom"/>
          </w:tcPr>
          <w:p>
            <w:pPr>
              <w:spacing w:after="0" w:line="20" w:lineRule="exact"/>
              <w:rPr>
                <w:sz w:val="1"/>
                <w:szCs w:val="1"/>
                <w:color w:val="auto"/>
              </w:rPr>
            </w:pPr>
          </w:p>
        </w:tc>
        <w:tc>
          <w:tcPr>
            <w:tcW w:w="134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4"/>
          </w:tcPr>
          <w:p>
            <w:pPr>
              <w:spacing w:after="0" w:line="169"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9A.</w:t>
            </w:r>
          </w:p>
        </w:tc>
        <w:tc>
          <w:tcPr>
            <w:tcW w:w="20" w:type="dxa"/>
            <w:vAlign w:val="bottom"/>
          </w:tcPr>
          <w:p>
            <w:pPr>
              <w:spacing w:after="0" w:line="20" w:lineRule="exact"/>
              <w:rPr>
                <w:sz w:val="1"/>
                <w:szCs w:val="1"/>
                <w:color w:val="auto"/>
              </w:rPr>
            </w:pPr>
          </w:p>
        </w:tc>
        <w:tc>
          <w:tcPr>
            <w:tcW w:w="134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0" w:type="dxa"/>
            <w:vAlign w:val="bottom"/>
            <w:gridSpan w:val="21"/>
          </w:tcPr>
          <w:p>
            <w:pPr>
              <w:spacing w:after="0" w:line="169" w:lineRule="exact"/>
              <w:rPr>
                <w:sz w:val="20"/>
                <w:szCs w:val="20"/>
                <w:color w:val="auto"/>
              </w:rPr>
            </w:pPr>
            <w:r>
              <w:rPr>
                <w:rFonts w:ascii="Arial" w:cs="Arial" w:eastAsia="Arial" w:hAnsi="Arial"/>
                <w:sz w:val="17"/>
                <w:szCs w:val="17"/>
                <w:color w:val="0000FF"/>
              </w:rPr>
              <w:t>Controls and Procedures</w:t>
            </w:r>
          </w:p>
        </w:tc>
        <w:tc>
          <w:tcPr>
            <w:tcW w:w="8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9B.</w:t>
            </w:r>
          </w:p>
        </w:tc>
        <w:tc>
          <w:tcPr>
            <w:tcW w:w="20" w:type="dxa"/>
            <w:vAlign w:val="bottom"/>
          </w:tcPr>
          <w:p>
            <w:pPr>
              <w:spacing w:after="0" w:line="20" w:lineRule="exact"/>
              <w:rPr>
                <w:sz w:val="1"/>
                <w:szCs w:val="1"/>
                <w:color w:val="auto"/>
              </w:rPr>
            </w:pPr>
          </w:p>
        </w:tc>
        <w:tc>
          <w:tcPr>
            <w:tcW w:w="1340" w:type="dxa"/>
            <w:vAlign w:val="bottom"/>
            <w:tcBorders>
              <w:left w:val="single" w:sz="8" w:color="0000EE"/>
              <w:right w:val="single" w:sz="8" w:color="0000FF"/>
            </w:tcBorders>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860" w:type="dxa"/>
            <w:vAlign w:val="bottom"/>
            <w:gridSpan w:val="2"/>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58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11"/>
          </w:tcPr>
          <w:p>
            <w:pPr>
              <w:spacing w:after="0" w:line="169" w:lineRule="exact"/>
              <w:rPr>
                <w:sz w:val="20"/>
                <w:szCs w:val="20"/>
                <w:color w:val="auto"/>
              </w:rPr>
            </w:pPr>
            <w:r>
              <w:rPr>
                <w:rFonts w:ascii="Arial" w:cs="Arial" w:eastAsia="Arial" w:hAnsi="Arial"/>
                <w:sz w:val="17"/>
                <w:szCs w:val="17"/>
                <w:color w:val="0000FF"/>
              </w:rPr>
              <w:t>Other Information</w:t>
            </w:r>
          </w:p>
        </w:tc>
        <w:tc>
          <w:tcPr>
            <w:tcW w:w="11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9C.</w:t>
            </w:r>
          </w:p>
        </w:tc>
        <w:tc>
          <w:tcPr>
            <w:tcW w:w="20" w:type="dxa"/>
            <w:vAlign w:val="bottom"/>
          </w:tcPr>
          <w:p>
            <w:pPr>
              <w:spacing w:after="0" w:line="20" w:lineRule="exact"/>
              <w:rPr>
                <w:sz w:val="1"/>
                <w:szCs w:val="1"/>
                <w:color w:val="auto"/>
              </w:rPr>
            </w:pPr>
          </w:p>
        </w:tc>
        <w:tc>
          <w:tcPr>
            <w:tcW w:w="1340" w:type="dxa"/>
            <w:vAlign w:val="bottom"/>
            <w:tcBorders>
              <w:left w:val="single" w:sz="8" w:color="0000EE"/>
              <w:right w:val="single" w:sz="8" w:color="0000EE"/>
            </w:tcBorders>
            <w:gridSpan w:val="7"/>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4"/>
          </w:tcPr>
          <w:p>
            <w:pPr>
              <w:spacing w:after="0" w:line="169"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III</w:t>
            </w:r>
          </w:p>
        </w:tc>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20"/>
              <w:spacing w:after="0" w:line="185" w:lineRule="exact"/>
              <w:rPr>
                <w:sz w:val="20"/>
                <w:szCs w:val="20"/>
                <w:color w:val="auto"/>
              </w:rPr>
            </w:pPr>
            <w:r>
              <w:rPr>
                <w:rFonts w:ascii="Arial" w:cs="Arial" w:eastAsia="Arial" w:hAnsi="Arial"/>
                <w:sz w:val="17"/>
                <w:szCs w:val="17"/>
                <w:color w:val="auto"/>
              </w:rPr>
              <w:t>Item 10.</w:t>
            </w:r>
          </w:p>
        </w:tc>
        <w:tc>
          <w:tcPr>
            <w:tcW w:w="20" w:type="dxa"/>
            <w:vAlign w:val="bottom"/>
          </w:tcPr>
          <w:p>
            <w:pPr>
              <w:spacing w:after="0"/>
              <w:rPr>
                <w:sz w:val="16"/>
                <w:szCs w:val="16"/>
                <w:color w:val="auto"/>
              </w:rPr>
            </w:pPr>
          </w:p>
        </w:tc>
        <w:tc>
          <w:tcPr>
            <w:tcW w:w="9180" w:type="dxa"/>
            <w:vAlign w:val="bottom"/>
            <w:gridSpan w:val="24"/>
          </w:tcPr>
          <w:p>
            <w:pPr>
              <w:spacing w:after="0" w:line="185" w:lineRule="exact"/>
              <w:rPr>
                <w:sz w:val="20"/>
                <w:szCs w:val="20"/>
                <w:color w:val="auto"/>
              </w:rPr>
            </w:pPr>
            <w:r>
              <w:rPr>
                <w:rFonts w:ascii="Arial" w:cs="Arial" w:eastAsia="Arial" w:hAnsi="Arial"/>
                <w:sz w:val="17"/>
                <w:szCs w:val="17"/>
                <w:color w:val="0000FF"/>
              </w:rPr>
              <w:t>Directors, Executive Officers and Corporate Governance</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11.</w:t>
            </w:r>
          </w:p>
        </w:tc>
        <w:tc>
          <w:tcPr>
            <w:tcW w:w="20" w:type="dxa"/>
            <w:vAlign w:val="bottom"/>
          </w:tcPr>
          <w:p>
            <w:pPr>
              <w:spacing w:after="0" w:line="20" w:lineRule="exact"/>
              <w:rPr>
                <w:sz w:val="1"/>
                <w:szCs w:val="1"/>
                <w:color w:val="auto"/>
              </w:rPr>
            </w:pPr>
          </w:p>
        </w:tc>
        <w:tc>
          <w:tcPr>
            <w:tcW w:w="1580" w:type="dxa"/>
            <w:vAlign w:val="bottom"/>
            <w:tcBorders>
              <w:left w:val="single" w:sz="8" w:color="0000EE"/>
            </w:tcBorders>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50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58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gridSpan w:val="16"/>
          </w:tcPr>
          <w:p>
            <w:pPr>
              <w:spacing w:after="0" w:line="169" w:lineRule="exact"/>
              <w:rPr>
                <w:sz w:val="20"/>
                <w:szCs w:val="20"/>
                <w:color w:val="auto"/>
              </w:rPr>
            </w:pPr>
            <w:r>
              <w:rPr>
                <w:rFonts w:ascii="Arial" w:cs="Arial" w:eastAsia="Arial" w:hAnsi="Arial"/>
                <w:sz w:val="17"/>
                <w:szCs w:val="17"/>
                <w:color w:val="0000FF"/>
              </w:rPr>
              <w:t>Executive Compensation</w:t>
            </w:r>
          </w:p>
        </w:tc>
        <w:tc>
          <w:tcPr>
            <w:tcW w:w="150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12.</w:t>
            </w:r>
          </w:p>
        </w:tc>
        <w:tc>
          <w:tcPr>
            <w:tcW w:w="20" w:type="dxa"/>
            <w:vAlign w:val="bottom"/>
          </w:tcPr>
          <w:p>
            <w:pPr>
              <w:spacing w:after="0" w:line="20" w:lineRule="exact"/>
              <w:rPr>
                <w:sz w:val="1"/>
                <w:szCs w:val="1"/>
                <w:color w:val="auto"/>
              </w:rPr>
            </w:pPr>
          </w:p>
        </w:tc>
        <w:tc>
          <w:tcPr>
            <w:tcW w:w="1580" w:type="dxa"/>
            <w:vAlign w:val="bottom"/>
            <w:tcBorders>
              <w:left w:val="single" w:sz="8" w:color="0000EE"/>
            </w:tcBorders>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4"/>
          </w:tcPr>
          <w:p>
            <w:pPr>
              <w:spacing w:after="0" w:line="169"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13.</w:t>
            </w:r>
          </w:p>
        </w:tc>
        <w:tc>
          <w:tcPr>
            <w:tcW w:w="20" w:type="dxa"/>
            <w:vAlign w:val="bottom"/>
          </w:tcPr>
          <w:p>
            <w:pPr>
              <w:spacing w:after="0" w:line="20" w:lineRule="exact"/>
              <w:rPr>
                <w:sz w:val="1"/>
                <w:szCs w:val="1"/>
                <w:color w:val="auto"/>
              </w:rPr>
            </w:pPr>
          </w:p>
        </w:tc>
        <w:tc>
          <w:tcPr>
            <w:tcW w:w="1580" w:type="dxa"/>
            <w:vAlign w:val="bottom"/>
            <w:tcBorders>
              <w:left w:val="single" w:sz="8" w:color="0000EE"/>
            </w:tcBorders>
            <w:gridSpan w:val="9"/>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600" w:type="dxa"/>
            <w:vAlign w:val="bottom"/>
            <w:gridSpan w:val="22"/>
          </w:tcPr>
          <w:p>
            <w:pPr>
              <w:spacing w:after="0" w:line="169"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15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14.</w:t>
            </w:r>
          </w:p>
        </w:tc>
        <w:tc>
          <w:tcPr>
            <w:tcW w:w="20" w:type="dxa"/>
            <w:vAlign w:val="bottom"/>
          </w:tcPr>
          <w:p>
            <w:pPr>
              <w:spacing w:after="0" w:line="20" w:lineRule="exact"/>
              <w:rPr>
                <w:sz w:val="1"/>
                <w:szCs w:val="1"/>
                <w:color w:val="auto"/>
              </w:rPr>
            </w:pPr>
          </w:p>
        </w:tc>
        <w:tc>
          <w:tcPr>
            <w:tcW w:w="1580" w:type="dxa"/>
            <w:vAlign w:val="bottom"/>
            <w:tcBorders>
              <w:left w:val="single" w:sz="8" w:color="0000EE"/>
            </w:tcBorders>
            <w:gridSpan w:val="9"/>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420" w:type="dxa"/>
            <w:vAlign w:val="bottom"/>
            <w:gridSpan w:val="5"/>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760" w:type="dxa"/>
            <w:vAlign w:val="bottom"/>
            <w:gridSpan w:val="19"/>
          </w:tcPr>
          <w:p>
            <w:pPr>
              <w:spacing w:after="0" w:line="169" w:lineRule="exact"/>
              <w:rPr>
                <w:sz w:val="20"/>
                <w:szCs w:val="20"/>
                <w:color w:val="auto"/>
              </w:rPr>
            </w:pPr>
            <w:r>
              <w:rPr>
                <w:rFonts w:ascii="Arial" w:cs="Arial" w:eastAsia="Arial" w:hAnsi="Arial"/>
                <w:sz w:val="17"/>
                <w:szCs w:val="17"/>
                <w:color w:val="0000FF"/>
              </w:rPr>
              <w:t>Principal Accountant Fees and Services</w:t>
            </w:r>
          </w:p>
        </w:tc>
        <w:tc>
          <w:tcPr>
            <w:tcW w:w="3420" w:type="dxa"/>
            <w:vAlign w:val="bottom"/>
            <w:gridSpan w:val="5"/>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IV</w:t>
            </w:r>
          </w:p>
        </w:tc>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20"/>
              <w:spacing w:after="0" w:line="185" w:lineRule="exact"/>
              <w:rPr>
                <w:sz w:val="20"/>
                <w:szCs w:val="20"/>
                <w:color w:val="auto"/>
              </w:rPr>
            </w:pPr>
            <w:r>
              <w:rPr>
                <w:rFonts w:ascii="Arial" w:cs="Arial" w:eastAsia="Arial" w:hAnsi="Arial"/>
                <w:sz w:val="17"/>
                <w:szCs w:val="17"/>
                <w:color w:val="auto"/>
              </w:rPr>
              <w:t>Item 15.</w:t>
            </w:r>
          </w:p>
        </w:tc>
        <w:tc>
          <w:tcPr>
            <w:tcW w:w="20" w:type="dxa"/>
            <w:vAlign w:val="bottom"/>
          </w:tcPr>
          <w:p>
            <w:pPr>
              <w:spacing w:after="0"/>
              <w:rPr>
                <w:sz w:val="16"/>
                <w:szCs w:val="16"/>
                <w:color w:val="auto"/>
              </w:rPr>
            </w:pPr>
          </w:p>
        </w:tc>
        <w:tc>
          <w:tcPr>
            <w:tcW w:w="9180" w:type="dxa"/>
            <w:vAlign w:val="bottom"/>
            <w:gridSpan w:val="24"/>
          </w:tcPr>
          <w:p>
            <w:pPr>
              <w:spacing w:after="0" w:line="185" w:lineRule="exact"/>
              <w:rPr>
                <w:sz w:val="20"/>
                <w:szCs w:val="20"/>
                <w:color w:val="auto"/>
              </w:rPr>
            </w:pPr>
            <w:r>
              <w:rPr>
                <w:rFonts w:ascii="Arial" w:cs="Arial" w:eastAsia="Arial" w:hAnsi="Arial"/>
                <w:sz w:val="17"/>
                <w:szCs w:val="17"/>
                <w:color w:val="0000FF"/>
              </w:rPr>
              <w:t>Exhibits and Financial Statement Schedules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Item 16.</w:t>
            </w:r>
          </w:p>
        </w:tc>
        <w:tc>
          <w:tcPr>
            <w:tcW w:w="20" w:type="dxa"/>
            <w:vAlign w:val="bottom"/>
          </w:tcPr>
          <w:p>
            <w:pPr>
              <w:spacing w:after="0" w:line="20" w:lineRule="exact"/>
              <w:rPr>
                <w:sz w:val="1"/>
                <w:szCs w:val="1"/>
                <w:color w:val="auto"/>
              </w:rPr>
            </w:pPr>
          </w:p>
        </w:tc>
        <w:tc>
          <w:tcPr>
            <w:tcW w:w="1580" w:type="dxa"/>
            <w:vAlign w:val="bottom"/>
            <w:tcBorders>
              <w:left w:val="single" w:sz="8" w:color="0000EE"/>
            </w:tcBorders>
            <w:gridSpan w:val="9"/>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860" w:type="dxa"/>
            <w:vAlign w:val="bottom"/>
            <w:gridSpan w:val="10"/>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gridSpan w:val="14"/>
          </w:tcPr>
          <w:p>
            <w:pPr>
              <w:spacing w:after="0" w:line="169" w:lineRule="exact"/>
              <w:rPr>
                <w:sz w:val="20"/>
                <w:szCs w:val="20"/>
                <w:color w:val="auto"/>
              </w:rPr>
            </w:pPr>
            <w:r>
              <w:rPr>
                <w:rFonts w:ascii="Arial" w:cs="Arial" w:eastAsia="Arial" w:hAnsi="Arial"/>
                <w:sz w:val="17"/>
                <w:szCs w:val="17"/>
                <w:color w:val="0000FF"/>
              </w:rPr>
              <w:t>Form 10-K Summary</w:t>
            </w:r>
          </w:p>
        </w:tc>
        <w:tc>
          <w:tcPr>
            <w:tcW w:w="5860" w:type="dxa"/>
            <w:vAlign w:val="bottom"/>
            <w:gridSpan w:val="10"/>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wp:posOffset>
            </wp:positionV>
            <wp:extent cx="518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79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31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product candidates, clinical development plans and expectations, prospective products, product approvals, research and development costs, timing and likelihood of success, and plans and objectives of management for future operations and results,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risks, uncertainties and assumptions described under the sections in this Annual Report on Form 10-K titled “Risk Factors” and “Management’s Discussion and Analysis of Financial Condition and Results of Operations.” These forward-looking statements are subject to numerous risks, including, without limitation, the following:</w:t>
      </w:r>
    </w:p>
    <w:p>
      <w:pPr>
        <w:spacing w:after="0" w:line="201" w:lineRule="exact"/>
        <w:rPr>
          <w:sz w:val="20"/>
          <w:szCs w:val="20"/>
          <w:color w:val="auto"/>
        </w:rPr>
      </w:pPr>
    </w:p>
    <w:p>
      <w:pPr>
        <w:ind w:left="840" w:right="8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aglatimagene besadenovec (referred to herein as aglatimagene and previously as CAN-2409) and linoserpaturev (referred to previously as CAN-3110) and any other product candidates;</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aglatimagene and linoserpaturev and any other product candidates;</w:t>
      </w:r>
    </w:p>
    <w:p>
      <w:pPr>
        <w:spacing w:after="0" w:line="38"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46" w:lineRule="exact"/>
        <w:rPr>
          <w:rFonts w:ascii="Times New Roman" w:cs="Times New Roman" w:eastAsia="Times New Roman" w:hAnsi="Times New Roman"/>
          <w:sz w:val="17"/>
          <w:szCs w:val="17"/>
          <w:color w:val="auto"/>
        </w:rPr>
      </w:pPr>
    </w:p>
    <w:p>
      <w:pPr>
        <w:ind w:left="840" w:right="42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aglatimagene and linoserpaturev or any other product candidates that we may identify or develop;</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38" w:lineRule="exact"/>
        <w:rPr>
          <w:rFonts w:ascii="Times New Roman" w:cs="Times New Roman" w:eastAsia="Times New Roman" w:hAnsi="Times New Roman"/>
          <w:sz w:val="17"/>
          <w:szCs w:val="17"/>
          <w:color w:val="auto"/>
        </w:rPr>
      </w:pPr>
    </w:p>
    <w:p>
      <w:pPr>
        <w:ind w:left="840" w:right="400" w:hanging="368"/>
        <w:spacing w:after="0" w:line="256"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ind w:left="840" w:right="64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aglatimagene, linoserpaturev or any other product candidates that we may pursue;</w:t>
      </w:r>
    </w:p>
    <w:p>
      <w:pPr>
        <w:ind w:left="840" w:right="120" w:hanging="368"/>
        <w:spacing w:after="0" w:line="244"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aglatimagene, linoserpaturev or any other product candidate in conformity with our specifications and the U.S. Food and Drug Administration’s (FDA) requirements and to scale up manufacturing of our product candidates to commercial scale, if approved;</w:t>
      </w:r>
    </w:p>
    <w:p>
      <w:pPr>
        <w:spacing w:after="0" w:line="1" w:lineRule="exact"/>
        <w:rPr>
          <w:rFonts w:ascii="Times New Roman" w:cs="Times New Roman" w:eastAsia="Times New Roman" w:hAnsi="Times New Roman"/>
          <w:sz w:val="17"/>
          <w:szCs w:val="17"/>
          <w:color w:val="auto"/>
        </w:rPr>
      </w:pPr>
    </w:p>
    <w:p>
      <w:pPr>
        <w:ind w:left="840" w:right="480" w:hanging="368"/>
        <w:spacing w:after="0" w:line="256"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restrictions that the terms of the RTW Purchase Agreement (as defined below) currently impose, and that the terms of the RTW Purchase Agreement will impose on our operating and financial flexibility;</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33" w:lineRule="exact"/>
        <w:rPr>
          <w:rFonts w:ascii="Times New Roman" w:cs="Times New Roman" w:eastAsia="Times New Roman" w:hAnsi="Times New Roman"/>
          <w:sz w:val="17"/>
          <w:szCs w:val="17"/>
          <w:color w:val="auto"/>
        </w:rPr>
      </w:pPr>
    </w:p>
    <w:p>
      <w:pPr>
        <w:ind w:left="840" w:right="320" w:hanging="368"/>
        <w:spacing w:after="0" w:line="256"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left="840" w:hanging="368"/>
        <w:spacing w:after="0"/>
        <w:tabs>
          <w:tab w:leader="none" w:pos="8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 Item 1A - Risk Factors in this Annual Report on Form 10-K.</w:t>
      </w:r>
    </w:p>
    <w:p>
      <w:pPr>
        <w:spacing w:after="0" w:line="19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occur, and actual results could differ materially from those projected in the forward-looking statements. Moreover,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completely and with the understanding that our actual future results may be materially different from what we expect. We qualify that all of our forward-looking statements by these cautionary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"Candel", "we", "us", "our", or the "Company" mean Candel Therapeutics, Inc. and its subsidiary.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of the Material and Other Risks Associated with Our Business</w:t>
      </w:r>
    </w:p>
    <w:p>
      <w:pPr>
        <w:spacing w:after="0" w:line="156" w:lineRule="exact"/>
        <w:rPr>
          <w:sz w:val="20"/>
          <w:szCs w:val="20"/>
          <w:color w:val="auto"/>
        </w:rPr>
      </w:pPr>
    </w:p>
    <w:p>
      <w:pPr>
        <w:jc w:val="both"/>
        <w:ind w:right="400"/>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 Item 1A - Risk Factors in this Annual Report on Form 10-K.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20" w:hanging="503"/>
        <w:spacing w:after="0" w:line="249"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We will need to raise substantial additional funding. If we are unable to raise capital when needed, we would be forced to delay, reduce or eliminate some of our product development programs or commercialization efforts or initiate steps to cease operations.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aglatimagene, linoserpaturev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240" w:hanging="503"/>
        <w:spacing w:after="0" w:line="243"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aglatimagene, linoserpaturev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with respect to the study design of our pivotal phase 3 clinical trial of aglatimagene in newly diagnosed localized prostate cancer in intermediate and high-risk patients does not guarantee any particular outcome from regulatory review, including ultimate approval, and may not lead to a successful review or approval process.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5" w:name="page6"/>
    <w:bookmarkEnd w:id="5"/>
    <w:p>
      <w:pPr>
        <w:ind w:left="503" w:right="40" w:hanging="503"/>
        <w:spacing w:after="0" w:line="249" w:lineRule="auto"/>
        <w:tabs>
          <w:tab w:leader="none" w:pos="503"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65"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503" w:right="340" w:hanging="503"/>
        <w:spacing w:after="0" w:line="266" w:lineRule="auto"/>
        <w:tabs>
          <w:tab w:leader="none" w:pos="503"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or ongoing geopolitical conflicts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503" w:right="520" w:hanging="503"/>
        <w:spacing w:after="0" w:line="249" w:lineRule="auto"/>
        <w:tabs>
          <w:tab w:leader="none" w:pos="503"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503" w:hanging="503"/>
        <w:spacing w:after="0" w:line="249" w:lineRule="auto"/>
        <w:tabs>
          <w:tab w:leader="none" w:pos="503"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503" w:right="120" w:hanging="503"/>
        <w:spacing w:after="0" w:line="266" w:lineRule="auto"/>
        <w:tabs>
          <w:tab w:leader="none" w:pos="503"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51" w:lineRule="exact"/>
        <w:rPr>
          <w:rFonts w:ascii="Times New Roman" w:cs="Times New Roman" w:eastAsia="Times New Roman" w:hAnsi="Times New Roman"/>
          <w:sz w:val="17"/>
          <w:szCs w:val="17"/>
          <w:color w:val="auto"/>
        </w:rPr>
      </w:pPr>
    </w:p>
    <w:p>
      <w:pPr>
        <w:ind w:left="503" w:hanging="503"/>
        <w:spacing w:after="0" w:line="243" w:lineRule="auto"/>
        <w:tabs>
          <w:tab w:leader="none" w:pos="503"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80" w:lineRule="exact"/>
        <w:rPr>
          <w:sz w:val="20"/>
          <w:szCs w:val="20"/>
          <w:color w:val="auto"/>
        </w:rPr>
      </w:pPr>
    </w:p>
    <w:p>
      <w:pPr>
        <w:jc w:val="center"/>
        <w:ind w:right="477"/>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477520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97"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induction of immunogenic cell death within the tumor microenvironment, thus releasing tumor neo-antigens and creating a pro-inflammatory microenvironment at the site of injection. This is intended to lead to in-situ immunization against the injected tumor and uninjected distant metastases. Local administration is designed to achieve these therapeutic effects while minimizing systemic exposure and associated toxicity.</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responses in our preclinical studies and clinical trials that may indicate the potential of our product candidates to induce systemic immune response against distal, uninjected tumors, also known as an “abscopal” effect.</w:t>
      </w:r>
    </w:p>
    <w:p>
      <w:pPr>
        <w:spacing w:after="0" w:line="72"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51"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Our most advanced product candidate, aglatimagene besadenovec (referred to herein as aglatimagene and previously as CAN-2409), is an off-the-shelf adenovirus product candidate, administered in conjunction with the prodrug valacyclovir, and has generated promising clinical activity across a range of solid tumor indications. Aglatimagene is being studied in the following ongoing clinical trials:</w:t>
      </w:r>
    </w:p>
    <w:p>
      <w:pPr>
        <w:spacing w:after="0" w:line="69" w:lineRule="exact"/>
        <w:rPr>
          <w:sz w:val="20"/>
          <w:szCs w:val="20"/>
          <w:color w:val="auto"/>
        </w:rPr>
      </w:pPr>
    </w:p>
    <w:p>
      <w:pPr>
        <w:ind w:left="660" w:hanging="278"/>
        <w:spacing w:after="0"/>
        <w:tabs>
          <w:tab w:leader="none" w:pos="6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58" w:lineRule="exact"/>
        <w:rPr>
          <w:sz w:val="20"/>
          <w:szCs w:val="20"/>
          <w:color w:val="auto"/>
        </w:rPr>
      </w:pPr>
    </w:p>
    <w:p>
      <w:pPr>
        <w:ind w:left="1240" w:hanging="289"/>
        <w:spacing w:after="0" w:line="243" w:lineRule="auto"/>
        <w:tabs>
          <w:tab w:leader="none" w:pos="12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A pivotal phase 3 randomized, double-blind, placebo-controlled clinical trial in the United States under a Special Protocol Assessment (SPA) with the U.S. Food and Drug Administration (FDA) evaluating patients with newly diagnosed, localized prostate cancer who have an intermediate- or high-risk for progression. The FDA granted Fast Track Designation for the use of aglatimagene for the treatment of localized, primary prostate cancer in combination with radiation therapy to improve the local control rate.</w:t>
      </w:r>
    </w:p>
    <w:p>
      <w:pPr>
        <w:spacing w:after="0" w:line="71" w:lineRule="exact"/>
        <w:rPr>
          <w:rFonts w:ascii="Times New Roman" w:cs="Times New Roman" w:eastAsia="Times New Roman" w:hAnsi="Times New Roman"/>
          <w:sz w:val="17"/>
          <w:szCs w:val="17"/>
          <w:color w:val="auto"/>
        </w:rPr>
      </w:pPr>
    </w:p>
    <w:p>
      <w:pPr>
        <w:ind w:left="1240" w:hanging="289"/>
        <w:spacing w:after="0" w:line="234" w:lineRule="auto"/>
        <w:tabs>
          <w:tab w:leader="none" w:pos="12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The primary goal of curative treatment for localized prostate cancer is complete tumor eradication, as outlined by National Comprehensive Cancer Network (NCCN) guidelines. However, up to 30% of intermediate- to high-risk patients experience recurrence despite radical therapy, and salvage treatments often carry significant side effects and limited efficacy. Recurrence beyond two years post-treatment is strongly linked to need for salvage anti-cancer therapies, higher rates of metastasis, and prostate cancer-specific mortality after prolonged follow up (&gt;10 years). Studies also show that patients prioritize the perception of being cancer-free and are often willing to risk long-term complications to achieve this. Fear of recurrence remains prevalent, especially after biochemical failure (Hoffman RM et al. Cancer 2003;97:1653-62 ; Jayadevappa R et al. J Clin Oncol 2019;37:964-73</w:t>
      </w:r>
    </w:p>
    <w:p>
      <w:pPr>
        <w:spacing w:after="0" w:line="4" w:lineRule="exact"/>
        <w:rPr>
          <w:rFonts w:ascii="Times New Roman" w:cs="Times New Roman" w:eastAsia="Times New Roman" w:hAnsi="Times New Roman"/>
          <w:sz w:val="17"/>
          <w:szCs w:val="17"/>
          <w:color w:val="auto"/>
        </w:rPr>
      </w:pPr>
    </w:p>
    <w:p>
      <w:pPr>
        <w:ind w:left="1240" w:right="520" w:hanging="4"/>
        <w:spacing w:after="0"/>
        <w:tabs>
          <w:tab w:leader="none" w:pos="1335" w:val="left"/>
        </w:tabs>
        <w:numPr>
          <w:ilvl w:val="1"/>
          <w:numId w:val="8"/>
        </w:numPr>
        <w:rPr>
          <w:rFonts w:ascii="Arial" w:cs="Arial" w:eastAsia="Arial" w:hAnsi="Arial"/>
          <w:sz w:val="17"/>
          <w:szCs w:val="17"/>
          <w:color w:val="auto"/>
        </w:rPr>
      </w:pPr>
      <w:r>
        <w:rPr>
          <w:rFonts w:ascii="Arial" w:cs="Arial" w:eastAsia="Arial" w:hAnsi="Arial"/>
          <w:sz w:val="17"/>
          <w:szCs w:val="17"/>
          <w:color w:val="auto"/>
        </w:rPr>
        <w:t>Nilsson R et al. Eur Urol Open Sci 2021;25:44-51). Therefore, this study aimed to assess whether adding aglatimagene plus valacyclovir to standard of care (SoC) radiotherapy could improve disease-free survival (DFS) in patients pursuing curative treatment, a primary endpoint established in the SPA with the FDA. We completed enrollment of this trial in September 2021.</w:t>
      </w:r>
    </w:p>
    <w:p>
      <w:pPr>
        <w:spacing w:after="0" w:line="72" w:lineRule="exact"/>
        <w:rPr>
          <w:rFonts w:ascii="Arial" w:cs="Arial" w:eastAsia="Arial" w:hAnsi="Arial"/>
          <w:sz w:val="17"/>
          <w:szCs w:val="17"/>
          <w:color w:val="auto"/>
        </w:rPr>
      </w:pPr>
    </w:p>
    <w:p>
      <w:pPr>
        <w:ind w:left="2040" w:right="120" w:hanging="505"/>
        <w:spacing w:after="0" w:line="238" w:lineRule="auto"/>
        <w:tabs>
          <w:tab w:leader="none" w:pos="2040" w:val="left"/>
        </w:tabs>
        <w:numPr>
          <w:ilvl w:val="2"/>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announced positive topline data from our phase 3 clinical trial. This randomized, double-blind, placebo-controlled, multicenter clinical trial enrolled 745 patients (intent to treat population (ITT)) to evaluate the effectiveness and safety of aglatimagene plus prodrug (valacyclovir) viral immunotherapy in combination with SoC external beam radiation therapy to improve DFS in patients with intermediate- to high-risk (single high-risk feature), localized prostate cancer. Patients were randomized 2:1 (496 in aglatimagene + prodrug and 249 in placebo + prodrug). Both arms received standard of care external beam radiation therapy (EBRT) +/- short course androgen deprivation therapy (ADT) (≤6 months) and were stratified by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 w:name="page8"/>
    <w:bookmarkEnd w:id="7"/>
    <w:p>
      <w:pPr>
        <w:ind w:left="920" w:right="40"/>
        <w:spacing w:after="0" w:line="232" w:lineRule="auto"/>
        <w:rPr>
          <w:sz w:val="20"/>
          <w:szCs w:val="20"/>
          <w:color w:val="auto"/>
        </w:rPr>
      </w:pPr>
      <w:r>
        <w:rPr>
          <w:rFonts w:ascii="Arial" w:cs="Arial" w:eastAsia="Arial" w:hAnsi="Arial"/>
          <w:sz w:val="17"/>
          <w:szCs w:val="17"/>
          <w:color w:val="auto"/>
        </w:rPr>
        <w:t xml:space="preserve">NCCN risk group and ADT use. Three intraprostatic injections of aglatimagene (5x10 </w:t>
      </w:r>
      <w:r>
        <w:rPr>
          <w:rFonts w:ascii="Arial" w:cs="Arial" w:eastAsia="Arial" w:hAnsi="Arial"/>
          <w:sz w:val="22"/>
          <w:szCs w:val="22"/>
          <w:color w:val="auto"/>
          <w:vertAlign w:val="superscript"/>
        </w:rPr>
        <w:t>11</w:t>
      </w:r>
      <w:r>
        <w:rPr>
          <w:rFonts w:ascii="Arial" w:cs="Arial" w:eastAsia="Arial" w:hAnsi="Arial"/>
          <w:sz w:val="17"/>
          <w:szCs w:val="17"/>
          <w:color w:val="auto"/>
        </w:rPr>
        <w:t>vp/2mL) or placebo were administered, each followed by 14 days of prodrug. The median follow-up time for the recruited population was 50.3 months. The primary outcome measure, DFS, included the evaluation of post-treatment biopsies, performed at two years from the end of radiation, for the presence of tumor recurrence. Local or systemic recurrence and death from any cause were also part of the primary endpoint.</w:t>
      </w:r>
    </w:p>
    <w:p>
      <w:pPr>
        <w:spacing w:after="0" w:line="77" w:lineRule="exact"/>
        <w:rPr>
          <w:sz w:val="20"/>
          <w:szCs w:val="20"/>
          <w:color w:val="auto"/>
        </w:rPr>
      </w:pPr>
    </w:p>
    <w:p>
      <w:pPr>
        <w:ind w:left="920" w:right="640"/>
        <w:spacing w:after="0" w:line="267" w:lineRule="auto"/>
        <w:rPr>
          <w:sz w:val="20"/>
          <w:szCs w:val="20"/>
          <w:color w:val="auto"/>
        </w:rPr>
      </w:pPr>
      <w:r>
        <w:rPr>
          <w:rFonts w:ascii="Arial" w:cs="Arial" w:eastAsia="Arial" w:hAnsi="Arial"/>
          <w:sz w:val="17"/>
          <w:szCs w:val="17"/>
          <w:color w:val="auto"/>
        </w:rPr>
        <w:t>The study met its primary endpoint, demonstrating a statistically significant improvement in DFS in patients in the aglatimagene arm compared to the placebo arm. Key topline results include:</w:t>
      </w:r>
    </w:p>
    <w:p>
      <w:pPr>
        <w:spacing w:after="0" w:line="51" w:lineRule="exact"/>
        <w:rPr>
          <w:sz w:val="20"/>
          <w:szCs w:val="20"/>
          <w:color w:val="auto"/>
        </w:rPr>
      </w:pPr>
    </w:p>
    <w:p>
      <w:pPr>
        <w:ind w:left="1440" w:right="80" w:hanging="516"/>
        <w:spacing w:after="0" w:line="243" w:lineRule="auto"/>
        <w:tabs>
          <w:tab w:leader="none" w:pos="144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The primary endpoint, as agreed with the FDA under a SPA, was met: statistically significant improvement in DFS for aglatimagene plus radiation therapy (n=496) vs. placebo plus radiation therapy (n=249) (p=0.0155; HR 0.70; 95% CI; 0.52 to 0.94). Median DFS was not reached for the aglatimagene treatment arm vs. 86.1 months in the placebo arm.</w:t>
      </w:r>
    </w:p>
    <w:p>
      <w:pPr>
        <w:spacing w:after="0" w:line="71" w:lineRule="exact"/>
        <w:rPr>
          <w:rFonts w:ascii="Times New Roman" w:cs="Times New Roman" w:eastAsia="Times New Roman" w:hAnsi="Times New Roman"/>
          <w:sz w:val="17"/>
          <w:szCs w:val="17"/>
          <w:color w:val="auto"/>
        </w:rPr>
      </w:pPr>
    </w:p>
    <w:p>
      <w:pPr>
        <w:ind w:left="1440" w:hanging="516"/>
        <w:spacing w:after="0"/>
        <w:tabs>
          <w:tab w:leader="none" w:pos="144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This result was supported by secondary and exploratory endpoints:</w:t>
      </w:r>
    </w:p>
    <w:p>
      <w:pPr>
        <w:spacing w:after="0" w:line="114" w:lineRule="exact"/>
        <w:rPr>
          <w:rFonts w:ascii="Times New Roman" w:cs="Times New Roman" w:eastAsia="Times New Roman" w:hAnsi="Times New Roman"/>
          <w:sz w:val="17"/>
          <w:szCs w:val="17"/>
          <w:color w:val="auto"/>
        </w:rPr>
      </w:pPr>
    </w:p>
    <w:p>
      <w:pPr>
        <w:jc w:val="center"/>
        <w:ind w:left="1940" w:right="44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improvement in prostate cancer-specific DFS (exclusion of non-prostate cancer related deaths) in the aglatimagene arm vs. placebo (p=0.0046; HR 0.62, 95% CI 0.44 to 0.87)</w:t>
      </w:r>
    </w:p>
    <w:p>
      <w:pPr>
        <w:spacing w:after="0" w:line="51" w:lineRule="exact"/>
        <w:rPr>
          <w:rFonts w:ascii="Times New Roman" w:cs="Times New Roman" w:eastAsia="Times New Roman" w:hAnsi="Times New Roman"/>
          <w:sz w:val="17"/>
          <w:szCs w:val="17"/>
          <w:color w:val="auto"/>
        </w:rPr>
      </w:pPr>
    </w:p>
    <w:p>
      <w:pPr>
        <w:ind w:left="1940" w:right="30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Exploratory subset analysis showed that improvement in prostate cancer-specific DFS was observed, independent of the use of short-term ADT and independent of the type of EBRT (conventional EBRT vs. moderate hypofractionated EBRT)</w:t>
      </w:r>
    </w:p>
    <w:p>
      <w:pPr>
        <w:spacing w:after="0" w:line="66" w:lineRule="exact"/>
        <w:rPr>
          <w:rFonts w:ascii="Times New Roman" w:cs="Times New Roman" w:eastAsia="Times New Roman" w:hAnsi="Times New Roman"/>
          <w:sz w:val="17"/>
          <w:szCs w:val="17"/>
          <w:color w:val="auto"/>
        </w:rPr>
      </w:pPr>
    </w:p>
    <w:p>
      <w:pPr>
        <w:ind w:left="1940" w:right="34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increase in the proportion of patients achieving a prostate-specific antigen (PSA) nadir (&lt;0.2 ng/ml) in the aglatimagene arm compared to the placebo control arm (67.1% vs. 58.6%, respectively; p=0.0164)</w:t>
      </w:r>
    </w:p>
    <w:p>
      <w:pPr>
        <w:spacing w:after="0" w:line="66" w:lineRule="exact"/>
        <w:rPr>
          <w:rFonts w:ascii="Times New Roman" w:cs="Times New Roman" w:eastAsia="Times New Roman" w:hAnsi="Times New Roman"/>
          <w:sz w:val="17"/>
          <w:szCs w:val="17"/>
          <w:color w:val="auto"/>
        </w:rPr>
      </w:pPr>
    </w:p>
    <w:p>
      <w:pPr>
        <w:ind w:left="194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increase in the proportion of patients with a pathological complete response in 2-year post-treatment biopsies (80.4% in the aglatimagene arm vs. 63.6% in the control arm; p=0.0015)</w:t>
      </w:r>
    </w:p>
    <w:p>
      <w:pPr>
        <w:spacing w:after="0" w:line="51" w:lineRule="exact"/>
        <w:rPr>
          <w:rFonts w:ascii="Times New Roman" w:cs="Times New Roman" w:eastAsia="Times New Roman" w:hAnsi="Times New Roman"/>
          <w:sz w:val="17"/>
          <w:szCs w:val="17"/>
          <w:color w:val="auto"/>
        </w:rPr>
      </w:pPr>
    </w:p>
    <w:p>
      <w:pPr>
        <w:ind w:left="920" w:right="120" w:hanging="505"/>
        <w:spacing w:after="0" w:line="249" w:lineRule="auto"/>
        <w:tabs>
          <w:tab w:leader="none" w:pos="9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Aglatimagene was generally well tolerated. The most common aglatimagene-related adverse events were flu-like symptoms, fever and chills, which were generally mild to moderate in severity and self-limited. There was no increase in serious adverse events after aglatimagene administration vs. placebo.</w:t>
      </w:r>
    </w:p>
    <w:p>
      <w:pPr>
        <w:spacing w:after="0" w:line="65" w:lineRule="exact"/>
        <w:rPr>
          <w:rFonts w:ascii="Times New Roman" w:cs="Times New Roman" w:eastAsia="Times New Roman" w:hAnsi="Times New Roman"/>
          <w:sz w:val="17"/>
          <w:szCs w:val="17"/>
          <w:color w:val="auto"/>
        </w:rPr>
      </w:pPr>
    </w:p>
    <w:p>
      <w:pPr>
        <w:jc w:val="both"/>
        <w:ind w:left="920" w:right="500" w:hanging="505"/>
        <w:spacing w:after="0" w:line="249" w:lineRule="auto"/>
        <w:tabs>
          <w:tab w:leader="none" w:pos="9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May 2025, after submission of these topline data to the FDA, we announced that the FDA granted Regenerative Medicine Advanced Therapy (RMAT) Designation for aglatimagene for the treatment of newly diagnosed, localized prostate cancer in patients with intermediate- to high-risk disease.</w:t>
      </w:r>
    </w:p>
    <w:p>
      <w:pPr>
        <w:spacing w:after="0" w:line="65" w:lineRule="exact"/>
        <w:rPr>
          <w:rFonts w:ascii="Times New Roman" w:cs="Times New Roman" w:eastAsia="Times New Roman" w:hAnsi="Times New Roman"/>
          <w:sz w:val="17"/>
          <w:szCs w:val="17"/>
          <w:color w:val="auto"/>
        </w:rPr>
      </w:pPr>
    </w:p>
    <w:p>
      <w:pPr>
        <w:ind w:left="920" w:right="20" w:hanging="505"/>
        <w:spacing w:after="0" w:line="249" w:lineRule="auto"/>
        <w:tabs>
          <w:tab w:leader="none" w:pos="9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June 2025, the results from the positive phase 3 clinical trial of aglatimagene in patients with intermediate- to high-risk, localized prostate cancer were presented in an oral session at the Annual Meeting of the American Society of Clinical Oncology (ASCO).</w:t>
      </w:r>
    </w:p>
    <w:p>
      <w:pPr>
        <w:spacing w:after="0" w:line="65" w:lineRule="exact"/>
        <w:rPr>
          <w:rFonts w:ascii="Times New Roman" w:cs="Times New Roman" w:eastAsia="Times New Roman" w:hAnsi="Times New Roman"/>
          <w:sz w:val="17"/>
          <w:szCs w:val="17"/>
          <w:color w:val="auto"/>
        </w:rPr>
      </w:pPr>
    </w:p>
    <w:p>
      <w:pPr>
        <w:ind w:left="920" w:right="120" w:hanging="505"/>
        <w:spacing w:after="0" w:line="238" w:lineRule="auto"/>
        <w:tabs>
          <w:tab w:leader="none" w:pos="9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September 2025, we presented subgroup analysis of the phase 3 clinical trial during the Annual Meeting of the American Society for Radiation Oncology (ASTRO). The data demonstrated that the effect of aglatimagene on prostate-specific DFS was independent of the type of radiotherapy used (conventional EBRT vs. moderate hypofractionated EBRT). For moderate EBRT, the hazard ratio (HR) was 0.52 (95% CI: 0.30–0.93), and for conventional EBRT, the HR was 0.76 (95% CI: 0.53–1.07). Subgroup analyses of prostate cancer-specific DFS demonstrated that aglatimagene outperformed standard of care across all categories, with HRs ranging from 0.49 in patients with intermediate-risk favorable prostate cancer to 0.69 in patients with high-risk disease.</w:t>
      </w:r>
    </w:p>
    <w:p>
      <w:pPr>
        <w:spacing w:after="0" w:line="73" w:lineRule="exact"/>
        <w:rPr>
          <w:rFonts w:ascii="Times New Roman" w:cs="Times New Roman" w:eastAsia="Times New Roman" w:hAnsi="Times New Roman"/>
          <w:sz w:val="17"/>
          <w:szCs w:val="17"/>
          <w:color w:val="auto"/>
        </w:rPr>
      </w:pPr>
    </w:p>
    <w:p>
      <w:pPr>
        <w:ind w:left="920" w:right="360" w:hanging="505"/>
        <w:spacing w:after="0" w:line="266" w:lineRule="auto"/>
        <w:tabs>
          <w:tab w:leader="none" w:pos="9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announce supportive data on prostate cancer-specific outcomes (prostate cancer-specific DFS, time to salvage anti-cancer therapy, and time to metastasis) after extended follow-up in the second quarter of 2026.</w:t>
      </w:r>
    </w:p>
    <w:p>
      <w:pPr>
        <w:spacing w:after="0" w:line="51" w:lineRule="exact"/>
        <w:rPr>
          <w:rFonts w:ascii="Times New Roman" w:cs="Times New Roman" w:eastAsia="Times New Roman" w:hAnsi="Times New Roman"/>
          <w:sz w:val="17"/>
          <w:szCs w:val="17"/>
          <w:color w:val="auto"/>
        </w:rPr>
      </w:pPr>
    </w:p>
    <w:p>
      <w:pPr>
        <w:ind w:left="920" w:right="640" w:hanging="505"/>
        <w:spacing w:after="0" w:line="266" w:lineRule="auto"/>
        <w:tabs>
          <w:tab w:leader="none" w:pos="9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addition, in the third quarter of 2026, we expect to present novel immunological biomarker data in patients with localized prostate cancer.</w:t>
      </w: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106" w:right="379" w:bottom="1440" w:gutter="0" w:footer="0" w:header="0"/>
        </w:sectPr>
      </w:pPr>
    </w:p>
    <w:bookmarkStart w:id="8" w:name="page9"/>
    <w:bookmarkEnd w:id="8"/>
    <w:p>
      <w:pPr>
        <w:ind w:left="1660" w:right="40" w:hanging="505"/>
        <w:spacing w:after="0" w:line="266" w:lineRule="auto"/>
        <w:tabs>
          <w:tab w:leader="none" w:pos="166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are in ongoing dialogue with the FDA in preparation for the Company’s anticipated submission of a Biologics License Application (BLA) for aglatimagene in prostate cancer in the fourth quarter of 2026.</w:t>
      </w:r>
    </w:p>
    <w:p>
      <w:pPr>
        <w:spacing w:after="0" w:line="52" w:lineRule="exact"/>
        <w:rPr>
          <w:sz w:val="20"/>
          <w:szCs w:val="20"/>
          <w:color w:val="auto"/>
        </w:rPr>
      </w:pPr>
    </w:p>
    <w:p>
      <w:pPr>
        <w:ind w:left="860" w:right="480" w:hanging="289"/>
        <w:spacing w:after="0" w:line="266" w:lineRule="auto"/>
        <w:tabs>
          <w:tab w:leader="none" w:pos="86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double-blind, placebo-controlled clinical trial in the United States evaluating patients with low- to intermediate-risk, localized prostate cancer undergoing active surveillance. We completed enrollment of this trial in May 2019.</w:t>
      </w:r>
    </w:p>
    <w:p>
      <w:pPr>
        <w:spacing w:after="0" w:line="51" w:lineRule="exact"/>
        <w:rPr>
          <w:rFonts w:ascii="Times New Roman" w:cs="Times New Roman" w:eastAsia="Times New Roman" w:hAnsi="Times New Roman"/>
          <w:sz w:val="17"/>
          <w:szCs w:val="17"/>
          <w:color w:val="auto"/>
        </w:rPr>
      </w:pPr>
    </w:p>
    <w:p>
      <w:pPr>
        <w:ind w:left="1660" w:right="20" w:hanging="505"/>
        <w:spacing w:after="0" w:line="236" w:lineRule="auto"/>
        <w:tabs>
          <w:tab w:leader="none" w:pos="16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reported that this phase 2 clinical trial of aglatimagene monotherapy in 190 patients with low- to intermediate-risk, localized prostate cancer undergoing active surveillance showed a trend toward improvement in time to radical treatment and the percentage of patients achieving negative (prostate cancer-free) biopsies at 1-year post-treatment. However, these differences did not reach statistical significance, which might be explained by 1) the fact that the study was not statistically powered for the primary endpoint (progression-free survival), 2) ~70% of patients had low-risk disease (which makes it more difficult to detect a treatment effect), 3) patients received only 2 administrations of aglatimagene rather than 3 as used in the phase 3 clinical trial described above, and 4) patients did not receive radiotherapy (preclinical models of prostate cancer have shown synergy between aglatimagene and radiotherapy in this specific indication). Aglatimagene was generally well tolerated. The most common aglatimagene-related adverse events were flu-like symptoms, fever and chills, which were generally mild to moderate in severity and self-limited.</w:t>
      </w:r>
    </w:p>
    <w:p>
      <w:pPr>
        <w:spacing w:after="0" w:line="75" w:lineRule="exact"/>
        <w:rPr>
          <w:sz w:val="20"/>
          <w:szCs w:val="20"/>
          <w:color w:val="auto"/>
        </w:rPr>
      </w:pPr>
    </w:p>
    <w:p>
      <w:pPr>
        <w:ind w:left="1160" w:right="80" w:hanging="514"/>
        <w:spacing w:after="0"/>
        <w:tabs>
          <w:tab w:leader="none" w:pos="1160" w:val="left"/>
        </w:tabs>
        <w:numPr>
          <w:ilvl w:val="1"/>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initiated a phase 2a, open-label, multi-center study evaluating biomarkers and biodistribution and shedding of aglatimagene plus valacyclovir in men with localized, intermediate-risk prostate cancer who are planning to receive EBRT. The study aims to recruit up to 45 patients (30 in the treatment arm and 15 in the control arm treated with EBRT alone). Biosamples (blood, urine, semen) will be collected at specified timepoints. We anticipate that this data will be submitted as part of the BLA filing in the fourth quarter of 2026.</w:t>
      </w:r>
    </w:p>
    <w:p>
      <w:pPr>
        <w:spacing w:after="0" w:line="76"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sz w:val="20"/>
          <w:szCs w:val="20"/>
          <w:color w:val="auto"/>
        </w:rPr>
      </w:pPr>
    </w:p>
    <w:p>
      <w:pPr>
        <w:ind w:left="860" w:right="20" w:hanging="289"/>
        <w:spacing w:after="0" w:line="236" w:lineRule="auto"/>
        <w:tabs>
          <w:tab w:leader="none" w:pos="86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2a clinical trial in the United States evaluating aglatimagene plus valacyclovir in combination with continued PD-(L)1 checkpoint inhibitors in patients with stage III/IV NSCLC who have inadequate response to front line PD-(L)1 checkpoint inhibitor treatments. In April 2023, we announced that the FDA granted Fast Track Designation for aglatimagene plus valacyclovir in combination with pembrolizumab in order to improve survival or delay progression in patients with unresectable stage III or stage IV NSCLC, who are resistant to first line PD-(L)1 inhibitor therapy and who do not have activating molecular driver mutations or have progressed on directed molecular therapy. These patients historically have had an expected median overall survival (mOS) of &lt;12 months when treated with SoC second-line chemotherapy (Reckamp K et al. J Clin Onc 2022;40:2295-2306). The aim of the aglatimagene immunotherapy antitumor strategy is to improve overall survival beyond the median of 12 months in patients treated with two aglatimagene injections and raise the long tail of survival.</w:t>
      </w:r>
    </w:p>
    <w:p>
      <w:pPr>
        <w:spacing w:after="0" w:line="78" w:lineRule="exact"/>
        <w:rPr>
          <w:sz w:val="20"/>
          <w:szCs w:val="20"/>
          <w:color w:val="auto"/>
        </w:rPr>
      </w:pPr>
    </w:p>
    <w:p>
      <w:pPr>
        <w:ind w:left="1160" w:hanging="514"/>
        <w:spacing w:after="0"/>
        <w:tabs>
          <w:tab w:leader="none" w:pos="116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March 2025, we announced overall survival data from this phase 2a clinical trial of aglatimagene in NSCLC:</w:t>
      </w:r>
    </w:p>
    <w:p>
      <w:pPr>
        <w:spacing w:after="0" w:line="114" w:lineRule="exact"/>
        <w:rPr>
          <w:rFonts w:ascii="Times New Roman" w:cs="Times New Roman" w:eastAsia="Times New Roman" w:hAnsi="Times New Roman"/>
          <w:sz w:val="17"/>
          <w:szCs w:val="17"/>
          <w:color w:val="auto"/>
        </w:rPr>
      </w:pPr>
    </w:p>
    <w:p>
      <w:pPr>
        <w:ind w:left="1660" w:hanging="505"/>
        <w:spacing w:after="0" w:line="266" w:lineRule="auto"/>
        <w:tabs>
          <w:tab w:leader="none" w:pos="166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an inadequate response to immune checkpoint inhibitor (ICI) treatment who received 2 aglatimagene plus valacyclovir courses (Cohort 1+2, per protocol population, n=46), mOS was 24.5 months.</w:t>
      </w:r>
    </w:p>
    <w:p>
      <w:pPr>
        <w:spacing w:after="0" w:line="51" w:lineRule="exact"/>
        <w:rPr>
          <w:rFonts w:ascii="Times New Roman" w:cs="Times New Roman" w:eastAsia="Times New Roman" w:hAnsi="Times New Roman"/>
          <w:sz w:val="17"/>
          <w:szCs w:val="17"/>
          <w:color w:val="auto"/>
        </w:rPr>
      </w:pPr>
    </w:p>
    <w:p>
      <w:pPr>
        <w:ind w:left="1660" w:right="40" w:hanging="505"/>
        <w:spacing w:after="0" w:line="243" w:lineRule="auto"/>
        <w:tabs>
          <w:tab w:leader="none" w:pos="166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progressive disease, despite ICI treatment (Cohort 2, per protocol population, n=41), mOS was 21.5 months, which is markedly longer than the 9.8–11.8 months of survival reported in published literature in a similar patient population receiving standard of care of docetaxel second-line chemotherapy (Paz-Ares LG et al, J Clin Oncol 2024;42:2860-2872 ; Ahn MJ et al, J Clin Onc 2024;43:260-272).</w:t>
      </w:r>
    </w:p>
    <w:p>
      <w:pPr>
        <w:spacing w:after="0" w:line="71" w:lineRule="exact"/>
        <w:rPr>
          <w:rFonts w:ascii="Times New Roman" w:cs="Times New Roman" w:eastAsia="Times New Roman" w:hAnsi="Times New Roman"/>
          <w:sz w:val="17"/>
          <w:szCs w:val="17"/>
          <w:color w:val="auto"/>
        </w:rPr>
      </w:pPr>
    </w:p>
    <w:p>
      <w:pPr>
        <w:ind w:left="1660" w:right="20" w:hanging="505"/>
        <w:spacing w:after="0" w:line="249" w:lineRule="auto"/>
        <w:tabs>
          <w:tab w:leader="none" w:pos="166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37% of patients with progressive disease at enrollment were still alive &gt; 24 months after aglatimagene treatment at the time of the March 3, 2025 data cut, suggesting a long tail of survival. 14/15 patients with overall survival &gt; 24 months and 9/9 patients with overall survival &gt; 30 months had non-squamous NSCLC.</w:t>
      </w:r>
    </w:p>
    <w:p>
      <w:pPr>
        <w:spacing w:after="0" w:line="65" w:lineRule="exact"/>
        <w:rPr>
          <w:rFonts w:ascii="Times New Roman" w:cs="Times New Roman" w:eastAsia="Times New Roman" w:hAnsi="Times New Roman"/>
          <w:sz w:val="17"/>
          <w:szCs w:val="17"/>
          <w:color w:val="auto"/>
        </w:rPr>
      </w:pPr>
    </w:p>
    <w:p>
      <w:pPr>
        <w:ind w:left="1660" w:right="280" w:hanging="505"/>
        <w:spacing w:after="0" w:line="266" w:lineRule="auto"/>
        <w:tabs>
          <w:tab w:leader="none" w:pos="166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non-squamous NSCLC and progressive disease despite ICI (Cohort 2, per protocol population, n=33), observed mOS was 25.4 months after aglatimagene treatment.</w:t>
      </w:r>
    </w:p>
    <w:p>
      <w:pPr>
        <w:spacing w:after="0" w:line="51" w:lineRule="exact"/>
        <w:rPr>
          <w:rFonts w:ascii="Times New Roman" w:cs="Times New Roman" w:eastAsia="Times New Roman" w:hAnsi="Times New Roman"/>
          <w:sz w:val="17"/>
          <w:szCs w:val="17"/>
          <w:color w:val="auto"/>
        </w:rPr>
      </w:pPr>
    </w:p>
    <w:p>
      <w:pPr>
        <w:ind w:left="1660" w:right="500" w:hanging="505"/>
        <w:spacing w:after="0" w:line="266" w:lineRule="auto"/>
        <w:tabs>
          <w:tab w:leader="none" w:pos="166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Aglatimagene continued to exhibit a generally favorable safety and tolerability profile during the extended follow-up period.</w:t>
      </w:r>
    </w:p>
    <w:p>
      <w:pPr>
        <w:spacing w:after="0" w:line="16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477520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197" w:right="379" w:bottom="1440" w:gutter="0" w:footer="0" w:header="0"/>
        </w:sectPr>
      </w:pPr>
    </w:p>
    <w:bookmarkStart w:id="9" w:name="page10"/>
    <w:bookmarkEnd w:id="9"/>
    <w:p>
      <w:pPr>
        <w:ind w:left="1540" w:right="200" w:hanging="514"/>
        <w:spacing w:after="0" w:line="266" w:lineRule="auto"/>
        <w:tabs>
          <w:tab w:leader="none" w:pos="15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positive findings, we plan to initiate a pivotal phase 3 clinical trial of aglatimagene in patients with progressive, metastatic, non-squamous NSCLC despite ICI treatment in the second quarter of 2026.</w:t>
      </w:r>
    </w:p>
    <w:p>
      <w:pPr>
        <w:spacing w:after="0" w:line="51" w:lineRule="exact"/>
        <w:rPr>
          <w:rFonts w:ascii="Times New Roman" w:cs="Times New Roman" w:eastAsia="Times New Roman" w:hAnsi="Times New Roman"/>
          <w:sz w:val="17"/>
          <w:szCs w:val="17"/>
          <w:color w:val="auto"/>
        </w:rPr>
      </w:pPr>
    </w:p>
    <w:p>
      <w:pPr>
        <w:ind w:left="1540" w:right="360" w:hanging="514"/>
        <w:spacing w:after="0" w:line="266" w:lineRule="auto"/>
        <w:tabs>
          <w:tab w:leader="none" w:pos="15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announce updated data on OS including data on long-term survival and biomarker analysis from the phase 2a clinical trial in the first quarter of 2026.</w:t>
      </w:r>
    </w:p>
    <w:p>
      <w:pPr>
        <w:spacing w:after="0" w:line="134" w:lineRule="exact"/>
        <w:rPr>
          <w:rFonts w:ascii="Times New Roman" w:cs="Times New Roman" w:eastAsia="Times New Roman" w:hAnsi="Times New Roman"/>
          <w:sz w:val="17"/>
          <w:szCs w:val="17"/>
          <w:color w:val="auto"/>
        </w:rPr>
      </w:pPr>
    </w:p>
    <w:p>
      <w:pPr>
        <w:ind w:left="660" w:hanging="278"/>
        <w:spacing w:after="0"/>
        <w:tabs>
          <w:tab w:leader="none" w:pos="66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12" w:lineRule="exact"/>
        <w:rPr>
          <w:rFonts w:ascii="Times New Roman" w:cs="Times New Roman" w:eastAsia="Times New Roman" w:hAnsi="Times New Roman"/>
          <w:sz w:val="17"/>
          <w:szCs w:val="17"/>
          <w:color w:val="auto"/>
        </w:rPr>
      </w:pPr>
    </w:p>
    <w:p>
      <w:pPr>
        <w:ind w:left="1540" w:right="160" w:hanging="514"/>
        <w:spacing w:after="0" w:line="238" w:lineRule="auto"/>
        <w:tabs>
          <w:tab w:leader="none" w:pos="15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We conducted a randomized controlled phase 2a clinical trial in the United States and Mexico evaluating the activity of aglatimagene in borderline resectable pancreatic ductal adenocarcinoma (PDAC). In December 2023, we announced that the FDA granted Fast Track Designation for aglatimagene plus valacyclovir for the treatment of patients with PDAC to improve overall survival. In April 2024, we announced updated positive overall survival data and supportive biomarker data and also announced that the FDA has granted Orphan Drug Designation for aglatimagene for the treatment of PDAC. In July 2025, we announced that the European Medicines Agency (EMA) has granted Orphan Designation for aglatimagene for the treatment of pancreatic cancer.</w:t>
      </w:r>
    </w:p>
    <w:p>
      <w:pPr>
        <w:spacing w:after="0" w:line="73" w:lineRule="exact"/>
        <w:rPr>
          <w:rFonts w:ascii="Times New Roman" w:cs="Times New Roman" w:eastAsia="Times New Roman" w:hAnsi="Times New Roman"/>
          <w:sz w:val="17"/>
          <w:szCs w:val="17"/>
          <w:color w:val="auto"/>
        </w:rPr>
      </w:pPr>
    </w:p>
    <w:p>
      <w:pPr>
        <w:ind w:left="1540" w:hanging="514"/>
        <w:spacing w:after="0"/>
        <w:tabs>
          <w:tab w:leader="none" w:pos="1540" w:val="left"/>
        </w:tabs>
        <w:numPr>
          <w:ilvl w:val="1"/>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2025, we announced the final analysis of this phase 2a clinical trial of aglatimagene in borderline resectable PDAC:</w:t>
      </w:r>
    </w:p>
    <w:p>
      <w:pPr>
        <w:spacing w:after="0" w:line="114" w:lineRule="exact"/>
        <w:rPr>
          <w:rFonts w:ascii="Times New Roman" w:cs="Times New Roman" w:eastAsia="Times New Roman" w:hAnsi="Times New Roman"/>
          <w:sz w:val="17"/>
          <w:szCs w:val="17"/>
          <w:color w:val="auto"/>
        </w:rPr>
      </w:pPr>
    </w:p>
    <w:p>
      <w:pPr>
        <w:ind w:left="2040" w:right="40" w:hanging="505"/>
        <w:spacing w:after="0" w:line="266" w:lineRule="auto"/>
        <w:tabs>
          <w:tab w:leader="none" w:pos="2040" w:val="left"/>
        </w:tabs>
        <w:numPr>
          <w:ilvl w:val="2"/>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median overall survival after enrollment was 31.4 months in the aglatimagene group versus 12.5 months in the control group.</w:t>
      </w:r>
    </w:p>
    <w:p>
      <w:pPr>
        <w:spacing w:after="0" w:line="51" w:lineRule="exact"/>
        <w:rPr>
          <w:rFonts w:ascii="Times New Roman" w:cs="Times New Roman" w:eastAsia="Times New Roman" w:hAnsi="Times New Roman"/>
          <w:sz w:val="17"/>
          <w:szCs w:val="17"/>
          <w:color w:val="auto"/>
        </w:rPr>
      </w:pPr>
    </w:p>
    <w:p>
      <w:pPr>
        <w:ind w:left="2040" w:right="160" w:hanging="505"/>
        <w:spacing w:after="0"/>
        <w:tabs>
          <w:tab w:leader="none" w:pos="2040" w:val="left"/>
        </w:tabs>
        <w:numPr>
          <w:ilvl w:val="2"/>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3 out of 7 patients who received aglatimagene were still alive at the time of data cut-off (February 20, 2025) with survival of 66.0, 63.6, and 35.8 months, respectively, after enrollment; survival from the time of diagnosis was 73.5, 68.8 and 41.3 months, respectively, for these patients. In contrast, only one out of 6 patients randomized to SoC chemotherapy arm remained alive at the data cutoff; histologic analysis at resection showed intraepithelial neoplasia associated with improved prognosis in this patient.</w:t>
      </w:r>
    </w:p>
    <w:p>
      <w:pPr>
        <w:spacing w:after="0" w:line="74"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2"/>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Median post-progression survival was 21.2 months in the aglatimagene arm vs. 6.4 months in the control arm.</w:t>
      </w:r>
    </w:p>
    <w:p>
      <w:pPr>
        <w:spacing w:after="0" w:line="114" w:lineRule="exact"/>
        <w:rPr>
          <w:rFonts w:ascii="Times New Roman" w:cs="Times New Roman" w:eastAsia="Times New Roman" w:hAnsi="Times New Roman"/>
          <w:sz w:val="17"/>
          <w:szCs w:val="17"/>
          <w:color w:val="auto"/>
        </w:rPr>
      </w:pPr>
    </w:p>
    <w:p>
      <w:pPr>
        <w:ind w:left="2040" w:right="20" w:hanging="505"/>
        <w:spacing w:after="0" w:line="266" w:lineRule="auto"/>
        <w:tabs>
          <w:tab w:leader="none" w:pos="2040" w:val="left"/>
        </w:tabs>
        <w:numPr>
          <w:ilvl w:val="2"/>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In October 2025, we decided to pause on further clinical development of aglatimagene in PDAC, in the context of portfolio prioritization, unless externally funded through a grant or other non-dilutive external funding.</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lead HSV-based product candidate, linoserpaturev (referred to previously as CAN-3110), is currently being evaluated in an ongoing investigator-sponsored phase 1b clinical trial in the initial target indication of recurrent high-grade glioma (HGG). Patients recruited in this study have previously failed SoC treatment and have a poor prognosis (expected overall survival &lt; 6-9 months).</w:t>
      </w:r>
    </w:p>
    <w:p>
      <w:pPr>
        <w:spacing w:after="0" w:line="6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In October 2023, we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overall survival associated with immune activation in patients with recurrent HGG treated with linoserpaturev. Notably, data reported an increased survival in the 66% of patients with positivity for anti-HSV1 antibodies (mOS of 14.2 months). Immune status was positively associated with survival both in patients with pre-existing HSV1 antibodies (pre-treatment) and in 33% of patients who, while negative at baseline, developed anti-HSV1 antibodies after a single injection of linoserpaturev. Clinical responses were observed in both injected and uninjected lesions in patients with multifocal disease. Significant tumor responses were observed in both arm A and arm B of this study.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who were able to mount a diverse immune response against the virus and tumor antigens released during the oncolytic process after linoserpaturev administration, had improved survival.</w:t>
      </w:r>
    </w:p>
    <w:p>
      <w:pPr>
        <w:spacing w:after="0" w:line="7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February 2024, we announced that the FDA granted Fast Track Designation for linoserpaturev for the treatment of patients with recurrent HGG to improve overall survival. In May 2024, we also announced that the FDA granted Orphan Drug Designation for linoserpaturev for the treatment of recurrent HGG.</w:t>
      </w:r>
    </w:p>
    <w:p>
      <w:pPr>
        <w:spacing w:after="0" w:line="67"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November 2024, during the Society for Immunotherapy of Cancer (SITC) Annual Meeting, we presented data demonstrating the antitumor activity of linoserpaturev in preclinical models of melanoma, a tumor characterized by high Nestin expression, frequent loss-of-function in CDKN2A, and alterations in the Ras-Raf signaling pathway. This data supports the potential to expand the evaluation of linoserpaturev into tumors beyond recurrent HGG, creating a potential pipeline in a product.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spacing w:after="0" w:line="235" w:lineRule="auto"/>
        <w:rPr>
          <w:sz w:val="20"/>
          <w:szCs w:val="20"/>
          <w:color w:val="auto"/>
        </w:rPr>
      </w:pPr>
      <w:r>
        <w:rPr>
          <w:rFonts w:ascii="Arial" w:cs="Arial" w:eastAsia="Arial" w:hAnsi="Arial"/>
          <w:sz w:val="17"/>
          <w:szCs w:val="17"/>
          <w:color w:val="auto"/>
        </w:rPr>
        <w:t>We are conducting an extension of the clinical trial (arm C), in which patients with recurrent glioblastoma receive a repeat dosing regimen of linoserpaturev (up to six injections over four months). Clinical data from arm C will help evaluate whether multiple injections could further improve survival. This clinical trial extension is supported by the Break Through Cancer foundation. In October 2024, at the 16th Annual International Oncolytic Virotherapy Conference (IOVC), we presented initial clinical and biomarker data from Arm C of the linoserpaturev trial. The principal investigator reported improved survival compared to historical controls in patients who received multiple injections of linoserpaturev. Post-treatment longitudinal biopsies showed a near absence of tumor cells with dense lymphocyte infiltration, particularly in patients with post-treatment MRI enhancement, consistent with radiologic pseudo-progression. These findings were reported in a Science Translational Medicine manuscript published in October 2025, which followed two patients from Arm C through 97 serial tumor biopsies. Serial brain biopsy samples showed extensive immune-mediated remodeling of the tumor microenvironment after linoserpaturev administration, characterized by dense lymphocyte infiltration and extensive tumor necrosis (death). One patient achieved a complete pathological response, with clearance of tumor cells from post-treatment biopsies. In contrast, MRI scans for both patients showed apparent tumor enlargement (pseudo-progression), underscoring that conventional imaging criteria may underestimate linoserpaturev’s immunologic activity. These results illustrate the limitations of conventional imaging in evaluating the response to viral immunotherapy in glioblastoma and highlight the importance of overall survival data, supported by histology, in this indication.</w:t>
      </w:r>
    </w:p>
    <w:p>
      <w:pPr>
        <w:spacing w:after="0" w:line="7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October 2025, we also announced updated OS data for Arm A and Arm B as of August 15, 2025. The updated mOS was 11.8 months for arm A (n=41) (CI: 8.3–14.9) and 12.0 months for arm B (n=9) (CI: 10.0–NA), respectively, after a single injection of linoserpaturev. One patient from arm A and one patient from arm B were still alive after prolonged follow-up (59.2 and 42.4 months, respectively, after linoserpaturev administration). At the time of data cutoff, 9 patients in arm C had received multiple administrations of linoserpaturev. At the 1×10⁸ plaque-forming unit (PFU) dose, 3 patients received 4 injections, 1 patient received 5 injections, and 2 patients received 6 injections. At the 1×10⁷ PFU dose, 1 patient received 4 injections, and 2 patients received 5 injections. Median follow-up was 8.9 months. Four out of 9 patients were alive at the time of data cutoff (range 3.1-28.2 months after initiation of linoserpaturev treatment). Five patients had died, of which 3 died more than one year after initiation of linoserpaturev treatment (range 5.5-21.8 months).</w:t>
      </w:r>
    </w:p>
    <w:p>
      <w:pPr>
        <w:spacing w:after="0" w:line="77"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We have recently completed enrollment in arm C, and expect to present mature mOS data and an update on long-term survivors in the fourth quarter of 2026.</w:t>
      </w:r>
    </w:p>
    <w:p>
      <w:pPr>
        <w:spacing w:after="0" w:line="5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January 2026, we received clearance for an IND that will support enabling work for a potential future randomized controlled phase 2 dose regimen finding study of linoserpaturev in recurrent glioblastoma.</w:t>
      </w:r>
    </w:p>
    <w:p>
      <w:pPr>
        <w:spacing w:after="0" w:line="51"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We have also designed additional novel viral immunotherapy candidates using our proprietary enLIGHTEN™ Discovery Platform, a systematic, iterative HSV-based discovery platform leveraging human biology and advanced analytics to create new viral immunotherapy candidates for solid tumors.</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enabling the design of potential combination therapeutics to overcome tumor resistance especially in cancers resistant to immune checkpoint inhibitor treatment.</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88"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In October 2024, during the 16th Annual IOVC, we presented data on a novel biological multimodal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the third preclinical candidate, encoding IL-12 and IL-15. Data included the ability of this asset to induce expansion and activation of natural killer and CD8+ T cells, resulting in significant inhibition of tumor growth and tumor regression in two different tumor models.</w:t>
      </w:r>
    </w:p>
    <w:p>
      <w:pPr>
        <w:spacing w:after="0" w:line="7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We currently own development and commercialization rights for all our programs in major markets, including the United States, Europe and Asia, allowing us to control development and seek approval in these areas as we prepare our commercialization efforts.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 w:name="page12"/>
    <w:bookmarkEnd w:id="11"/>
    <w:p>
      <w:pPr>
        <w:jc w:val="both"/>
        <w:ind w:right="6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we licensed substantially all the assets of Periphagen, a company focused on engineering HSV as a gene therapy vector, and in September 2020, licensed linoserpaturev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goal is to develop first-in class and best-in-class biological multimodal immunotherapies to transform the lives of cancer patients. We plan to develop and commercialize our two most advanced product candidates, aglatimagene and linoserpaturev, for the treatment of a broad range of solid tumor indications, while continuing to build our pipeline through our discovery platform</w:t>
      </w:r>
      <w:r>
        <w:rPr>
          <w:rFonts w:ascii="Arial" w:cs="Arial" w:eastAsia="Arial" w:hAnsi="Arial"/>
          <w:sz w:val="17"/>
          <w:szCs w:val="17"/>
          <w:i w:val="1"/>
          <w:iCs w:val="1"/>
          <w:color w:val="auto"/>
        </w:rPr>
        <w:t>.</w:t>
      </w:r>
      <w:r>
        <w:rPr>
          <w:rFonts w:ascii="Arial" w:cs="Arial" w:eastAsia="Arial" w:hAnsi="Arial"/>
          <w:sz w:val="17"/>
          <w:szCs w:val="17"/>
          <w:color w:val="auto"/>
        </w:rPr>
        <w:t xml:space="preserve"> Key elements of our strategy include the following:</w:t>
      </w:r>
    </w:p>
    <w:p>
      <w:pPr>
        <w:spacing w:after="0" w:line="69" w:lineRule="exact"/>
        <w:rPr>
          <w:sz w:val="20"/>
          <w:szCs w:val="20"/>
          <w:color w:val="auto"/>
        </w:rPr>
      </w:pPr>
    </w:p>
    <w:p>
      <w:pPr>
        <w:ind w:left="1020" w:right="40" w:hanging="503"/>
        <w:spacing w:after="0" w:line="234"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late-stage development of, and seek regulatory approval for, our product candidate, aglatimagene, in newly diagnosed, localized prostate cancer. </w:t>
      </w:r>
      <w:r>
        <w:rPr>
          <w:rFonts w:ascii="Arial" w:cs="Arial" w:eastAsia="Arial" w:hAnsi="Arial"/>
          <w:sz w:val="17"/>
          <w:szCs w:val="17"/>
          <w:color w:val="auto"/>
        </w:rPr>
        <w:t>We reported positive topline data on a potentially registrational phase 3 clinical trial in patients with localized,</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intermediate- and high-risk prostate cancer in combination with SoC radiotherapy. We plan to submit a BLA in the fourth quarter of 2026. We believe that, if approved, aglatimagene could be a first-in-class drug for localized prostate cancer patients. We are approaching our preparations for commercialization of aglatimagene in prostate cancer with the same discipline and flexibility that guides our manufacturing strategy: building specialized partner networks around aglatimagene that can be scaled and reconfigured as conditions evolve. We plan to implement a capital-efficient commercialization model focused on establishing strong relationships with leading investigators, high-volume treatment centers, patient advocacy organizations, and payers to support disease awareness, appropriate patient identification, and patient access. Our largely externalized, collaborative framework integrates our internal clinical and scientific expertise with specialized external capabilities in commercial readiness, distribution, market access, and launch execution. As market conditions, geographic scope, and product maturity warrant, we may selectively internalize certain commercial capabilities, including building a targeted sales organization, where doing so enhances strategic control, operating leverage, and long-term value creation. This approach is designed to enable launch readiness while preserving strategic flexibility, cost discipline, and meaningful long-term economic participation.</w:t>
      </w:r>
    </w:p>
    <w:p>
      <w:pPr>
        <w:spacing w:after="0" w:line="85" w:lineRule="exact"/>
        <w:rPr>
          <w:rFonts w:ascii="Times New Roman" w:cs="Times New Roman" w:eastAsia="Times New Roman" w:hAnsi="Times New Roman"/>
          <w:sz w:val="17"/>
          <w:szCs w:val="17"/>
          <w:color w:val="auto"/>
        </w:rPr>
      </w:pPr>
    </w:p>
    <w:p>
      <w:pPr>
        <w:ind w:left="1020" w:right="38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development of aglatimagene in stage III/IV NSCLC patients with inadequate responses to SoC immune checkpoint inhibitors (ICI). </w:t>
      </w:r>
      <w:r>
        <w:rPr>
          <w:rFonts w:ascii="Arial" w:cs="Arial" w:eastAsia="Arial" w:hAnsi="Arial"/>
          <w:sz w:val="17"/>
          <w:szCs w:val="17"/>
          <w:color w:val="auto"/>
        </w:rPr>
        <w:t>A phase 2 clinical trial that evaluates aglatimagene in combination with ICI has demonstrated improvement in mOS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historical control patients treated with second line docetaxel chemotherapy. In the second quarter of 2026, we plan to initiate a phase 3 study in patients with progressive, metastatic, non-squamous NSCLC despite ICI treatment that will randomize participants to two courses of aglatimagene plus valacyclovir plus continued ICI vs. SoC docetaxel-based chemotherapy.</w:t>
      </w:r>
    </w:p>
    <w:p>
      <w:pPr>
        <w:spacing w:after="0" w:line="74" w:lineRule="exact"/>
        <w:rPr>
          <w:rFonts w:ascii="Times New Roman" w:cs="Times New Roman" w:eastAsia="Times New Roman" w:hAnsi="Times New Roman"/>
          <w:sz w:val="17"/>
          <w:szCs w:val="17"/>
          <w:color w:val="auto"/>
        </w:rPr>
      </w:pPr>
    </w:p>
    <w:p>
      <w:pPr>
        <w:ind w:left="1020" w:hanging="503"/>
        <w:spacing w:after="0" w:line="264"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Perform enabling work for a potential future randomized controlled phase 2 clinical trial of linoserpaturev in recurrent HGG to potentially identify the optimal dosing regimen and improve mOS compared to SoC. </w:t>
      </w:r>
      <w:r>
        <w:rPr>
          <w:rFonts w:ascii="Arial" w:cs="Arial" w:eastAsia="Arial" w:hAnsi="Arial"/>
          <w:sz w:val="17"/>
          <w:szCs w:val="17"/>
          <w:color w:val="auto"/>
        </w:rPr>
        <w:t>We recently obtained clearance for an IND.</w:t>
      </w:r>
    </w:p>
    <w:p>
      <w:pPr>
        <w:spacing w:after="0" w:line="55" w:lineRule="exact"/>
        <w:rPr>
          <w:rFonts w:ascii="Times New Roman" w:cs="Times New Roman" w:eastAsia="Times New Roman" w:hAnsi="Times New Roman"/>
          <w:sz w:val="17"/>
          <w:szCs w:val="17"/>
          <w:color w:val="auto"/>
        </w:rPr>
      </w:pPr>
    </w:p>
    <w:p>
      <w:pPr>
        <w:ind w:left="1020" w:right="6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Leverage our enLIGHTEN™ Discovery Platform to enable rapid vector engineering, generating a range of new candidates in a data driven and indication specific manner, using computational biology and artificial intelligence</w:t>
      </w:r>
      <w:r>
        <w:rPr>
          <w:rFonts w:ascii="Arial" w:cs="Arial" w:eastAsia="Arial" w:hAnsi="Arial"/>
          <w:sz w:val="17"/>
          <w:szCs w:val="17"/>
          <w:color w:val="auto"/>
        </w:rPr>
        <w:t>. We utilize a key attribute of HSV, a high</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for genetic cargo, to enable targeted modifications and deploy indication specific genes to the tumor microenvironment. Our platform is designed to generate both replication-defective and replication-competent agents depending on the demands of a particular application.</w:t>
      </w:r>
    </w:p>
    <w:p>
      <w:pPr>
        <w:spacing w:after="0" w:line="72" w:lineRule="exact"/>
        <w:rPr>
          <w:rFonts w:ascii="Times New Roman" w:cs="Times New Roman" w:eastAsia="Times New Roman" w:hAnsi="Times New Roman"/>
          <w:sz w:val="17"/>
          <w:szCs w:val="17"/>
          <w:color w:val="auto"/>
        </w:rPr>
      </w:pPr>
    </w:p>
    <w:p>
      <w:pPr>
        <w:ind w:left="1020" w:right="20" w:hanging="503"/>
        <w:spacing w:after="0" w:line="23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strategic partnerships to maximize the value of our current and future product candidates. </w:t>
      </w:r>
      <w:r>
        <w:rPr>
          <w:rFonts w:ascii="Arial" w:cs="Arial" w:eastAsia="Arial" w:hAnsi="Arial"/>
          <w:sz w:val="17"/>
          <w:szCs w:val="17"/>
          <w:color w:val="auto"/>
        </w:rPr>
        <w:t>In order to advance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for a large number of patients, we may partner with other companies with complementary resources to maximize the value of our current and future product candidates. Such partnerships may allow us to pair aglatimagene, linoserpaturev, and future product candidates with other novel agents owned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73" w:lineRule="exact"/>
        <w:rPr>
          <w:rFonts w:ascii="Times New Roman" w:cs="Times New Roman" w:eastAsia="Times New Roman" w:hAnsi="Times New Roman"/>
          <w:sz w:val="17"/>
          <w:szCs w:val="17"/>
          <w:color w:val="auto"/>
        </w:rPr>
      </w:pPr>
    </w:p>
    <w:p>
      <w:pPr>
        <w:ind w:left="1020" w:right="40" w:hanging="503"/>
        <w:spacing w:after="0" w:line="23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Ensure commercial-scale manufacturing of our product candidates</w:t>
      </w:r>
      <w:r>
        <w:rPr>
          <w:rFonts w:ascii="Arial" w:cs="Arial" w:eastAsia="Arial" w:hAnsi="Arial"/>
          <w:sz w:val="17"/>
          <w:szCs w:val="17"/>
          <w:color w:val="auto"/>
        </w:rPr>
        <w:t>. We will rely on third party contract manufacturers for commercial-scale manufacturing of both product candidates, aglatimagene and linoserpaturev. For aglatimagene, we have worked with our contract manufacturer (CDMO) to tech transfer, scale up and finalize the manufacturing process for potential commercialization of aglatimagene. The CDMO has performed small scale development runs and has scaled up the process to manufacture four successful and consistent large-scale runs to date. Additionally, the CDMO has manufactured a clinical batch, using the commercial manufacturing process, which will be used to supply clinical trials, after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2" w:name="page13"/>
    <w:bookmarkEnd w:id="12"/>
    <w:p>
      <w:pPr>
        <w:jc w:val="both"/>
        <w:ind w:left="1020"/>
        <w:spacing w:after="0" w:line="244" w:lineRule="auto"/>
        <w:rPr>
          <w:sz w:val="20"/>
          <w:szCs w:val="20"/>
          <w:color w:val="auto"/>
        </w:rPr>
      </w:pPr>
      <w:r>
        <w:rPr>
          <w:rFonts w:ascii="Arial" w:cs="Arial" w:eastAsia="Arial" w:hAnsi="Arial"/>
          <w:sz w:val="17"/>
          <w:szCs w:val="17"/>
          <w:color w:val="auto"/>
        </w:rPr>
        <w:t>completing an in vitro analytical comparability study. We expect to use this material in our phase 3 clinical trial in NSCLC. Our selected CDMO is getting ready to validate the commercial manufacturing process by executing process validation batches to potentially enable filing of a BLA. We expect that our cost-of-goods will be substantially lower than that for cell- and antibody-based therapies because of our high-yield manufacturing process.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Conventional cancer therapies (chemotherapy, radiotherapy and surgery) often do not eradicate 100% of the tumor cells, which often leads to tumor progression or recurrence. Deep and durable responses, therefore, are still elusive for many cancer patients. Traditionally, surgery and/or radiotherapy are used for local tumor debulking, whereas chemotherapeutic agents target systemic eradication of tumor cells. These treatment modalities, however, are often limited by toxicity.</w:t>
      </w:r>
    </w:p>
    <w:p>
      <w:pPr>
        <w:spacing w:after="0" w:line="6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Immunotherapy is a relatively new treatment modality that has expanded the anti-cancer treatment paradigm. FDA-approved immunotherapies include cytokines, cell therapies, and antibodies, including ICIs. Much focus has been placed on harnessing the effector T cell arm of the immune system for tumor specific immunity. Adoptive T cell therapy has shown some positive results but with limited activity in solid tumors and is not scalable for widespread use. Vaccine approaches range in complexity from peptide or mRNA encoded antigens to autologous or allogeneic tumor cell products. The advantage of the single antigen approaches is that they can be easily manufactured and produced. However, they have the fundamental disadvantage of being potentially irrelevant for a patient’s specific tumor or immune system or easily bypassed by resistant clones. Cellular vaccines are not easily scalable and allogeneic vaccines may not bear the relevant antigens expressed by a patient’s tumor. ICIs, such as anti-PD-1 and anti-PD-L1 antibodies, have transformed the treatment paradigm for different cancer indications. However, they do not induce a specific immune response and only approximately 15% to 40% of patients respond to such treatment.</w:t>
      </w:r>
    </w:p>
    <w:p>
      <w:pPr>
        <w:spacing w:after="0" w:line="7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are focused on the development of viral immunotherapy approaches, which are based on an extensive history of research. Originally, the mechanism of action of agents in this class was believed to be merely based on the ability of the virus to induce cancer cell lysis and to resolve tumors. Later, it was demonstrated that viral immunotherapy may induce immunogenic cell death. This effect may be enhanced by the pro-inflammatory effects of viral capsid proteins. With the emergence of ICIs and immunotherapy as a core treatment modality, the importance of the immunostimulatory aspect of viral-mediated approaches became more widely evident. The currently understood generalized mechanism of action of viral immunotherapies like aglatimagene and linoserpaturev is unique in combining both an anti-tumor cytotoxic component and an immune-stimulatory component. Together, these assets lead to an “in-situ vaccination” effect against the injected tumor followed by an effect on uninjected distant metastases.</w:t>
      </w:r>
    </w:p>
    <w:p>
      <w:pPr>
        <w:spacing w:after="0" w:line="76"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Pairing this therapeutic approach with ICI treatment or with radiotherapy is based on a strong mechanistic rationale and has shown promise in experimental models of cancer. It has been observed that tumors that are least responsive to ICI are commonly characterized by low levels of lymphocytic infiltration and low or no PD-L1 expression levels; they are referred to as “cold” tumors. One of our areas of focus is the conversion of immunologically suppressed “cold” tumors into immunologically active “hot” tumors, thereby increasing their responsiveness to ICI or other therapies, such as radiotherapy.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Mechanism of Action of Candel's Viral Immunotherapy Candidates:</w:t>
      </w:r>
    </w:p>
    <w:p>
      <w:pPr>
        <w:spacing w:after="0" w:line="102" w:lineRule="exact"/>
        <w:rPr>
          <w:sz w:val="20"/>
          <w:szCs w:val="20"/>
          <w:color w:val="auto"/>
        </w:rPr>
      </w:pPr>
    </w:p>
    <w:p>
      <w:pPr>
        <w:ind w:left="760" w:right="100" w:hanging="378"/>
        <w:spacing w:after="0" w:line="249"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Direct anti-tumor cytotoxic activity. </w:t>
      </w:r>
      <w:r>
        <w:rPr>
          <w:rFonts w:ascii="Arial" w:cs="Arial" w:eastAsia="Arial" w:hAnsi="Arial"/>
          <w:sz w:val="17"/>
          <w:szCs w:val="17"/>
          <w:color w:val="auto"/>
        </w:rPr>
        <w:t>Tumor-specific viral-mediated oncolysis is achieved by both precise delivery of the engineered virus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tumor as well as the virus’ ability to selectively target a cancer cell. Various approaches have been applied in different programs to increase the specificity and potency of viral toxicity aimed at tumor cells, including genetic modifications and use of prodrugs.</w:t>
      </w:r>
    </w:p>
    <w:p>
      <w:pPr>
        <w:spacing w:after="0" w:line="65" w:lineRule="exact"/>
        <w:rPr>
          <w:rFonts w:ascii="Times New Roman" w:cs="Times New Roman" w:eastAsia="Times New Roman" w:hAnsi="Times New Roman"/>
          <w:sz w:val="17"/>
          <w:szCs w:val="17"/>
          <w:color w:val="auto"/>
        </w:rPr>
      </w:pPr>
    </w:p>
    <w:p>
      <w:pPr>
        <w:ind w:left="760" w:right="140" w:hanging="378"/>
        <w:spacing w:after="0" w:line="243"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Broad stimulation of anti-tumor immunity. </w:t>
      </w:r>
      <w:r>
        <w:rPr>
          <w:rFonts w:ascii="Arial" w:cs="Arial" w:eastAsia="Arial" w:hAnsi="Arial"/>
          <w:sz w:val="17"/>
          <w:szCs w:val="17"/>
          <w:color w:val="auto"/>
        </w:rPr>
        <w:t>The immunogenic cell death driven by oncolysis results in a potent local and systemic immune</w:t>
      </w:r>
      <w:r>
        <w:rPr>
          <w:rFonts w:ascii="Arial" w:cs="Arial" w:eastAsia="Arial" w:hAnsi="Arial"/>
          <w:sz w:val="17"/>
          <w:szCs w:val="17"/>
          <w:i w:val="1"/>
          <w:iCs w:val="1"/>
          <w:color w:val="auto"/>
        </w:rPr>
        <w:t xml:space="preserve"> </w:t>
      </w:r>
      <w:r>
        <w:rPr>
          <w:rFonts w:ascii="Arial" w:cs="Arial" w:eastAsia="Arial" w:hAnsi="Arial"/>
          <w:sz w:val="17"/>
          <w:szCs w:val="17"/>
          <w:color w:val="auto"/>
        </w:rPr>
        <w:t>stimulation, while adenoviral or HSV viral particles induce increased expression of proinflammatory cytokines, chemokines and adhesion molecules. Together, this promotes the activation of both the innate and adaptive arms of the immune system. This broad response commonly includes recruitment and activation of antigen-presenting cells and effector immune cells to the site of the tumor.</w:t>
      </w:r>
    </w:p>
    <w:p>
      <w:pPr>
        <w:spacing w:after="0" w:line="71" w:lineRule="exact"/>
        <w:rPr>
          <w:rFonts w:ascii="Times New Roman" w:cs="Times New Roman" w:eastAsia="Times New Roman" w:hAnsi="Times New Roman"/>
          <w:sz w:val="17"/>
          <w:szCs w:val="17"/>
          <w:color w:val="auto"/>
        </w:rPr>
      </w:pPr>
    </w:p>
    <w:p>
      <w:pPr>
        <w:jc w:val="both"/>
        <w:ind w:left="760" w:right="540" w:hanging="378"/>
        <w:spacing w:after="0" w:line="249"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Priming of the immune system against tumor antigens. </w:t>
      </w:r>
      <w:r>
        <w:rPr>
          <w:rFonts w:ascii="Arial" w:cs="Arial" w:eastAsia="Arial" w:hAnsi="Arial"/>
          <w:sz w:val="17"/>
          <w:szCs w:val="17"/>
          <w:color w:val="auto"/>
        </w:rPr>
        <w:t>The lysis of cancer cells leads to the exposure of tumor-specific antigens to</w:t>
      </w:r>
      <w:r>
        <w:rPr>
          <w:rFonts w:ascii="Arial" w:cs="Arial" w:eastAsia="Arial" w:hAnsi="Arial"/>
          <w:sz w:val="17"/>
          <w:szCs w:val="17"/>
          <w:i w:val="1"/>
          <w:iCs w:val="1"/>
          <w:color w:val="auto"/>
        </w:rPr>
        <w:t xml:space="preserve"> </w:t>
      </w:r>
      <w:r>
        <w:rPr>
          <w:rFonts w:ascii="Arial" w:cs="Arial" w:eastAsia="Arial" w:hAnsi="Arial"/>
          <w:sz w:val="17"/>
          <w:szCs w:val="17"/>
          <w:color w:val="auto"/>
        </w:rPr>
        <w:t>immune cells. This early effect, combined with intratumoral immune cell infiltration and activation, leads to antigen presentation and initiation of a local adaptive immune response targeted against a set of tumor antigens expressed by the patient’s cancer cells.</w:t>
      </w:r>
    </w:p>
    <w:p>
      <w:pPr>
        <w:spacing w:after="0" w:line="65" w:lineRule="exact"/>
        <w:rPr>
          <w:rFonts w:ascii="Times New Roman" w:cs="Times New Roman" w:eastAsia="Times New Roman" w:hAnsi="Times New Roman"/>
          <w:sz w:val="17"/>
          <w:szCs w:val="17"/>
          <w:color w:val="auto"/>
        </w:rPr>
      </w:pPr>
    </w:p>
    <w:p>
      <w:pPr>
        <w:ind w:left="760" w:right="100" w:hanging="378"/>
        <w:spacing w:after="0" w:line="243"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Development of a systemic immune memory response. </w:t>
      </w:r>
      <w:r>
        <w:rPr>
          <w:rFonts w:ascii="Arial" w:cs="Arial" w:eastAsia="Arial" w:hAnsi="Arial"/>
          <w:sz w:val="17"/>
          <w:szCs w:val="17"/>
          <w:color w:val="auto"/>
        </w:rPr>
        <w:t>Viral immunotherapy induces the development of a long-lasting systemic immune</w:t>
      </w:r>
      <w:r>
        <w:rPr>
          <w:rFonts w:ascii="Arial" w:cs="Arial" w:eastAsia="Arial" w:hAnsi="Arial"/>
          <w:sz w:val="17"/>
          <w:szCs w:val="17"/>
          <w:i w:val="1"/>
          <w:iCs w:val="1"/>
          <w:color w:val="auto"/>
        </w:rPr>
        <w:t xml:space="preserve"> </w:t>
      </w:r>
      <w:r>
        <w:rPr>
          <w:rFonts w:ascii="Arial" w:cs="Arial" w:eastAsia="Arial" w:hAnsi="Arial"/>
          <w:sz w:val="17"/>
          <w:szCs w:val="17"/>
          <w:color w:val="auto"/>
        </w:rPr>
        <w:t>surveillance against the multitude of antigens associated with the injected tumor, and consequently, tumor antigens expressed at metastatic sites. This leads to a systemic cytotoxic immune response against the injected tumor and distant metastases; the latter is known as an abscopal effect.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3" w:name="page14"/>
    <w:bookmarkEnd w:id="13"/>
    <w:p>
      <w:pPr>
        <w:ind w:right="60"/>
        <w:spacing w:after="0" w:line="239" w:lineRule="auto"/>
        <w:rPr>
          <w:sz w:val="20"/>
          <w:szCs w:val="20"/>
          <w:color w:val="auto"/>
        </w:rPr>
      </w:pPr>
      <w:r>
        <w:rPr>
          <w:rFonts w:ascii="Arial" w:cs="Arial" w:eastAsia="Arial" w:hAnsi="Arial"/>
          <w:sz w:val="17"/>
          <w:szCs w:val="17"/>
          <w:b w:val="1"/>
          <w:bCs w:val="1"/>
          <w:i w:val="1"/>
          <w:iCs w:val="1"/>
          <w:color w:val="auto"/>
        </w:rPr>
        <w:t xml:space="preserve">Desirable Clinical Properties. </w:t>
      </w:r>
      <w:r>
        <w:rPr>
          <w:rFonts w:ascii="Arial" w:cs="Arial" w:eastAsia="Arial" w:hAnsi="Arial"/>
          <w:sz w:val="17"/>
          <w:szCs w:val="17"/>
          <w:color w:val="auto"/>
        </w:rPr>
        <w:t>We believe Candel's viral immunotherapy candidates have attributes that are important for cancer therapeutics.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agents are off-the-shelf and they have been shown to stimulate local and systemic immune responses in patients, leading to an individualized anti-tumor immune response. In contrast, individualized cellular immunotherapies require specific manufacturing processes for each individual patient. The first viral immunotherapy was approved by the FDA in 2015, providing support that new agents in this class may have similar or better potential. Furthermore, safety data shown in several clinical trials of various viral immunotherapies supports the ability to combine viral immunotherapy with other therapeutic strategies.</w:t>
      </w:r>
    </w:p>
    <w:p>
      <w:pPr>
        <w:spacing w:after="0" w:line="74" w:lineRule="exact"/>
        <w:rPr>
          <w:sz w:val="20"/>
          <w:szCs w:val="20"/>
          <w:color w:val="auto"/>
        </w:rPr>
      </w:pPr>
    </w:p>
    <w:p>
      <w:pPr>
        <w:ind w:right="900"/>
        <w:spacing w:after="0" w:line="267" w:lineRule="auto"/>
        <w:rPr>
          <w:sz w:val="20"/>
          <w:szCs w:val="20"/>
          <w:color w:val="auto"/>
        </w:rPr>
      </w:pPr>
      <w:r>
        <w:rPr>
          <w:rFonts w:ascii="Arial" w:cs="Arial" w:eastAsia="Arial" w:hAnsi="Arial"/>
          <w:sz w:val="17"/>
          <w:szCs w:val="17"/>
          <w:b w:val="1"/>
          <w:bCs w:val="1"/>
          <w:i w:val="1"/>
          <w:iCs w:val="1"/>
          <w:color w:val="auto"/>
        </w:rPr>
        <w:t xml:space="preserve">Our Immunotherapy Platforms. </w:t>
      </w:r>
      <w:r>
        <w:rPr>
          <w:rFonts w:ascii="Arial" w:cs="Arial" w:eastAsia="Arial" w:hAnsi="Arial"/>
          <w:sz w:val="17"/>
          <w:szCs w:val="17"/>
          <w:color w:val="auto"/>
        </w:rPr>
        <w:t>Our two clinical platforms, one based on adenovirus and the other based on HSV, provide different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complementary sets of attributes, which allows us to utilize the product candidate that is best suited for a particular clinical application.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across our viral immunotherapy platforms include:</w:t>
      </w:r>
    </w:p>
    <w:p>
      <w:pPr>
        <w:spacing w:after="0" w:line="102" w:lineRule="exact"/>
        <w:rPr>
          <w:sz w:val="20"/>
          <w:szCs w:val="20"/>
          <w:color w:val="auto"/>
        </w:rPr>
      </w:pPr>
    </w:p>
    <w:p>
      <w:pPr>
        <w:ind w:left="1020" w:right="40" w:hanging="368"/>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Targeting a Wide Range of Cell Types. </w:t>
      </w:r>
      <w:r>
        <w:rPr>
          <w:rFonts w:ascii="Arial" w:cs="Arial" w:eastAsia="Arial" w:hAnsi="Arial"/>
          <w:sz w:val="17"/>
          <w:szCs w:val="17"/>
          <w:color w:val="auto"/>
        </w:rPr>
        <w:t>Product candidates from both the HSV and adenoviral platforms can transduce a diverse range</w:t>
      </w:r>
      <w:r>
        <w:rPr>
          <w:rFonts w:ascii="Arial" w:cs="Arial" w:eastAsia="Arial" w:hAnsi="Arial"/>
          <w:sz w:val="17"/>
          <w:szCs w:val="17"/>
          <w:i w:val="1"/>
          <w:iCs w:val="1"/>
          <w:color w:val="auto"/>
        </w:rPr>
        <w:t xml:space="preserve"> </w:t>
      </w:r>
      <w:r>
        <w:rPr>
          <w:rFonts w:ascii="Arial" w:cs="Arial" w:eastAsia="Arial" w:hAnsi="Arial"/>
          <w:sz w:val="17"/>
          <w:szCs w:val="17"/>
          <w:color w:val="auto"/>
        </w:rPr>
        <w:t>of cell types, which we believe will allow us to address many different forms of cancer.</w:t>
      </w:r>
    </w:p>
    <w:p>
      <w:pPr>
        <w:spacing w:after="0" w:line="51" w:lineRule="exact"/>
        <w:rPr>
          <w:rFonts w:ascii="Times New Roman" w:cs="Times New Roman" w:eastAsia="Times New Roman" w:hAnsi="Times New Roman"/>
          <w:sz w:val="17"/>
          <w:szCs w:val="17"/>
          <w:color w:val="auto"/>
        </w:rPr>
      </w:pPr>
    </w:p>
    <w:p>
      <w:pPr>
        <w:ind w:left="1020" w:right="740" w:hanging="368"/>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Off-the-Shelf Product. </w:t>
      </w:r>
      <w:r>
        <w:rPr>
          <w:rFonts w:ascii="Arial" w:cs="Arial" w:eastAsia="Arial" w:hAnsi="Arial"/>
          <w:sz w:val="17"/>
          <w:szCs w:val="17"/>
          <w:color w:val="auto"/>
        </w:rPr>
        <w:t>A standard product intended to be available as needed via prescription supports straightforward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simplified manufacturing and supply chain management.</w:t>
      </w:r>
    </w:p>
    <w:p>
      <w:pPr>
        <w:spacing w:after="0" w:line="51" w:lineRule="exact"/>
        <w:rPr>
          <w:rFonts w:ascii="Times New Roman" w:cs="Times New Roman" w:eastAsia="Times New Roman" w:hAnsi="Times New Roman"/>
          <w:sz w:val="17"/>
          <w:szCs w:val="17"/>
          <w:color w:val="auto"/>
        </w:rPr>
      </w:pPr>
    </w:p>
    <w:p>
      <w:pPr>
        <w:ind w:left="1020" w:hanging="368"/>
        <w:spacing w:after="0" w:line="235"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Intratumoral Route of Administration. </w:t>
      </w:r>
      <w:r>
        <w:rPr>
          <w:rFonts w:ascii="Arial" w:cs="Arial" w:eastAsia="Arial" w:hAnsi="Arial"/>
          <w:sz w:val="17"/>
          <w:szCs w:val="17"/>
          <w:color w:val="auto"/>
        </w:rPr>
        <w:t>Both of our clinical product candidates are administered by direct injection into the tumor site,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shown to result in a systemic immune response. This approach aims to maximize immune stimulation and minimize systemic toxicity, factors that are believed to be suboptimal with intravenous administration. We believe that directly injecting these viral immunotherapies into a patient’s cancerous tissue helps to optimize the benefit/risk for these agents to be highly immunostimulatory at the site of the tumor, whereas systemically administered agents would need to avoid detection by the body’s immune surveillance mechanisms to avoid rapid destruction before getting to the target tumor. Intra-tissue administration is the standard approach in vaccination. While our product candidates are administered directly into the tumor, we observed a systemic anti-tumor immune response in our preclinical studies and clinical trials, resulting in improvement of both injected and uninjected tumors, also known as an “abscopal” effect. For the indications that we selected, intratumoral administration is a straightforward procedure that is aligned with normal clinical practice, leveraging routine SoC medical procedures, such as intra-prostate injection, endoscopy, and bronchoscopy for aglatimagene, or stereotactic injection for linoserpaturev.</w:t>
      </w:r>
    </w:p>
    <w:p>
      <w:pPr>
        <w:spacing w:after="0" w:line="80" w:lineRule="exact"/>
        <w:rPr>
          <w:rFonts w:ascii="Times New Roman" w:cs="Times New Roman" w:eastAsia="Times New Roman" w:hAnsi="Times New Roman"/>
          <w:sz w:val="17"/>
          <w:szCs w:val="17"/>
          <w:color w:val="auto"/>
        </w:rPr>
      </w:pPr>
    </w:p>
    <w:p>
      <w:pPr>
        <w:ind w:left="1020" w:right="180" w:hanging="368"/>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Cost-efficient Manufacturing. </w:t>
      </w:r>
      <w:r>
        <w:rPr>
          <w:rFonts w:ascii="Arial" w:cs="Arial" w:eastAsia="Arial" w:hAnsi="Arial"/>
          <w:sz w:val="17"/>
          <w:szCs w:val="17"/>
          <w:color w:val="auto"/>
        </w:rPr>
        <w:t>Both product candidates are relatively inexpensive to manufacture, particularly when compared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 or cellular therapy treatments.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our adenoviral platform include:</w:t>
      </w:r>
    </w:p>
    <w:p>
      <w:pPr>
        <w:spacing w:after="0" w:line="102" w:lineRule="exact"/>
        <w:rPr>
          <w:sz w:val="20"/>
          <w:szCs w:val="20"/>
          <w:color w:val="auto"/>
        </w:rPr>
      </w:pPr>
    </w:p>
    <w:p>
      <w:pPr>
        <w:ind w:left="1020" w:right="60" w:hanging="368"/>
        <w:spacing w:after="0" w:line="253"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Targeting a Wide Range of Cell Types. </w:t>
      </w:r>
      <w:r>
        <w:rPr>
          <w:rFonts w:ascii="Arial" w:cs="Arial" w:eastAsia="Arial" w:hAnsi="Arial"/>
          <w:sz w:val="17"/>
          <w:szCs w:val="17"/>
          <w:color w:val="auto"/>
        </w:rPr>
        <w:t>Adenoviruses can efficiently transduce cells from different lineages. This allows us to apply this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to many different tumor types.</w:t>
      </w:r>
    </w:p>
    <w:p>
      <w:pPr>
        <w:ind w:left="1020" w:right="480" w:hanging="368"/>
        <w:spacing w:after="0" w:line="251"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Pro-inflammatory Virus Particle. </w:t>
      </w:r>
      <w:r>
        <w:rPr>
          <w:rFonts w:ascii="Arial" w:cs="Arial" w:eastAsia="Arial" w:hAnsi="Arial"/>
          <w:sz w:val="17"/>
          <w:szCs w:val="17"/>
          <w:color w:val="auto"/>
        </w:rPr>
        <w:t>The adenoviral virus particles are strong simulators of the innate immune system, a property that</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contributes to immune activation at the site of administration.</w:t>
      </w:r>
    </w:p>
    <w:p>
      <w:pPr>
        <w:ind w:left="1020" w:right="480" w:hanging="368"/>
        <w:spacing w:after="0" w:line="25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High-Titer Formulation. </w:t>
      </w:r>
      <w:r>
        <w:rPr>
          <w:rFonts w:ascii="Arial" w:cs="Arial" w:eastAsia="Arial" w:hAnsi="Arial"/>
          <w:sz w:val="17"/>
          <w:szCs w:val="17"/>
          <w:color w:val="auto"/>
        </w:rPr>
        <w:t>Adenovirus can be formulated at high titers, facilitating the administration of low volume doses sufficiently</w:t>
      </w:r>
      <w:r>
        <w:rPr>
          <w:rFonts w:ascii="Arial" w:cs="Arial" w:eastAsia="Arial" w:hAnsi="Arial"/>
          <w:sz w:val="17"/>
          <w:szCs w:val="17"/>
          <w:i w:val="1"/>
          <w:iCs w:val="1"/>
          <w:color w:val="auto"/>
        </w:rPr>
        <w:t xml:space="preserve"> </w:t>
      </w:r>
      <w:r>
        <w:rPr>
          <w:rFonts w:ascii="Arial" w:cs="Arial" w:eastAsia="Arial" w:hAnsi="Arial"/>
          <w:sz w:val="17"/>
          <w:szCs w:val="17"/>
          <w:color w:val="auto"/>
        </w:rPr>
        <w:t>potent to induce strong activity.</w:t>
      </w:r>
    </w:p>
    <w:p>
      <w:pPr>
        <w:ind w:left="1020" w:right="540" w:hanging="368"/>
        <w:spacing w:after="0" w:line="253"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Product Stability. </w:t>
      </w:r>
      <w:r>
        <w:rPr>
          <w:rFonts w:ascii="Arial" w:cs="Arial" w:eastAsia="Arial" w:hAnsi="Arial"/>
          <w:sz w:val="17"/>
          <w:szCs w:val="17"/>
          <w:color w:val="auto"/>
        </w:rPr>
        <w:t>The formulation deployed in clinical trials has stability at refrigerator temperatures (4°C), supporting use at less</w:t>
      </w:r>
      <w:r>
        <w:rPr>
          <w:rFonts w:ascii="Arial" w:cs="Arial" w:eastAsia="Arial" w:hAnsi="Arial"/>
          <w:sz w:val="17"/>
          <w:szCs w:val="17"/>
          <w:i w:val="1"/>
          <w:iCs w:val="1"/>
          <w:color w:val="auto"/>
        </w:rPr>
        <w:t xml:space="preserve"> </w:t>
      </w:r>
      <w:r>
        <w:rPr>
          <w:rFonts w:ascii="Arial" w:cs="Arial" w:eastAsia="Arial" w:hAnsi="Arial"/>
          <w:sz w:val="17"/>
          <w:szCs w:val="17"/>
          <w:color w:val="auto"/>
        </w:rPr>
        <w:t>specialized and therefore widely accessible sites such as community-based private clinics.</w:t>
      </w:r>
    </w:p>
    <w:p>
      <w:pPr>
        <w:ind w:left="1020" w:right="200" w:hanging="368"/>
        <w:spacing w:after="0" w:line="244"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Non-Replicating Design</w:t>
      </w:r>
      <w:r>
        <w:rPr>
          <w:rFonts w:ascii="Arial" w:cs="Arial" w:eastAsia="Arial" w:hAnsi="Arial"/>
          <w:sz w:val="17"/>
          <w:szCs w:val="17"/>
          <w:color w:val="auto"/>
        </w:rPr>
        <w:t>. Engineering the adenovirus to remove the replication ability reduces the potential for viral shedding,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something which is particularly important in clinical applications such as prostate cancer. There is no need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amplification as the viral gene construct combined with prodrug is highly immunogenic and can be administered at high titers.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our linoserpaturev platform include:</w:t>
      </w:r>
    </w:p>
    <w:p>
      <w:pPr>
        <w:spacing w:after="0" w:line="102" w:lineRule="exact"/>
        <w:rPr>
          <w:sz w:val="20"/>
          <w:szCs w:val="20"/>
          <w:color w:val="auto"/>
        </w:rPr>
      </w:pPr>
    </w:p>
    <w:p>
      <w:pPr>
        <w:ind w:left="1020" w:right="20" w:hanging="368"/>
        <w:spacing w:after="0" w:line="239"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Capacity for selective replication in the tumor. </w:t>
      </w:r>
      <w:r>
        <w:rPr>
          <w:rFonts w:ascii="Arial" w:cs="Arial" w:eastAsia="Arial" w:hAnsi="Arial"/>
          <w:sz w:val="17"/>
          <w:szCs w:val="17"/>
          <w:color w:val="auto"/>
        </w:rPr>
        <w:t>There is a strong rationale for use of a replication-competent virus that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potent oncolysis and viral amplification in tumors characterized by high volume or located in less anatomically accessible areas, such as recurrent HGG. We have engineered linoserpaturev to selectively replicate only within tumors. This tumor specific replication ability of linoserpaturev is regulated by the expression of ICP34.5, a gene encoding for a protein that permits viral replication even in the presence of the interferon response that is normally able to quell viral infection. In the linoserpaturev construct, ICP34.5 expression is driven by the expression of Nestin, a protein largely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ind w:left="1020" w:right="260"/>
        <w:spacing w:after="0" w:line="267" w:lineRule="auto"/>
        <w:rPr>
          <w:sz w:val="20"/>
          <w:szCs w:val="20"/>
          <w:color w:val="auto"/>
        </w:rPr>
      </w:pPr>
      <w:r>
        <w:rPr>
          <w:rFonts w:ascii="Arial" w:cs="Arial" w:eastAsia="Arial" w:hAnsi="Arial"/>
          <w:sz w:val="17"/>
          <w:szCs w:val="17"/>
          <w:color w:val="auto"/>
        </w:rPr>
        <w:t>expressed in certain tumors, like HGG, but not in healthy brain tissue, thereby enabling replication specifically in the context of HGG and in other tumors expressing Nestin.</w:t>
      </w:r>
    </w:p>
    <w:p>
      <w:pPr>
        <w:spacing w:after="0" w:line="51" w:lineRule="exact"/>
        <w:rPr>
          <w:sz w:val="20"/>
          <w:szCs w:val="20"/>
          <w:color w:val="auto"/>
        </w:rPr>
      </w:pPr>
    </w:p>
    <w:p>
      <w:pPr>
        <w:ind w:left="1020" w:right="140" w:hanging="368"/>
        <w:spacing w:after="0" w:line="249"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Oncolytic activity combined with immunostimulatory properties. </w:t>
      </w:r>
      <w:r>
        <w:rPr>
          <w:rFonts w:ascii="Arial" w:cs="Arial" w:eastAsia="Arial" w:hAnsi="Arial"/>
          <w:sz w:val="17"/>
          <w:szCs w:val="17"/>
          <w:color w:val="auto"/>
        </w:rPr>
        <w:t>Linoserpaturev is designed to persist and replicate at the site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tumor. Viral replication is accompanied by tumor oncolysis, with release of tumor antigens in the microenvironment and activation of a local and systemic immune response.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the enLIGHTEN™ Discovery Platform include:</w:t>
      </w:r>
    </w:p>
    <w:p>
      <w:pPr>
        <w:spacing w:after="0" w:line="104" w:lineRule="exact"/>
        <w:rPr>
          <w:sz w:val="20"/>
          <w:szCs w:val="20"/>
          <w:color w:val="auto"/>
        </w:rPr>
      </w:pPr>
    </w:p>
    <w:p>
      <w:pPr>
        <w:ind w:left="1020" w:hanging="368"/>
        <w:spacing w:after="0"/>
        <w:tabs>
          <w:tab w:leader="none" w:pos="1020" w:val="left"/>
        </w:tabs>
        <w:numPr>
          <w:ilvl w:val="1"/>
          <w:numId w:val="2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Strong focus on human biology, including deep phenotyping of human tumors, to increase probability of success</w:t>
      </w:r>
    </w:p>
    <w:p>
      <w:pPr>
        <w:spacing w:after="0" w:line="112" w:lineRule="exact"/>
        <w:rPr>
          <w:rFonts w:ascii="Times New Roman" w:cs="Times New Roman" w:eastAsia="Times New Roman" w:hAnsi="Times New Roman"/>
          <w:sz w:val="17"/>
          <w:szCs w:val="17"/>
          <w:color w:val="auto"/>
        </w:rPr>
      </w:pPr>
    </w:p>
    <w:p>
      <w:pPr>
        <w:ind w:left="1020" w:right="520" w:hanging="368"/>
        <w:spacing w:after="0" w:line="249" w:lineRule="auto"/>
        <w:tabs>
          <w:tab w:leader="none" w:pos="1020" w:val="left"/>
        </w:tabs>
        <w:numPr>
          <w:ilvl w:val="1"/>
          <w:numId w:val="2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Data driven selection of the payload. </w:t>
      </w:r>
      <w:r>
        <w:rPr>
          <w:rFonts w:ascii="Arial" w:cs="Arial" w:eastAsia="Arial" w:hAnsi="Arial"/>
          <w:sz w:val="17"/>
          <w:szCs w:val="17"/>
          <w:color w:val="auto"/>
        </w:rPr>
        <w:t>The use of computational biology and artificial intelligence on proprietary as well as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datasets enables us to select what we believe is the best payload for combinatory strategy in each specific indication, rationalizing our payload selection, de-risking development and maximizing our probability of success</w:t>
      </w:r>
      <w:r>
        <w:rPr>
          <w:rFonts w:ascii="Arial" w:cs="Arial" w:eastAsia="Arial" w:hAnsi="Arial"/>
          <w:sz w:val="17"/>
          <w:szCs w:val="17"/>
          <w:i w:val="1"/>
          <w:iCs w:val="1"/>
          <w:color w:val="auto"/>
        </w:rPr>
        <w:t>.</w:t>
      </w:r>
    </w:p>
    <w:p>
      <w:pPr>
        <w:spacing w:after="0" w:line="65" w:lineRule="exact"/>
        <w:rPr>
          <w:rFonts w:ascii="Times New Roman" w:cs="Times New Roman" w:eastAsia="Times New Roman" w:hAnsi="Times New Roman"/>
          <w:sz w:val="17"/>
          <w:szCs w:val="17"/>
          <w:color w:val="auto"/>
        </w:rPr>
      </w:pPr>
    </w:p>
    <w:p>
      <w:pPr>
        <w:ind w:left="1020" w:right="380" w:hanging="368"/>
        <w:spacing w:after="0" w:line="266" w:lineRule="auto"/>
        <w:tabs>
          <w:tab w:leader="none" w:pos="1020" w:val="left"/>
        </w:tabs>
        <w:numPr>
          <w:ilvl w:val="1"/>
          <w:numId w:val="2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Use of HSV based on its high capacity for genetic cargos</w:t>
      </w:r>
      <w:r>
        <w:rPr>
          <w:rFonts w:ascii="Arial" w:cs="Arial" w:eastAsia="Arial" w:hAnsi="Arial"/>
          <w:sz w:val="17"/>
          <w:szCs w:val="17"/>
          <w:color w:val="auto"/>
        </w:rPr>
        <w:t>. Our HSV-based platform allows the introduction of large genetic cargos,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multiple immunomodulatory genes that may further enhance the anti-tumor immune response.</w:t>
      </w:r>
    </w:p>
    <w:p>
      <w:pPr>
        <w:spacing w:after="0" w:line="51"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Amenable to engineered modifications. </w:t>
      </w:r>
      <w:r>
        <w:rPr>
          <w:rFonts w:ascii="Arial" w:cs="Arial" w:eastAsia="Arial" w:hAnsi="Arial"/>
          <w:sz w:val="17"/>
          <w:szCs w:val="17"/>
          <w:color w:val="auto"/>
        </w:rPr>
        <w:t>Our knowledge of virus biology allows us to make modifications, such as those already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in linoserpaturev to target certain tumor types. Leveraging these modifications, we can select the best viral vector to deliver the selected payload in a specific indication.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39" w:lineRule="exact"/>
        <w:rPr>
          <w:sz w:val="20"/>
          <w:szCs w:val="20"/>
          <w:color w:val="auto"/>
        </w:rPr>
      </w:pPr>
    </w:p>
    <w:p>
      <w:pPr>
        <w:ind w:right="1040"/>
        <w:spacing w:after="0" w:line="261" w:lineRule="auto"/>
        <w:rPr>
          <w:sz w:val="20"/>
          <w:szCs w:val="20"/>
          <w:color w:val="auto"/>
        </w:rPr>
      </w:pPr>
      <w:r>
        <w:rPr>
          <w:rFonts w:ascii="Arial" w:cs="Arial" w:eastAsia="Arial" w:hAnsi="Arial"/>
          <w:sz w:val="17"/>
          <w:szCs w:val="17"/>
          <w:color w:val="auto"/>
        </w:rPr>
        <w:t>We have an advanced pipeline of late-stage and early-stage assets with our two most advanced product candidates, aglatimagene and linoserpaturev, as well as a preclinical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511800" cy="2383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180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Aglatimagene is our most advanced product candidate. It is a replication-defective adenovirus that has been genetically modified to express the gene encoding the HSV-thymidine kinase enzyme. This enzyme activates the prodrug, valacyclovir, (a widely available, generally well-tolerated antiviral) at the site of the tumor, generating a powerful patient-specific anti-tumor immune response. We believe there are three key aspects of the mechanism of action. First, the direct, cellular killing activity is based on the transformation of valacyclovir into a toxic nucleotide analogue that disrupts DNA synthesis and repair. This phenomenon occurs preferentially in actively dividing cancer cells and cells exhibiting DNA damage, thereby providing tumor specificity. This DNA repair inhibition is also hypothesized to be the mechanistic explanation behind the encouraging pre-clinical and clinical activity of aglatimagene in combination with radiotherapy, a treatment known to cause DNA breaks requiring repair for continued cellular survival. Second, adenoviral capsid proteins also directly trigger an immuno-inflammatory response through the establishment of a proinflammatory tumor microenvironment, resulting in the expression of proinflammatory cytokines, chemokines, and adhesion molecules that contribute to the optimal conditions to immunize against the tumor antigens that are released in the tumor microenvironment as a direct result of the formed toxic nucleotide analogues. Together, this results in the recruitment, activation, and proliferation of anti-tumor effector cells, in particular CD8+ cytotoxic T cells. Consequently, the localized death of tumor cells releases numerous antigens that can be recognized by the patient’s own immune system, thereby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training the immune system to recognize, target and destroy cancer cells bearing the same antigens that have spread to other sites in the body.</w:t>
      </w:r>
    </w:p>
    <w:p>
      <w:pPr>
        <w:spacing w:after="0" w:line="10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To date, aglatimagene has been administered to over 1,000 patients with cancer. In total, we have conducted more than 10 clinical trials with aglatimagene in a range of solid tumor indications. We have seen encouraging clinical activity and a favorable tolerability profile with aglatimagene in both monotherapy and combination settings with radiotherapy, ICI therapy, ADT, chemotherapy and surgery. Based on the totality of our clinical data generated to date, we are currently pursuing indications in lung and prostate cancer, where we believe our product candidates have potential to address the unmet needs of patients.</w:t>
      </w:r>
    </w:p>
    <w:p>
      <w:pPr>
        <w:spacing w:after="0" w:line="7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have successfully completed a phase 3 clinical trial of aglatimagene in newly diagnosed localized prostate cancer in intermediate- and certain high-risk patients in combination with the SoC that comprises radiotherapy and optional ADT. Our SPA with the FDA reflects the agency's concurrence that our primary endpoint and other specific critical elements of our trial design are adequate to support a potential marketing application. The clinical trial was randomized, double-blind and placebo-controlled. It was fully enrolled with 745 patients randomized (711 of which received at least one study drug injection) in September 2021. We reported positive topline data on this trial in December 2024, demonstrating that aglatimagene in combination with SoC radiation+/- short course ADT was able to significantly improve DFS in early prostate cancer compared with SoC radiation+/- short course of ADT alone, with a statistically significant improvement of DFS of 30% (hazard ratio 0.7). We have received Fast Track Designation by the FDA for the development of aglatimagene for the treatment of localized, primary prostate cancer in combination with radiotherapy to improve the local control rate, decrease recurrence and improve DFS. In May 2025, after submission of the topline data to the FDA, we announced that the FDA granted Regenerative Medicine Advanced Therapy (RMAT) Designation to aglatimagene for the treatment of newly diagnosed, localized prostate cancer in patients with intermediate- to high-risk disease. In June 2025, the results from the positive phase 3 clinical trial of aglatimagene in patients with intermediate- to high-risk, localized prostate cancer were presented in an oral session at the ASCO Annual Meeting. In September 2025, we presented subgroup analysis of the phase 3 clinical trial during the ASTRO Annual Meeting. The data demonstrated that the efficacy of aglatimagene on DFS and prostate-specific DFS was independent of the type of radiotherapy used (conventional EBRT vs. moderate hypofractionated EBRT). For moderate EBRT, the hazard ratio (HR) was 0.52 (95% CI: 0.30–0.93), and for conventional EBRT, the HR was 0.76 (95% CI: 0.53–1.07). Subgroup analyses of prostate cancer-specific DFS demonstrated that aglatimagene outperformed standard of care across all categories, with HRs ranging from 0.49 in patients with intermediate-risk favorable prostate cancer to 0.69 in patients with high-risk disease. We expect to announce supportive data on prostate cancer-specific outcomes (prostate cancer-specific DFS, time to salvage anti-cancer therapy, and time to metastasis) after extended follow-up in the second quarter of 2026. In addition, we expect to announce immunological biomarker data in localized prostate cancer in the third quarter of 2026. We are in ongoing dialogue with the FDA in preparation for the Company’s anticipated submission of a Biologics License Application for aglatimagene in prostate cancer in the fourth quarter of 2026. We expect that if we obtain FDA approval on the basis of the results presented in December 2024, aglatimagene could be the first new FDA approved pharmacologic treatment available in over 20 years as a potential first-line therapeutic for the over 150,000 patients who are newly diagnosed with localized prostate cancer each year in the United States.</w:t>
      </w:r>
    </w:p>
    <w:p>
      <w:pPr>
        <w:spacing w:after="0" w:line="8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NSCLC, we previously observed monotherapy activity of aglatimagene in a phase 1b biomarker focused, proof of mechanism clinical trial. In 2020, we initiated a phase 2a clinical trial evaluating aglatimagene in combination with PD-(L)1 checkpoint inhibitors for patients with inadequate response to PD-(L)1 ICI. This open-label clinical trial was previously amended to target enrollment of approximately 80 patients with stage III/IV NSCLC in two separate cohorts. The cohorts are defined based on response to ICI at the time of enrollment. Cohort 1 addresses patients with stable disease at enrollment. Cohort 2 enrolls patients with progressive disease after at least 18 weeks of ICI treatment. Patients continue treatment with their initial ICI and two administrations of aglatimagene are added to the therapeutic regimen. The original primary efficacy endpoints for this trial are tumor response as measured by RECIST criteria including overall response rate (ORR) and/or disease control rate (DCR), but – consistent with SITC guidelines - there has been an increasing focus on the gold standard endpoint in this population, which is overall survival. We reported initial data from this trial at the ASCO Annual Meeting in June 2022 and during our Research and Development Day in December 2022. These data were further supported in an update announced in September 2023, based on a data cutoff of August 1, 2023. In this September 2023 announcement, we presented updated data which showed evidence of local and systemic anti-tumor activity; a DCR of 77% (20/26) in patients entering the trial with disease progression (cohort 2; 90% of these patients had stage IV disease);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ind w:right="40"/>
        <w:spacing w:after="0" w:line="234" w:lineRule="auto"/>
        <w:rPr>
          <w:sz w:val="20"/>
          <w:szCs w:val="20"/>
          <w:color w:val="auto"/>
        </w:rPr>
      </w:pPr>
      <w:r>
        <w:rPr>
          <w:rFonts w:ascii="Arial" w:cs="Arial" w:eastAsia="Arial" w:hAnsi="Arial"/>
          <w:sz w:val="17"/>
          <w:szCs w:val="17"/>
          <w:color w:val="auto"/>
        </w:rPr>
        <w:t>blood; and a favorable safety/tolerability data with most treatment-related adverse events being grade 1/2. In December 2023, the recruitment of this study was paused as we completed target enrollment for cohort 2, which is the key target population as they have the largest unmet need. We received FDA Fast Track Designation for aglatimagene plus valacyclovir in combination with pembrolizumab in order to improve survival or delay progression in patients with stage III/stage IV in NSCLC who are resistant to first line PD-(L)1 inhibitor therapy and who do not have activating molecular driver mutations or have progressed on directed molecular therapy in April 2023. In May 2024, we announced topline data, showing markedly prolonged overall survival in patients who had received two injections of aglatimagene compared to historical controls. mOS of 20.6 months was observed following two administrations of aglatimagene plus valacyclovir in NSCLC patients with progressive disease despite ICI therapy, compared to published results of mOS of 11.6 months observed with SoC docetaxel-based chemotherapy in a similar patient population (Reckamp K et al. J Clin Onc 2022;40:2295-2306). Improved mOS was observed in both PD-L1 negative and PD-L1 positive tumors in patients with progressive disease (N=37 patients in cohort 2 for whom PD-L1 status at baseline was available). mOS of 22.0 months was observed across all patients in cohorts 1 and 2 (n=46), who had an inadequate response to ICI and who received two administrations of aglatimagene. We confirmed that treatment with aglatimagene resulted in systemic activation of the immune response, including increased numbers of effector and cytotoxic T cells as well as elevated levels of soluble mediators of inflammation. Activation of the systemic immune response was associated with shrinkage of uninjected lesions (abscopal response). 71.4% of patients with metastatic disease and at least one uninjected tumor (n=35) experienced a beneficial effect from aglatimagene treatment on both injected and uninjected tumors. When using a threshold of &gt;5% decrease, more than 60% of patients still showed an abscopal response. We also confirmed that treatment with aglatimagene in NSCLC continued to exhibit a generally favorable safety and tolerability profile as of the cut-off date.</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March 2025, we announced overall survival data from this phase 2a clinical trial of aglatimagene in NSCLC. In patients with an inadequate response to ICI treatment who received 2 aglatimagene plus valacyclovir courses (Cohort 1+2, per protocol population, n=46), mOS was 24.5 months. In patients with progressive disease, despite ICI treatment (Cohort 2, per protocol population, n=41), mOS was 21.5 months, which is markedly longer than the 9.8–11.8 months of survival reported in published literature in a similar patient population receiving standard of care of docetaxel second-line chemotherapy (Paz-Ares LG et al, J Clin Oncol 2024;42:2860-2872 ; Ahn MJ et al, J Clin Onc 2024;43:260-272). 37% of patients with progressive disease at enrollment were still alive &gt; 24 months after aglatimagene treatment at the time of the March 3, 2025 data cut, suggesting a long tail of survival. 14/15 patients with overall survival &gt; 24 months and 9/9 patients with overall survival &gt; 30 months had non-squamous NSCLC. In patients with non-squamous NSCLC and progressive disease despite ICI (Cohort 2, per protocol population, n=33), observed mOS was 25.4 months after aglatimagene treatment. Aglatimagene continued to exhibit a generally favorable safety and tolerability profile during the extended follow-up period. Based on these positive findings, we plan to initiate a pivotal phase 3 clinical trial of aglatimagene in patients with progressive, metastatic, non-squamous NSCLC despite ICI treatment in the second quarter of 2026. We expect to announce updated data on OS including a long-term survival and novel biomarker data analysis based on the phase 2a trial in the first quarter of 2026.</w:t>
      </w:r>
    </w:p>
    <w:p>
      <w:pPr>
        <w:spacing w:after="0" w:line="7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a previous phase 1b trial, patients with pancreatic cancer treated with aglatimagene in addition to SoC demonstrated a greater survival duration over the expected survival of the patients treated with the existing SoC alone in a comparison to historical clinical trial results. Furthermore, in the group of patients where pre- and post-treatment tumor biopsies were available, a statistically significant increase in the number of CD8+ tumor infiltrating lymphocytes was observed. Next, we initiated a randomized controlled phase 2a clinical trial evaluating aglatimagene in patients with borderline-resectable pancreatic adenocarcinoma. In March 2023, in connection with our cost management and dynamic portfolio management initiatives, we elected to pause new enrollment in this randomized phase 2a clinical trial and first evaluate survival in the patients already enrolled in the clinical trial. Despite the pause in patient enrollment, we presented initial clinical data in the fourth quarter of 2023. The initial data showed prolonged and sustained survival in patients treated with aglatimagene but not in the control arm. We observed a separation of the survival curves with an estimated survival rate of 71.4% in the treatment arm at 24 months and 47.6% at 36 months, compared to 16.7% in the control arm at both 24 and 36 months after treatment. We received FDA Fast Track Designation for aglatimagene plus prodrug (valacyclovir) for the treatment of patients with PDAC to improve overall survival in December 2023. In April 2024, we announced that the FDA has granted Orphan Drug Designation for aglatimagene for the treatment of pancreatic cancer. Orphan Designation was also granted by the European Medicines Agency (EMA) in July 2025. In April 2024, we also reported topline survival data for the population of patients with borderline resectable PDAC with aglatimagene. Estimated mOS was 28.8 months in the aglatimagene group versus only 12.5 months in the control group. Importantly, 4 out of 7 patients who received aglatimagene were still alive at the time of data cutoff, with 2 patients surviving more than 50.0 months from enrollment. Only 1 out of 6 patients, randomized to control SoC chemotherapy alone, remained alive at data cutoff (alive at 50.6 months). Biomarker data analysis demonstrated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7" w:name="page18"/>
    <w:bookmarkEnd w:id="17"/>
    <w:p>
      <w:pPr>
        <w:ind w:right="200"/>
        <w:spacing w:after="0" w:line="267" w:lineRule="auto"/>
        <w:rPr>
          <w:sz w:val="20"/>
          <w:szCs w:val="20"/>
          <w:color w:val="auto"/>
        </w:rPr>
      </w:pPr>
      <w:r>
        <w:rPr>
          <w:rFonts w:ascii="Arial" w:cs="Arial" w:eastAsia="Arial" w:hAnsi="Arial"/>
          <w:sz w:val="17"/>
          <w:szCs w:val="17"/>
          <w:color w:val="auto"/>
        </w:rPr>
        <w:t>consistent and robust activation of immune response after dosing with aglatimagene. Addition of aglatimagene regimen to SoC was generally well tolerated, with no dose-limiting toxicities, including no cases of pancreatitis.</w:t>
      </w:r>
    </w:p>
    <w:p>
      <w:pPr>
        <w:spacing w:after="0" w:line="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February 2025, we presented final data from this randomized clinical trial. Prolonged and sustained survival was observed after experimental treatment with aglatimagene compared to the control group in patients with borderline resectable PDAC (n=13): estimated median overall survival after enrollment was 31.4 months in the aglatimagene group versus only 12.5 months in the control group. Median survival post-progression was 21.2 months in patients who received aglatimagene compared to 7.2 months in the control arm. Importantly, 3 out of 7 patients who received aglatimagene were still alive at the time of data cut-off with a survival of 66.0, 63.6, and 35.8 months, respectively, after enrollment; survival from the time of diagnosis for these patients was 73.5, 68.8, and 41.3 months, respectively. Of these, the first patient had stage IV metastatic disease detected during surgery, the second had residual tumor present at the resection margin, and the third had adenocarcinoma with negative resection margins. In contrast, only one out of 6 patients randomized to SoC chemotherapy arm remained alive at the data cutoff (61.2 months from enrollment and 65.5 months from diagnosis); histologic analysis at resection showed intraepithelial neoplasia without evidence of residual adenocarcinoma in this patient, which is associated with improved prognosis. In October 2025, we decided to pause on further clinical development of aglatimagene in PDAC, in the context of portfolio prioritization, unless externally funded through a grant or other non-dilutive external funding.</w:t>
      </w:r>
    </w:p>
    <w:p>
      <w:pPr>
        <w:spacing w:after="0" w:line="73"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Our second viral immunotherapy platform is based on a novel, next generation, genetically modified HSV that induces tumor specific oncolysis. The HSV-based platform enables the generation of both replication-competent and replication-defective viral product candidates as well as the capacity to clone up to five transgenes into the vector that will allow us to optimize the profile of the viral gene construct for different tumor settings.</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Linoserpaturev, our first HSV-based product candidate, has been engineered for enhanced specificity and tumor cell killing, while minimizing toxicity on healthy tissue. Linoserpaturev was formerly known as rQNestin34.5v.2. An investigator-sponsored phase 1b clinical trial is ongoing with linoserpaturev in our initial target indication of recurrent HGG and we reported biomarker results in November 2021. During our Research and Development Day in December 2022, we presented updated data, demonstrating that the treatment was well tolerated with no observed dose-limiting toxicity. During an oral presentation at the ASGCT Annual Meeting in May of 2023, we reported mOS of 11.8 months in arm A and 12.0 months in arm B with a single dose, based on a data cutoff date of April 20, 2023, which is markedly longer than data in historical controls in the same patient population with mOS &lt; 6-9 months. Additionally, the data showed evidence of immune activation and persistent HSV-1 antigen expression and HSV-1 replication consistent with the mechanism of action. Clinical and biomarker data for the first 41 patients treated with a single injection of linoserpaturev were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in October 2023. The FDA has granted Fast Track Designation to linoserpaturev for the treatment of patients with recurrent HGG to improve overall survival in February 2024. In May 2024, the FDA awarded Orphan Drug Designation to linoserpaturev, recognizing its potential in treating HGG. We are currently evaluating the effects of multiple doses of linoserpaturev in recurrent HGG supported by the Break Through Cancer foundation. In October 2024, during the 16th Annual IOVC, we presented clinical activity and biomarker data for arm C. The principal investigator of the study reported ongoing improved survival compared to historical controls in patients treated with multiple injections of linoserpaturev, with 3 out of 6 patients with recurrent HGG still alive more than one year (12.2, 13.0, and 18.7 months, respectively) after initiation of experimental treatment with linoserpaturev.</w:t>
      </w:r>
    </w:p>
    <w:p>
      <w:pPr>
        <w:spacing w:after="0" w:line="8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We are conducting an extension of the clinical trial (arm C), in which patients with recurrent glioblastoma receive a repeat dosing regimen of linoserpaturev (up to six injections over four months). Clinical data from arm C will help evaluate whether multiple injections could further improve survival. This clinical trial extension is supported by the Break Through Cancer foundation. In October 2024, at the 16th Annual International Oncolytic Virotherapy Conference (IOVC), we presented initial clinical and biomarker data from Arm C of the linoserpaturev trial. The principal investigator reported improved survival compared to historical controls in patients who received multiple injections of linoserpaturev. Post-treatment biopsies showed a near absence of tumor cells with dense lymphocyte infiltration, particularly in patients with post-treatment MRI enhancement, consistent with radiologic pseudo-progression. These findings were reported in a Science Translational Medicine paper published in October 2025, which described 97 serial tumor biopsies from two patients who received linoserpaturev. Follow-up samples revealed extensive immune-mediated remodeling of the tumor microenvironment, characterized by dense lymphocyte infiltration and extensive tumor necrosis (death). One patient achieved a complete pathological response, with clearance of tumor cells from post-treatment biopsies. In contrast, MRI scans for both patients showed apparent tumor enlargement (pseudo-progression), underscoring that conventional imaging criteria may underestimate linoserpaturev’s immunologic activity. These results underscore the limitations of conventional imaging in evaluating the response to viral immunotherapy and highlight the importance of overall survival data, supported by histology.</w:t>
      </w:r>
    </w:p>
    <w:p>
      <w:pPr>
        <w:spacing w:after="0" w:line="104"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In October 2025, we also announced updated OS data for Arm A and Arm B as of August 15, 2025. The updated mOS was 11.8 months for arm A (n=41) (CI: 8.3–14.9) and 12.0 months for arm B (n=9) (CI: 10.0–NA) respectively, after a single injection of linoserpaturev. One patient from arm A and one patient from arm B were still alive after prolonged follow-up (59.2 and 42.4 months, respectively, after linoserpaturev administration). At the time of data cutoff, 9 patients in arm C had received multiple administrations of linoserpaturev. At the 1×10⁸ plaque-forming unit (PFU) dose, 3</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8" w:name="page19"/>
    <w:bookmarkEnd w:id="18"/>
    <w:p>
      <w:pPr>
        <w:ind w:right="140"/>
        <w:spacing w:after="0" w:line="248" w:lineRule="auto"/>
        <w:rPr>
          <w:sz w:val="20"/>
          <w:szCs w:val="20"/>
          <w:color w:val="auto"/>
        </w:rPr>
      </w:pPr>
      <w:r>
        <w:rPr>
          <w:rFonts w:ascii="Arial" w:cs="Arial" w:eastAsia="Arial" w:hAnsi="Arial"/>
          <w:sz w:val="17"/>
          <w:szCs w:val="17"/>
          <w:color w:val="auto"/>
        </w:rPr>
        <w:t>patients received 4 injections, 1 patient received 5 injections, and 2 patients received 6 injections. At the 1×10⁷ PFU dose, 1 patient received 4 injections, and 2 patients received 5 injections. Median follow-up was 8.9 months. Four out of 9 patients were alive at the time of data cutoff (range 3.1-28.2 months after initiation of linoserpaturev treatment). Five patients had died, of which 3 died more than one year after initiation of linoserpaturev treatment (range 5.5-21.8 months). We have now completed recruitment for Arm C and expect to present mature mOS data and an update on long-term survivors in the fourth quarter of 2026. In January 2026, we received clearance for an IND that will support enabling work for a potential future randomized controlled phase 2 dose regimen finding study of linoserpaturev in recurrent glioblastoma.</w:t>
      </w:r>
    </w:p>
    <w:p>
      <w:pPr>
        <w:spacing w:after="0" w:line="68"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Based on the molecular mechanism of linoserpaturev, we believe that it could be evaluated in an expanded range of indications in the future, such as other neurologic tumors, melanoma, sarcoma, gastrointestinal stromal tumors, thyroid tumors, and breast cancer. In November 2024, during the SITC 2024 Annual Meeting, we presented data demonstrating the antitumor activity of linoserpaturev in preclinical models of melanoma, further supporting the rationale to expand the evaluation of linoserpaturev into tumors beyond recurrent HGG.</w:t>
      </w:r>
    </w:p>
    <w:p>
      <w:pPr>
        <w:spacing w:after="0" w:line="6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 addition, we are pursuing novel discovery programs based on our enLIGHTEN™ Discovery Platform. In November 2023, during the SITC 2023 Annual Meeting, we presented two posters describing the key elements of the platform and the development of the first experimental agent from the enLIGHTEN™ Discovery Platform. This first agent, Alpha-201 Macro1, is an investigational viral immunotherapy designed to interfere with the CD47/SIRPα pathway and activate innate immune surveillance. Results demonstrated monotherapy activity following local administration in a preclinical model of lung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In October 2024,</w:t>
      </w:r>
    </w:p>
    <w:p>
      <w:pPr>
        <w:spacing w:after="0" w:line="1" w:lineRule="exact"/>
        <w:rPr>
          <w:sz w:val="20"/>
          <w:szCs w:val="20"/>
          <w:color w:val="auto"/>
        </w:rPr>
      </w:pPr>
    </w:p>
    <w:p>
      <w:pPr>
        <w:ind w:right="600"/>
        <w:spacing w:after="0" w:line="221" w:lineRule="auto"/>
        <w:rPr>
          <w:sz w:val="20"/>
          <w:szCs w:val="20"/>
          <w:color w:val="auto"/>
        </w:rPr>
      </w:pPr>
      <w:r>
        <w:rPr>
          <w:rFonts w:ascii="Arial" w:cs="Arial" w:eastAsia="Arial" w:hAnsi="Arial"/>
          <w:sz w:val="17"/>
          <w:szCs w:val="17"/>
          <w:color w:val="auto"/>
        </w:rPr>
        <w:t>during the 16th Annual IOVC, we presented data on a third preclinical candidate, a novel multimodal viral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encoding IL-12 and IL-15, demonstrating its ability to induce tumor regression in two different tumor models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Opportunity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four indications where we have the most advanced clinical trials are localized prostate cancer, NSCLC, pancreatic cancer, and recurrent HGG.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These types of cancer present substantial market opportunities and are also enabling indications for future expansion into other solid tumors.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Localized Prostate Cancer</w:t>
      </w:r>
    </w:p>
    <w:p>
      <w:pPr>
        <w:spacing w:after="0" w:line="10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Prostate cancer is the second most common cause of cancer in men in the United States and many other parts of the world, representing a high level of medical burden and unmet need. The prostate cancer therapy market is estimated to grow to over $16.1 billion by 2026. The primary goal of curative treatment for localized prostate cancer is complete tumor eradication, as outlined by National Comprehensive Cancer Network (NCCN) guidelines. However, up to 30% of intermediate- to high-risk patients experience recurrence despite radical therapy, and salvage treatments often carry significant side effects and limited efficacy. Recurrence beyond two years post-treatment is strongly linked to need for salvage anti-cancer therapies, higher rates of metastasis, and prostate cancer-specific mortality after prolonged follow up (&gt;10 years). Studies also show that patients prioritize the perception of being cancer-free and are often willing to risk long-term complications to achieve this. Fear of recurrence remains prevalent, especially after biochemical failure (Hoffman RM et al. Cancer 2003;97:1653-62; Jayadevappa R et al. J Clin Oncol 2019;37:964-73; Nilsson R et al. Eur Urol Open Sci 2021;25:44-51). Approximately 300,000 men in the United States are diagnosed with prostate cancer annually, with more than 30,000 deaths each year. Roughly 200,000 men in the United States are diagnosed with early, localized prostate cancer each year, of which roughly 150,000 are considered to have intermediate- or high-risk of progression.</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For these intermediate- and high-risk patients, the SoC is radical prostatectomy or radiotherapy, the latter often in conjunction with androgen deprivation therapy or chemical castration, with a curative intent. Still, with current SoC there will be disease recurrence in about ~30% of the patients over time. Therefore, there is a significant unmet need for a novel treatment able to help prevent recurrence of the disease after radical treatment, avoiding the need for additional androgen deprivation therapy, additional radiotherapy, PSMA-targeted therapy, chemotherapy, or salvage radical prostatectomy (in patients who failed radiotherapy). These treatments for recurrent prostate cancer after radical therapy may have severe side effects. For example, androgen deprivation therapy may result in impotence, hot flashes, mood changes, depression, and impaired impact on quality of life.</w:t>
      </w:r>
    </w:p>
    <w:p>
      <w:pPr>
        <w:spacing w:after="0" w:line="74"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believe aglatimagene could provide a significant commercial opportunity for therapeutic use in the newly diagnosed, localized prostate cancer patient population, with the goal of preventing recurrence of disease as well as local and</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9" w:name="page20"/>
    <w:bookmarkEnd w:id="19"/>
    <w:p>
      <w:pPr>
        <w:ind w:right="1640"/>
        <w:spacing w:after="0" w:line="364" w:lineRule="auto"/>
        <w:rPr>
          <w:sz w:val="20"/>
          <w:szCs w:val="20"/>
          <w:color w:val="auto"/>
        </w:rPr>
      </w:pPr>
      <w:r>
        <w:rPr>
          <w:rFonts w:ascii="Arial" w:cs="Arial" w:eastAsia="Arial" w:hAnsi="Arial"/>
          <w:sz w:val="17"/>
          <w:szCs w:val="17"/>
          <w:color w:val="auto"/>
        </w:rPr>
        <w:t xml:space="preserve">metastatic disease progression, without significant toxicities and with a product that can be administered at outpatient facilities. </w:t>
      </w:r>
      <w:r>
        <w:rPr>
          <w:rFonts w:ascii="Arial" w:cs="Arial" w:eastAsia="Arial" w:hAnsi="Arial"/>
          <w:sz w:val="17"/>
          <w:szCs w:val="17"/>
          <w:b w:val="1"/>
          <w:bCs w:val="1"/>
          <w:i w:val="1"/>
          <w:iCs w:val="1"/>
          <w:color w:val="auto"/>
        </w:rPr>
        <w:t>Non-Small Cell Lung Cancer</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recent years ICI, specifically PD-1 directed agents, have transformed the treatment paradigm of NSCLC and become a backbone therapy for this indication. Over a half dozen ICI products have been approved in various cancer indications, and there are numerous other related drug candidates in preclinical and clinical development. Global sales for ICIs in 2019 were approximately $23 billion with NSCLC accounting for 50% to 55% of overall sales. The commercial opportunity in NSCLC is significant. Drug treated patient populations in the US for 2020 are estimated at 75,160; 47,920 and 21,990 in first-, second- and third-line treatment, respectively. ICI use in NSCLC has become SoC with approximately 49% of first-line patients in the United States being treated with an ICI alone or in combination with other agents. Nonetheless, 60% of these patients will have an inadequate response after one year of ICI treatment, and 80% after three years.</w:t>
      </w:r>
    </w:p>
    <w:p>
      <w:pPr>
        <w:spacing w:after="0" w:line="74"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believe aglatimagene could provide a significant commercial opportunity for therapeutic use in NSCLC patients with an inadequate response to ICI, if we are able to demonstrate overall survival of more than 12 months after treatment.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Pancreatic Cancer</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American Cancer Society estimated that approximately 64,050 people in the United States (33,130 men and 30,920 women) were diagnosed with pancreatic cancer in 2023; about 50,550 people (26,620 men and 23,930 women) will die of pancreatic cancer the same year. Treatment is with surgery in cases where tumors are resectable, followed by adjuvant chemoradiation; there is increasing use of neoadjuvant chemoradiation in borderline resectable or even resectable disease in order to better reduce the risk of recurrence. For resected patients, while surgery and adjuvant approaches (e.g. FOLFORINOX) have improved mOS, 5-year survival rates remain disappointing (20-30%) and most tumors will recur (median recurrence free survival ~1.5 years). While there is a high level of clinical research and development activity across pancreatic cancer settings (over 150 investigational products in phase 2 or later development), the majority are targeting metastatic disease. Physicians have identified a continued unmet need for more effective treatment options across the pancreatic cancer setting, in particular a need for improving survival. There are an estimated 12,340 patients with borderline resectable disease in the US/EU5.</w:t>
      </w:r>
    </w:p>
    <w:p>
      <w:pPr>
        <w:spacing w:after="0" w:line="79"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We believe aglatimagene could provide a significant commercial opportunity for therapeutic use in borderline resectable pancreatic cancer patients, if we are able to confirm the improvement in overall survival two years after initiation of treatment in patients who received aglatimagene combined with SoC compared to SoC alone.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High-Grade Glioma</w:t>
      </w:r>
    </w:p>
    <w:p>
      <w:pPr>
        <w:spacing w:after="0" w:line="102"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Glioblastoma, the most common form of HGG, is a relatively rare cancer with first-line drug treated prevalent population in the United States of approximately 16,113 patients. Treatment in the upfront setting is surgical resection, if possible, coupled with temozolomide and/or radiotherapy; however, virtually all patients eventually develop recurrent disease.</w:t>
      </w:r>
    </w:p>
    <w:p>
      <w:pPr>
        <w:spacing w:after="0" w:line="67"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The prognosis for glioblastoma that has recurred is dire; mOS with second line chemotherapy such as lomustine is associated with mOS of &lt;6-9 months. Few pharmaceutical treatment options exist for patients with recurrent HGG, with the last significant FDA approval over a decade ago. Avastin was approved in 2009, specifically for patients with recurrent glioblastoma, and approval was granted despite the absence of a survival benefit in the registrational studies. New agents to treat patients with recurrent HGG are urgently needed.</w:t>
      </w:r>
    </w:p>
    <w:p>
      <w:pPr>
        <w:spacing w:after="0" w:line="69" w:lineRule="exact"/>
        <w:rPr>
          <w:sz w:val="20"/>
          <w:szCs w:val="20"/>
          <w:color w:val="auto"/>
        </w:rPr>
      </w:pPr>
    </w:p>
    <w:p>
      <w:pPr>
        <w:ind w:right="600"/>
        <w:spacing w:after="0" w:line="267" w:lineRule="auto"/>
        <w:rPr>
          <w:sz w:val="20"/>
          <w:szCs w:val="20"/>
          <w:color w:val="auto"/>
        </w:rPr>
      </w:pPr>
      <w:r>
        <w:rPr>
          <w:rFonts w:ascii="Arial" w:cs="Arial" w:eastAsia="Arial" w:hAnsi="Arial"/>
          <w:sz w:val="17"/>
          <w:szCs w:val="17"/>
          <w:color w:val="auto"/>
        </w:rPr>
        <w:t xml:space="preserve">We believe linoserpaturev provides a significant opportunity for therapeutic use in recurrent HGG based on the results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in October 2023, showing nearly doubling of the expected mOS after just a single injection of linoserpaturev.</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Candidates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Product Candidate - Aglatimagene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adenovirus-based product candidate aglatimagene has advantageous properties that differentiate from other viral immunotherapies.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Namely, aglatimagene:</w:t>
      </w:r>
    </w:p>
    <w:p>
      <w:pPr>
        <w:spacing w:after="0" w:line="88" w:lineRule="exact"/>
        <w:rPr>
          <w:sz w:val="20"/>
          <w:szCs w:val="20"/>
          <w:color w:val="auto"/>
        </w:rPr>
      </w:pPr>
    </w:p>
    <w:p>
      <w:pPr>
        <w:ind w:left="1020" w:hanging="368"/>
        <w:spacing w:after="0" w:line="264"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consistently shown activity in clinical trials across a range of solid tumor types, including a positive randomized, placebo-controlled phase 3 clinical trial in localized prostate cancer.</w:t>
      </w:r>
    </w:p>
    <w:p>
      <w:pPr>
        <w:spacing w:after="0" w:line="55"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been dosed in more than a thousand patients and has shown a generally favorable tolerability and safety profile to date.</w:t>
      </w:r>
    </w:p>
    <w:p>
      <w:pPr>
        <w:spacing w:after="0" w:line="114" w:lineRule="exact"/>
        <w:rPr>
          <w:rFonts w:ascii="Times New Roman" w:cs="Times New Roman" w:eastAsia="Times New Roman" w:hAnsi="Times New Roman"/>
          <w:sz w:val="17"/>
          <w:szCs w:val="17"/>
          <w:color w:val="auto"/>
        </w:rPr>
      </w:pPr>
    </w:p>
    <w:p>
      <w:pPr>
        <w:ind w:left="1020" w:right="60" w:hanging="368"/>
        <w:spacing w:after="0" w:line="264"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engineered to be potently immunogenic but non-replicating with the goal of eliciting a systemic anti-tumor immune response against the tumor, while minimizing the risk for local and systemic toxicity.</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20" w:name="page21"/>
    <w:bookmarkEnd w:id="20"/>
    <w:p>
      <w:pPr>
        <w:ind w:left="1020" w:right="140" w:hanging="368"/>
        <w:spacing w:after="0" w:line="264"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Can be stored at 4°C for up to 6 months, facilitating the use of aglatimagene in out-patient clinics. This aspect is particularly favorable in indications such as prostate cancer, where patients are often monitored in individual private practices.</w:t>
      </w:r>
    </w:p>
    <w:p>
      <w:pPr>
        <w:spacing w:after="0" w:line="5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Aglatimagene besadenovec is an adenovirus-based replication-defective engineered gene construct encoding the thymidine kinase gene derived from the herpes simplex virus. It is injected directly into a tumor or target tissue. Localized injection is intended to minimize systemic toxicities associated with systemic intravenous administration, eliminating the requirement for complex immune evasion or tumor-specific targeting mechanisms, and reprograms the immune response against the injected tumor, while activating the desired systemic anti-tumoral immune response against the injected tumor and uninjected metastases. The adenoviral vector is used to transport the HSV-thymidine kinase gene into the tumor cells at the site of injection. HSV-thymidine kinase converts generic, FDA-approved anti-herpes drugs, such as ganciclovir, acyclovir and valacyclovir, which we use as prodrugs, into a toxic nucleotide analogue. These agents are widely available, inexpensive, and are generally well-tolerated. Cells transduced with the HSV-thymidine kinase gene as well as neighboring cells that are replicating or exhibit DNA damage undergo immunogenic cell death after exposure to these systemically administered prodrugs that are converted in the tumor microenvironment into toxic metabolites.</w:t>
      </w:r>
    </w:p>
    <w:p>
      <w:pPr>
        <w:spacing w:after="0" w:line="7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prodrug-derived cytotoxic nucleotide analogs are designed to inhibit DNA replication and repair, leading to the death of multiplying tumor cells, and in particular of cells undergoing repair from radiation or chemotherapy damage. This form of cell death is immunogenic and exposes tumor antigens that can elicit a further tumor-specific immune response. Additionally, the adenoviral serotype 5 capsid protein itself stimulates a marked immuno-inflammatory response. Key pro-inflammatory cytokines as well as chemokines, adhesion molecules and costimulatory molecules are locally upregulated, resulting in an inflamed (hot) tumor microenvironment, able to further enhance CD8+ cytotoxic tumor infiltrating lymphocyte cell activation and in situ immunization against a multitude of released tumor antigens.</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This local effect provides a strong mechanistic rationale for the combination of aglatimagene with ICIs, such as PD-1 or PD-L1 targeting antibodies. ICI agents work by unmasking the inhibitory signals provided by PD-L1 ligands on tumor cells when bound to PD-1 receptors on T cells. By blocking this suppressive signal pharmacologically, it has been demonstrated that T cells can be unleashed to attack cancer cells, and that profound clinical benefit can be achieved, but only in a minority of patients. It has been hypothesized that treatment results can be significantly improved by optimizing recognition of the specific tumor antigens by the patient’s adaptive immune system using viral immunotherapy combined with the non-specific stimulation of T cells induced by ICI treatment. Aglatimagene has not only been shown to induce a specific anti-tumor immune response, but it may also upregulate PD-1 and PD-L1, which could convert non-responders to ICI into responders.</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immune system is highly dynamic, with continuous trafficking of different populations of immune cells throughout the body. One outcome of this is that when T cells are locally activated and reprogrammed to recognize tumor-specific antigens, they can act systemically to drive an efficient immune response at sites distant from the original tumor. This abscopal effect may explain the significant effects observed at distant, uninjected sites demonstrated in experimental models of cancers. For example, an abscopal effect has been shown for aglatimagene in a mouse model of prostate cancer. The model employed RM-1, a syngeneic prostate cell line, that was implanted both in the flanks of the mice as well as systemic, via a tail vein injection to mimic metastatic disease, resulting in the emergence of lung tumor nodules. After intratumor treatment of the flank tumor masses with either aglatimagene plus prodrug, alone or in combination with radiotherapy, we observed a beneficial response in both injected and uninjected metastatic tumors. Use of aglatimagene resulted in a 38% mean reduction in tumor volume at the site of injection and, in the combination arm, a reduction of 61% in tumor volume. Notably, the average number of uninjected lung nodules was reduced from 20.5 in the control arm and 22.4 in the mice that received radiotherapy to 13.0 in the aglatimagene arm, and to 6.6 when aglatimagene was combined with radiotherapy, showing both an abscopal (systemic) effect and synergy between aglatimagene treatment and radiotherapy in a mouse model of prostate cancer. We have confirmed the abscopal response (systemic anti-tumor immune response) after experimental treatment with aglatimagene plus prodrug in patients with NSCLC. We observed regression of uninjected lesions in about two-thirds of evaluable patients presenting with multiple lesions.</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activity of aglatimagene treatment has been shown to be dependent on CD8+ T cell involvement in studies in mouse models that evaluated permutations of aglatimagene treatment and T cell depletion. Furthermore, T cells from mice that were successfully treated with aglatimagene and prodrug were shown to be sufficient to inhibit tumor growth when mixed with AKR tumor model cells and implanted subcutaneously in mouse flanks. This activity was not observed with T cells from untreated mice, from mice that were treated with a control vector that lacked the thymidine kinase gene, or when the AKR tumor cells were xenografted alone. Together, data in experimental mouse models of cancer support a T cell dependent mechanism of action for aglatimagene and provide evidence for in situ vaccination against the tumor, largely based on a CD8+ T cell mediated mechanism. Accordingly, we have shown the induction of CD8+ T cell infiltration at the site of the tumor in patients with prostate cancer, pancreatic cancer, and NSCLC.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Product Candidate - Linoserpaturev</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Linoserpaturev is a modified HSV with specific properties that can be leveraged in diverse clinical indications. Namely, linoserpaturev:</w:t>
      </w:r>
    </w:p>
    <w:p>
      <w:pPr>
        <w:spacing w:after="0" w:line="104" w:lineRule="exact"/>
        <w:rPr>
          <w:sz w:val="20"/>
          <w:szCs w:val="20"/>
          <w:color w:val="auto"/>
        </w:rPr>
      </w:pP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engineered to provide oncolysis through replication specifically in Nestin expressing cancer cells.</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demonstrated statistically significant survival benefit in preclinical models of brain cancer.</w:t>
      </w:r>
    </w:p>
    <w:p>
      <w:pPr>
        <w:spacing w:after="0" w:line="114" w:lineRule="exact"/>
        <w:rPr>
          <w:rFonts w:ascii="Times New Roman" w:cs="Times New Roman" w:eastAsia="Times New Roman" w:hAnsi="Times New Roman"/>
          <w:sz w:val="17"/>
          <w:szCs w:val="17"/>
          <w:color w:val="auto"/>
        </w:rPr>
      </w:pPr>
    </w:p>
    <w:p>
      <w:pPr>
        <w:ind w:left="1020" w:right="200" w:hanging="368"/>
        <w:spacing w:after="0" w:line="264"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generated favorable tolerability and safety data to date, including not reaching a dose limiting toxicity in the dose range tested in an ongoing investigator-sponsored phase 1b trial.</w:t>
      </w:r>
    </w:p>
    <w:p>
      <w:pPr>
        <w:spacing w:after="0" w:line="55" w:lineRule="exact"/>
        <w:rPr>
          <w:rFonts w:ascii="Times New Roman" w:cs="Times New Roman" w:eastAsia="Times New Roman" w:hAnsi="Times New Roman"/>
          <w:sz w:val="17"/>
          <w:szCs w:val="17"/>
          <w:color w:val="auto"/>
        </w:rPr>
      </w:pPr>
    </w:p>
    <w:p>
      <w:pPr>
        <w:ind w:left="1020" w:right="640" w:hanging="368"/>
        <w:spacing w:after="0" w:line="264"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shown an activity signal in a very difficult to treat brain cancer population, critically defined by a highly immunosuppressive environment.</w:t>
      </w:r>
    </w:p>
    <w:p>
      <w:pPr>
        <w:spacing w:after="0" w:line="55"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been engineered to replicate in a range of other indications characterized by Nestin expression.</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derived from our HSV-based platform that also provides the potential to support expansion of our pipeline with novel agents.</w:t>
      </w:r>
    </w:p>
    <w:p>
      <w:pPr>
        <w:spacing w:after="0" w:line="11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Linoserpaturev is an engineered HSV where the expression of ICP34.5, the gene responsible for viral replication, has been placed under the control of a tumor-specific Nestin promoter. Nestin is a cytoskeletal protein that is overexpressed in glioma cells, but it is absent in the healthy adult brain. In linoserpaturev, ICP34.5 expression is controlled by the Nestin promotor, enabling viral replication selectively in tumor cells. This replication-competent HSV construct provides tumor-specific cytolytic activity, while sparing healthy cells that do not express Nestin.</w:t>
      </w:r>
    </w:p>
    <w:p>
      <w:pPr>
        <w:spacing w:after="0" w:line="69"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This modification of the viral genome of linoserpaturev enables us to maintain the function of ICP34.5, an HSV protein that allows virus replication even in the presence of a suppressive interferon response, under strict control and only in tumor cells.</w:t>
      </w:r>
    </w:p>
    <w:p>
      <w:pPr>
        <w:spacing w:after="0" w:line="5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ICP34.5 is deleted in other HSV oncolytic viruses that may be less tumor selective with an intent of achieving a favorable safety profile, which may result in viruses characterized by poor replication ability and a limited ability to generate an effective anti-tumor immune response.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Clinical Trials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Aglatimagene for Prostate Cancer</w:t>
      </w:r>
    </w:p>
    <w:p>
      <w:pPr>
        <w:spacing w:after="0" w:line="102" w:lineRule="exact"/>
        <w:rPr>
          <w:sz w:val="20"/>
          <w:szCs w:val="20"/>
          <w:color w:val="auto"/>
        </w:rPr>
      </w:pPr>
    </w:p>
    <w:p>
      <w:pPr>
        <w:jc w:val="both"/>
        <w:ind w:right="420"/>
        <w:spacing w:after="0" w:line="249" w:lineRule="auto"/>
        <w:rPr>
          <w:sz w:val="20"/>
          <w:szCs w:val="20"/>
          <w:color w:val="auto"/>
        </w:rPr>
      </w:pPr>
      <w:r>
        <w:rPr>
          <w:rFonts w:ascii="Arial" w:cs="Arial" w:eastAsia="Arial" w:hAnsi="Arial"/>
          <w:sz w:val="17"/>
          <w:szCs w:val="17"/>
          <w:color w:val="auto"/>
        </w:rPr>
        <w:t>We have completed multiple phase 1b and phase 2 clinical trials in non-metastatic prostate cancer using aglatimagene as monotherapy and in combination with SoC. These trials generated favorable tolerability and safety data and also provide evidence to support aglatimagene immune activation, dosing levels and schedules. We have administered aglatimagene to more than 700 patients with localized prostate cancer to date.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Monotherapy Activity</w:t>
      </w:r>
    </w:p>
    <w:p>
      <w:pPr>
        <w:spacing w:after="0" w:line="100"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We have observed what we believe to be a clinical response with aglatimagene as monotherapy in our phase 1b and phase 2a clinical trials. These responses have been consistently observed in patients with prostate cancer, including patients with newly diagnosed, localized disease, as well as those whose cancer was progressing even after radiotherapy.</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newly diagnosed patients with localized prostate cancer, analysis of biopsies following monotherapy aglatimagene treatment revealed a change in glandular architecture, necrosis and increased immune cell infiltration as compared to baseline biopsy. We observed in treated samples a 4-fold increase in the number of CD8+ T cells and a 3-fold increase in the number of CD68+ macrophages, demonstrating an immune response after aglatimagene administration.</w:t>
      </w:r>
    </w:p>
    <w:p>
      <w:pPr>
        <w:spacing w:after="0" w:line="6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another phase 1b/2a clinical trial, patients whose prostate cancer had progressed following radiotherapy and who presented with a persistently rising PSA level, were treated with aglatimagene as monotherapy using six dose levels, ranging from 1x108–1x1011 viral particles. In 27 of the 36 patients recruited a decrease in PSA levels was observed following a single cycle of aglatimagene, as measured by the best PSA decrease in serial assessments within the first 3 months after treatment. PSA is widely employed for patient management in conjunction with biopsy, as rising PSA levels, and in particular PSA doubling time are associated with disease progression. In that same clinical trial, we observed that the PSA doubling time improved significantly (p=0.0271) from 15.9 months at baseline to 42.5 months after a single cycle of aglatimagene administration in this treatment-resistant patient population. A subset of the patients in this trial also received second or third injection courses of aglatimagene. In most of these patients, another decrease from pre-administration PSA levels was observed upon repeated injection.</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December 2024, we completed a phase 2b randomized, double blind, placebo-controlled clinical trial in the United States evaluating the effects of aglatimagene monotherapy in patients with low- to intermediate-risk, localized prostate cancer undergoing active surveillance. We randomized 190 patients: 127 to the aglatimagene arm who received 2 doses of aglatimagene plus valacyclovir and 63 patients who received PBO plus valacyclovir. Enrollment of this trial was completed in May 2019. In December 2024, we reported data showing numerical improvement in time to radical</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2" w:name="page23"/>
    <w:bookmarkEnd w:id="22"/>
    <w:p>
      <w:pPr>
        <w:spacing w:after="0" w:line="244" w:lineRule="auto"/>
        <w:rPr>
          <w:sz w:val="20"/>
          <w:szCs w:val="20"/>
          <w:color w:val="auto"/>
        </w:rPr>
      </w:pPr>
      <w:r>
        <w:rPr>
          <w:rFonts w:ascii="Arial" w:cs="Arial" w:eastAsia="Arial" w:hAnsi="Arial"/>
          <w:sz w:val="17"/>
          <w:szCs w:val="17"/>
          <w:color w:val="auto"/>
        </w:rPr>
        <w:t>treatment and the percentage of patients achieving negative (prostate cancer-free) biopsies at 1-year post-treatment. However, these differences did not reach statistical significance. Aglatimagene was generally well tolerated; AEs were consistent with prior studies. The study may have been underpowered for the primary endpoint of progression-free survival. Also, it is difficult to demonstrate therapeutic efficacy in patients with low-risk disease. The Company has decided to deprioritize the development of aglatimagene in the active surveillance population.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Combination Therapy</w:t>
      </w:r>
    </w:p>
    <w:p>
      <w:pPr>
        <w:spacing w:after="0" w:line="10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Because of the increasing prevalence of combination therapy for cancer patients, the ability to combine novel agents with SoC treatments without overlapping toxicity is of increasing importance. We believe that the favorable tolerability and safety data generated for aglatimagene in our clinical trials is encouraging for our current and future development plans, in combination with other agents where indicated. In clinical trials to date, aglatimagene has been generally well tolerated. Our previous phase 2a clinical trial data informed our agreement with the FDA under the SPA for our phase 3 clinical trial. Previously, we observed that intermediate-risk patients who received aglatimagene in combination with radiotherapy had failure rates that were 75% lower than those reported in four other contemporaneous trials of similar patient populations. Where these other clinical trials reported freedom from failure rates of between 75%-79%, corresponding to cumulative recurrence rates of 21%-25%, aglatimagene resulted in a 5% recurrence rate in patients with intermediate-risk prostate cancer. The median follow-up of patients who received aglatimagene in this phase 2a clinical trial was 5.7 years. Similarly, results in this clinical trial also demonstrated reduced recurrence rates in the low- and high-risk patients enrolled when compared to these other trials. Furthermore, a pathological complete response (pCR) was observed in 93% of the biopsies available at 2yrs (37%-73% in control populations). The endpoint used in our phase 2b trial was freedom from failure (FFF), defined by the period of time between treatment and the occurrence of a clinical or biochemical failure. Under the SPA agreement, we have selected disease-free survival (DFS) as the endpoint for our phase 3 clinical trial. The DFS definition requires an objective detection of tumor progression. This largely overlaps with FFF as biopsy and/or imaging studies are often triggered by detection of increased PSA levels (i.e., biochemical failure). We have also reanalyzed our previous phase 2a data using DFS parameters, supporting the implementation of DFS as endpoint in our phase 3 trial.</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Potentially Registrational Phase 3 Clinical Trial for Localized Prostate Cancer</w:t>
      </w:r>
    </w:p>
    <w:p>
      <w:pPr>
        <w:spacing w:after="0" w:line="10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developing aglatimagene as a potential therapeutic option that could prevent or delay symptoms due to local and metastatic disease progression as well as the long-term severe side effects of salvage anti-cancer therapies, such as hormone therapy or surgical interventions. Based on the data from our clinical trials to date, we believe that aglatimagene has the potential, if approved, to be the first new first-line product candidate approved for patients with localized prostate cancer in over 20 years. We recently reported successful topline data in a potentially registrational phase 3 trial for aglatimagene, under an SPA with the FDA, in newly diagnosed localized prostate cancer in intermediate and high-risk patients in combination with the SoC, radiotherapy.</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This phase 3 clinical trial enrolled 745 patients (711 of which received at least one intraprostatic injection of aglatimagene or PBO), randomized 2:1 to study drug and placebo, respectively. Patients received three investigational treatment courses of aglatimagene, each consisting of four concurrent injections of transrectal or transperineal ultrasound guided administration of aglatimagene followed by a course of oral valacyclovir. The first injection course was given at least 15 days but not more than 8 weeks before starting radiation. The second injection course was given 0-3 days prior to radiotherapy. The third and final injection course was delivered 15-22 days after the second injections. A fixed dose of valacyclovir was given for 14 days after each aglatimagene administration. SoC external beam radiotherapy was administered to patients throughout the course of the trial with a short course (&lt;6 months) ADT as determined by the treating physician.</w:t>
      </w:r>
    </w:p>
    <w:p>
      <w:pPr>
        <w:spacing w:after="0" w:line="74"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Trial inclusion criteria were based on patients with localized prostate cancer meeting the NCCN criteria of intermediate-risk or patients presenting only one NCCN high-risk feature. NCCN intermediate-risk is defined as having at least one of the following: prostate serum antigen (PSA) of 10-20 ng/ml, Gleason Score of 7, and is staged T2b-T2c via the TNM staging system. Patients may also have exhibited one high-risk characteristic that may consist of a PSA of 20+ ng/ml, a Gleason Score of 8-10, or a cancer that is up to stage T3a, but not more than one of these high-risk factors.</w:t>
      </w:r>
    </w:p>
    <w:p>
      <w:pPr>
        <w:spacing w:after="0" w:line="6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SPA specifically defines agreement with the FDA on the statistical design and power of the phase 3 trial as well as the primary endpoint definition. The SPA states that the trial is adequately designed to provide the necessary data that, depending on the outcome, could support a Biologics License Application (BLA) submission. The SPA does note a general condition for all SPAs, that BLA acceptance and approvability are review issues and that a BLA approval will depend on the quality of actual clinical trial data, the robustness of the effect on the stated primary endpoint, the impact on the secondary endpoints, a favorable assessment of the study conduct, and analysis of safety information and other supportive data. We utilized approximately 50 clinical sites for this clinical trial and completed enrollment in September 2021 with 745 patients enrolled.</w:t>
      </w:r>
    </w:p>
    <w:p>
      <w:pPr>
        <w:spacing w:after="0" w:line="7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December 2024, we announced positive topline data from this phase 3 clinical trial after median follow-up time of 50.3 months. The study met its primary endpoint, demonstrating a statistically significant improvement in disease-free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3" w:name="page24"/>
    <w:bookmarkEnd w:id="23"/>
    <w:p>
      <w:pPr>
        <w:spacing w:after="0" w:line="237" w:lineRule="auto"/>
        <w:rPr>
          <w:sz w:val="20"/>
          <w:szCs w:val="20"/>
          <w:color w:val="auto"/>
        </w:rPr>
      </w:pPr>
      <w:r>
        <w:rPr>
          <w:rFonts w:ascii="Arial" w:cs="Arial" w:eastAsia="Arial" w:hAnsi="Arial"/>
          <w:sz w:val="17"/>
          <w:szCs w:val="17"/>
          <w:color w:val="auto"/>
        </w:rPr>
        <w:t>survival compared to the control arm. Treatment with aglatimagene improved DFS by 30% (p=0.0155, HR 0.7, 95% CI 0.52 to 0.94). Median DFS was not reached for the aglatimagene treatment arm vs. 86.1 months in the PBO arm. Prostate cancer-specific DFS (exclusion of non-prostate cancer related deaths) demonstrated a greater effect with a 38% decreased risk in the aglatimagene arm vs. PBO (p=0.0046; HR 0.62, 95% CI 0.44 to 0.87). DFS improvement was observed both in patients receiving short-term ADT and in patients not receiving ADT. A significant increase in the proportion of patients achieving a prostate-specific antigen (PSA) nadir (&lt;0.2 ng/ml) was observed in the treatment arm compared to the placebo control arm (67.1% vs. 58.6%, respectively; p=0.0164). aglatimagene induced 80.4% pathological complete responses in the 2-year post-treatment biopsies compared to 63.6% observed in the control arm (p=0.0015). Aglatimagene was generally well tolerated; the most common aglatimagene-related adverse events were flu-like symptoms, fever and chills, which were generally mild to moderate in severity and self-limited.</w:t>
      </w:r>
    </w:p>
    <w:p>
      <w:pPr>
        <w:spacing w:after="0" w:line="7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 September 2025, we presented subgroup analysis of the phase 3 clinical trial during the 2025 ASTRO Annual Meeting. The data demonstrated that the efficacy of aglatimagene on DFS and prostate-specific DFS was independent of the type of radiotherapy used (conventional EBRT vs. moderate hypofractionated EBRT). For moderate EBRT, the hazard ratio (HR) was 0.52 (95% CI: 0.30–0.93), and for conventional EBRT, the HR was 0.76 (95% CI: 0.53–1.07). Subgroup analyses of prostate cancer-specific DFS demonstrated that aglatimagene outperformed standard of care across all categories, with HRs ranging from 0.49 in patients with intermediate-risk favorable prostate cancer to 0.69 in patients with high-risk disease. We expect to announce supportive data on prostate cancer-specific outcomes (prostate cancer-specific DFS, time to salvage anti-cancer therapy, and time to metastasis) after extended follow-up in the second quarter of 2026.</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Aglatimagene for Non-Small Cell Lung Cancer (NSCLC)</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To assess the potential for aglatimagene to trigger local and systemic immune activation and produce a “hot” tumor phenotype, we designed and completed a clinical trial in patients with surgically resectable lung cancer. In this proof of mechanism phase 1b clinical trial, dose escalation of intratumoral neoadjuvant aglatimagene was followed by tumor resection three weeks later. The specific goal was to obtain biological data to better understand the impact of aglatimagene on the tumor microenvironment, with a specific focus on intratumoral CD8+ tumor infiltrating lymphocyte cell activation and function while also assessing the effects on the systemic immune response. The effects of aglatimagene were evaluated by comparing post-injection specimens to an internal control consisting of each patient’s own pre-treatment needle biopsy and blood samples, and an external cohort of matched patients who underwent standard surgical resection without aglatimagene. The results showed evidence of significant intratumoral and systemic immune activation after experimental aglatimagene monotherapy treatment. Analysis of peripheral blood mononuclear cells, both before and after aglatimagene administration, demonstrated a significant increase in expression of proliferation and activation markers including HLA-DR, CD38 and Ki67 three weeks after aglatimagene initiation. Other relevant findings in this clinical trial included an increase in markers of T cell activation such as PD-1 and CTLA-4, which are targets of ICI that have been approved for use in NSCLC.</w:t>
      </w:r>
    </w:p>
    <w:p>
      <w:pPr>
        <w:spacing w:after="0" w:line="7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this NSCLC phase 1b clinical trial, two patients experienced grade 3 dehydration with renal insufficiency, two patients presented grade 3 urinary retention and six patients were observed to have a grade 4 low lymphocyte count. Of significant interest, one patient, a 70 year-old male with a 14.8 cm stage IIIA sarcomatoid carcinoma, exhibited a nearly 50% decrease in tumor volume at 3 weeks after aglatimagene monotherapy treatment. Collectively, these results led us to believe that aglatimagene could provide an opportunity to improve clinical outcomes in patients with NSCLC and an inadequate response to ICI by eliciting additional and specific immune activation.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Aglatimagene and Checkpoint Combination Phase 2 Clinical Trial for NSCLC in Patients with Inadequate Response to ICI</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2020, we initiated a phase 2 clinical trial of aglatimagene in NSCLC patients with inadequate response to ICI that has enrolled patients receiving SoC ICI (plus chemotherapy if indicated) in combination with two courses of aglatimagene plus continued ICI. This open label clinical trial, as amended, targeted enrollment of approximately 80 patients with stage III/IV NSCLC in two separate cohorts. The cohorts are defined based on response to ICIs at the time of enrollment. Cohort 1 addresses patients with stable disease and Cohort 2 enrolled patients with progressive disease after at least 18 weeks of ICI treatment. Patients continued treatment with their initial ICI and aglatimagene was added to their regimen. The primary efficacy endpoints for this trial were response rate measured by RECIST and/or Disease Control Rate, with overall survival as a key study endpoint; there has been an increasing focus on the gold standard endpoint in this disease, overall survival, consistent with SITC and FDA guidelines.</w:t>
      </w:r>
    </w:p>
    <w:p>
      <w:pPr>
        <w:spacing w:after="0" w:line="74"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We reported initial data from this trial at the ASCO Annual Meeting in June 2022. During our Research and Development Day in December 2022. These data were further supported in an update announced in September 2023, based on a data cutoff of August 1, 2023, where we presented updated data demonstrating evidence of local and systemic anti-tumor activity; a disease control rate of 77% (20/26) in patients entering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w:t>
      </w: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24" w:name="page25"/>
    <w:bookmarkEnd w:id="24"/>
    <w:p>
      <w:pPr>
        <w:ind w:right="20"/>
        <w:spacing w:after="0" w:line="235" w:lineRule="auto"/>
        <w:rPr>
          <w:sz w:val="20"/>
          <w:szCs w:val="20"/>
          <w:color w:val="auto"/>
        </w:rPr>
      </w:pPr>
      <w:r>
        <w:rPr>
          <w:rFonts w:ascii="Arial" w:cs="Arial" w:eastAsia="Arial" w:hAnsi="Arial"/>
          <w:sz w:val="17"/>
          <w:szCs w:val="17"/>
          <w:color w:val="auto"/>
        </w:rPr>
        <w:t>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favorable safety/tolerability data with most treatment-related adverse events being grade 1/2. In May 2024, we announced topline data that showed prolonged overall survival. mOS of 20.6 months was observed following two administrations of aglatimagene plus valacyclovir in NSCLC patients with progressive disease despite ICI therapy, compared to published results of mOS of 11.6 months observed with standard of care docetaxel-based chemotherapy in a similar patient population (Reckamp K et al. J Clin Onc 2022;40:2295-2306). Ninety percent of these patients had stage IV disease at inclusion. Improved mOS was observed in both PD-L1 negative and PD-L1 positive tumors in patients with progressive disease (N=37 patients in cohort 2 for which PD-L1 status at baseline was available). mOS of 22.0 months was observed across all patients (n=46) who had an inadequate response to ICI and who received two administrations of aglatimagene. We confirmed that treatment with aglatimagene resulted in systemic activation of the immune response, including increased numbers of effector and cytotoxic T cells as well as elevated levels of soluble mediators of inflammation. Activation of the systemic immune response was associated with shrinkage of uninjected lesions (abscopal response). 71.4% of patients with metastatic disease and at least one uninjected tumor (n=35) experienced a beneficial effect from aglatimagene treatment on both injected and uninjected tumors. When using a threshold of &gt;5% decrease, more than 60% of patients still showed an abscopal response. We also confirmed that treatment with aglatimagene in NSCLC continued to exhibit a favorable safety and tolerability profile.</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March 2025, we announced overall survival data from this phase 2a clinical trial of aglatimagene in NSCLC. In patients with an inadequate response to immune checkpoint inhibitor (ICI) treatment who received 2 aglatimagene plus valacyclovir courses (Cohort 1+2, per protocol population, n=46), mOS was 24.5 months. In patients with progressive disease, despite ICI treatment (Cohort 2, per protocol population, n=41), mOS was 21.5 months, which is markedly longer than the 9.8–11.8 months of survival reported in published literature in a similar patient population receiving standard of care of docetaxel second-line chemotherapy (Paz-Ares LG et al, J Clin Oncol 2024;42:2860-2872 ; Ahn MJ et al, J Clin Onc 2024;43:260-272). 37% of patients with progressive disease at enrollment were still alive &gt; 24 months after aglatimagene treatment at the time of the March 3, 2025 data cut, suggesting a long tail of survival. 14/15 patients with overall survival &gt; 24 months and 9/9 patients with overall survival &gt; 30 months had non-squamous NSCLC. In patients with non-squamous NSCLC and progressive disease despite ICI (Cohort 2, per protocol population, n=33), observed mOS was 25.4 months after aglatimagene treatment. Aglatimagene continued to exhibit a generally favorable safety and tolerability profile during the extended follow-up period. Based on these positive findings, we plan to initiate a pivotal phase 3 clinical trial of aglatimagene in patients with progressive, metastatic, non-squamous NSCLC despite ICI treatment in the second quarter of 2026. We expect to announce updated data on OS and a long-term survival analysis in the first quarter of 2026.</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Aglatimagene for Pancreatic Cancer</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In a previous phase 1b clinical trial, patients with pancreatic cancer treated with aglatimagene in addition to SoC demonstrated a greater survival duration over the expected survival of the patients treated with the existing SoC alone in a comparison to historical trial results. Furthermore, in the subset of patients where pre- and post-treatment tumor biopsies were available, a statistically significant increase in the number of CD8+ tumor infiltrating lymphocytes was observed. In addition, the study demonstrated that aglatimagene was generally well-tolerated in combination with SoC.</w:t>
      </w:r>
    </w:p>
    <w:p>
      <w:pPr>
        <w:spacing w:after="0" w:line="69"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Next, we conducted a randomized phase 2a clinical trial of aglatimagene in borderline resectable pancreatic cancer. In March 2023, in connection with our cost management and dynamic portfolio management initiatives, we elected to pause new enrollment in this randomized phase 2a clinical trial and decided to first evaluate survival in the enrolled patients. We presented initial clinical data in the fourth quarter of 2023, based on a data cutoff date of August 21, 2023. The initial data showed prolonged and sustained survival in patients who were treated with aglatimagene and there was a separation of the survival rates in the treatment and placebo arms. Estimated survival was 71.4% when 2-3 aglatimagene courses were added to standard neoadjuvant chemoradiotherapy followed by attempted surgical resection compared to 16.7% with standard neoadjuvant chemoradiotherapy followed by attempted surgical resection alone at both 24 and 36 months after treatment. We received FDA Fast Track Designation for aglatimagene plus prodrug (valacyclovir) for the treatment of patients with PDAC to improve overall survival in December 2023. In April 2024, we announced that the FDA granted Orphan Drug Designation for aglatimagene for the treatment of pancreatic cancer. Orphan Designation was also granted by the EMA in July 2025. In April 2024, we also reported topline survival data for the population of patients with borderline resectable PDAC with aglatimagene. Estimated mOS was 28.8 months in the aglatimagene group versus 12.5 months in the control group. Importantly, 4 out of 7 patients who received aglatimagene were still alive at the time of data cutoff, with 2 patients surviving more than 50.0 months from enrollment. Only 1 out of 6 patients, randomized to control SoC chemotherapy alone, remained alive at data cutoff (alive at 50.6 months). Biomarker data analysis demonstrated consistent and robust activation of immune response after dosing with aglatimagene. Addition of aglatimagene regimen to SoC was generally well tolerated, with no dose-limiting toxicities, including no cases of pancreatitis.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ind w:right="20"/>
        <w:spacing w:after="0" w:line="235" w:lineRule="auto"/>
        <w:rPr>
          <w:sz w:val="20"/>
          <w:szCs w:val="20"/>
          <w:color w:val="auto"/>
        </w:rPr>
      </w:pPr>
      <w:r>
        <w:rPr>
          <w:rFonts w:ascii="Arial" w:cs="Arial" w:eastAsia="Arial" w:hAnsi="Arial"/>
          <w:sz w:val="17"/>
          <w:szCs w:val="17"/>
          <w:color w:val="auto"/>
        </w:rPr>
        <w:t>In February 2025, we presented final data from this randomized clinical trial. Prolonged and sustained survival was observed after experimental treatment with aglatimagene compared to the control group in patients with borderline resectable PDAC (n=13): estimated median overall survival after enrollment was 31.4 months in the aglatimagene group versus only 12.5 months in the control group. Median survival post-progression was 21.2 months in patients who received aglatimagene compared to 7.2 months in the control arm. Importantly, 3 out of 7 patients who received aglatimagene were still alive at the time of data cut-off (February 20, 2025) with a survival of 66.0, 63.6, and 35.8 months, respectively, after enrollment; survival from the time of diagnosis for these patients was 73.5, 68.8, and 41.3 months, respectively. Of these, the first patient had stage IV metastatic disease detected during surgery, the second had residual tumor present at the resection margin, and the third had adenocarcinoma with negative resection margins. In contrast, only one out of 6 patients randomized to SoC chemotherapy arm remained alive at the data cutoff (61.2 months from enrollment and 65.5 months from diagnosis); histologic analysis at resection showed intraepithelial neoplasia without evidence of residual adenocarcinoma in this patient, which is associated with improved prognosis. Taken together, the data supports the potential of aglatimagene across various solid tumors. In October 2025, we decided to pause on further clinical development of aglatimagene in PDAC, in the context of portfolio prioritization, unless externally funded through a grant or other non-dilutive external funding.</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Opportunities for Aglatimagene in Other Cancer Indications</w:t>
      </w:r>
    </w:p>
    <w:p>
      <w:pPr>
        <w:spacing w:after="0" w:line="10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 addition to patients with prostate, lung, pancreatic, and brain cancer, aglatimagene has been dosed in small early-stage exploratory clinical trials in patients with ovarian cancer, malignant pleural effusion, pediatric brain cancer and retinoblastoma, supporting the tolerability and safety profile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Linoserpaturev for Recurrent High-grade Glioma</w:t>
      </w:r>
    </w:p>
    <w:p>
      <w:pPr>
        <w:spacing w:after="0" w:line="102"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Our first HSV-based product candidate, linoserpaturev, is in an ongoing investigator-sponsored phase 1b clinical trial in recurrent HGG. This is an open-label, dose-escalation clinical trial in patients who have failed SoC. The primary objective of this clinical trial is to analyze the safety of</w:t>
      </w:r>
    </w:p>
    <w:p>
      <w:pPr>
        <w:spacing w:after="0" w:line="1" w:lineRule="exact"/>
        <w:rPr>
          <w:sz w:val="20"/>
          <w:szCs w:val="20"/>
          <w:color w:val="auto"/>
        </w:rPr>
      </w:pPr>
    </w:p>
    <w:p>
      <w:pPr>
        <w:ind w:right="200"/>
        <w:spacing w:after="0" w:line="221" w:lineRule="auto"/>
        <w:rPr>
          <w:sz w:val="20"/>
          <w:szCs w:val="20"/>
          <w:color w:val="auto"/>
        </w:rPr>
      </w:pPr>
      <w:r>
        <w:rPr>
          <w:rFonts w:ascii="Arial" w:cs="Arial" w:eastAsia="Arial" w:hAnsi="Arial"/>
          <w:sz w:val="17"/>
          <w:szCs w:val="17"/>
          <w:color w:val="auto"/>
        </w:rPr>
        <w:t>linoserpaturev use in patients with recurrent HGG. No dose-limiting toxicities were observed in doses ranging from 1x10</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to 1x10</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PFU in half-log increments. Sixty-three patients have been treated.</w:t>
      </w:r>
    </w:p>
    <w:p>
      <w:pPr>
        <w:spacing w:after="0" w:line="73" w:lineRule="exact"/>
        <w:rPr>
          <w:sz w:val="20"/>
          <w:szCs w:val="20"/>
          <w:color w:val="auto"/>
        </w:rPr>
      </w:pPr>
    </w:p>
    <w:p>
      <w:pPr>
        <w:ind w:right="760"/>
        <w:spacing w:after="0" w:line="267" w:lineRule="auto"/>
        <w:rPr>
          <w:sz w:val="20"/>
          <w:szCs w:val="20"/>
          <w:color w:val="auto"/>
        </w:rPr>
      </w:pPr>
      <w:r>
        <w:rPr>
          <w:rFonts w:ascii="Arial" w:cs="Arial" w:eastAsia="Arial" w:hAnsi="Arial"/>
          <w:sz w:val="17"/>
          <w:szCs w:val="17"/>
          <w:color w:val="auto"/>
        </w:rPr>
        <w:t>Immunohistologic studies showed persistent presence of HSV antigen and infiltration by CD8+ cytotoxic tumor infiltrating lymphocytes post treatment, providing support for the expected mechanism of action of linoserpaturev.</w:t>
      </w:r>
    </w:p>
    <w:p>
      <w:pPr>
        <w:spacing w:after="0" w:line="5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are particularly encouraged by the clinical course of a few patients who received a single injection with linoserpaturev as monotherapy upon recurrency of glioblastoma. One patient, originally diagnosed with multicentric glioblastoma and initially treated with SoC surgical resection followed by temozolomide and radiotherapy received linoserpaturev monotherapy, upon recurrency with development of two lesions visualized on MRI. One lesion, in the frontal region, had developed at the site of the initially resected mass. The second, larger mass was a new lesion. The patient received linoserpaturev via stereotactic administration into the injected lesion. At day 56 post-injection, there was a visible decrease in the volume of both masses. By day 112 post-injection, the volume of both masses was further reduced and the patient was able to go back to work. The patient eventually developed a third lesion, experienced a stroke secondary to a diagnostic procedure, and refused further treatment, dying approximately 15 months after entering the trial. A second patient initially diagnosed with methylated grade IV HGG located in the temporal lobe underwent 2 consecutive resections and treatment with chemoradiation for rapid progressive disease. The patient was injected with linoserpaturev (10E8 pfus), at the site of the original lesion. An MRI scan performed at day 91 showed increased enhancement at the site of injection. The patient underwent an additional resection, but, importantly, histologic report showed mainly inflammatory tissue with high density of tumor infiltrating lymphocytes. The patient did not have detectable disease, in absence of any additional treatment for more than 2 years and passed away as passenger of a car accident on day 717 post linoserpaturev treatment. Another patient, originally diagnosed with grade IV astrocytoma, was treated with linoserpaturev for a recurrence following first-line therapy with subtotal resection, chemoradiation and adjuvant temozolomide. At time of recurrence, a mass was evident in the left frontal lobe. The patient was enrolled in arm B of the phase 1b clinical trial which includes treatment with Cytoxan (24 mg/kg one dose day -2) prior to linoserpaturev injection. Post-treatment scan demonstrated progressive reduction in enhancement with cavitary necrosis at the site of injection. The patient remains clinically stable as of February 2026 and has not required additional therapies in the two years post linoserpaturev treatment. We find these case reports to be encouraging because of the unusually favorable disease course experienced by these patients with recurrent HGG who had previously failed SoC treatment, in absence of concurrent therapies. Additionally, we have observed a mOS of 11.8 months in the phase 1b trial in the first 41 patients as of the cutoff date of April 20, 2023. This data was confirmed in an independent cohort of 9 patients (cohort B; mOS 12.0 months). Prolonged survival after linoserpaturev treatment was associated with HSV-1 seropositivity as well as with changes in T cell fractions and TCRβ diversity. Given the mOS of less than 6-9 months in historical clinical trials of other investigational agents in patients with recurrent HGG, who had failed SoC treatment, we believe this is encouraging evidence of clinical activity. In May 2024, we announced that the FDA granted Orphan Drug Designation for linoserpaturev for the treatment of recurrent HGG. In October 2024, during the 16th Annual IOVC, we announced clinical activity and biomarker data for arm C. The principal investigator of the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6" w:name="page27"/>
    <w:bookmarkEnd w:id="26"/>
    <w:p>
      <w:pPr>
        <w:jc w:val="both"/>
        <w:ind w:right="120"/>
        <w:spacing w:after="0" w:line="249" w:lineRule="auto"/>
        <w:rPr>
          <w:sz w:val="20"/>
          <w:szCs w:val="20"/>
          <w:color w:val="auto"/>
        </w:rPr>
      </w:pPr>
      <w:r>
        <w:rPr>
          <w:rFonts w:ascii="Arial" w:cs="Arial" w:eastAsia="Arial" w:hAnsi="Arial"/>
          <w:sz w:val="17"/>
          <w:szCs w:val="17"/>
          <w:color w:val="auto"/>
        </w:rPr>
        <w:t>study reported ongoing improved survival compared to historical controls in patients treated with multiple injections of linoserpaturev, with 3 out of 6 patients with recurrent HGG still alive more than one year (12.2, 13.0, and 18.7 months, respectively) after initiation of experimental treatment with linoserpaturev.</w:t>
      </w:r>
    </w:p>
    <w:p>
      <w:pPr>
        <w:spacing w:after="0" w:line="67"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In October 2025, we also announced updated OS data for Arm A and Arm B as of August 15, 2025. The updated mOS was 11.8 months for arm A (n=41) (CI: 8.3–14.9) and 12.0 months for arm B (n=9) (CI: 10.0–NA), respectively, after a single injection of linoserpaturev. One patient from arm A and one patient from arm B were still alive after prolonged follow-up (59.2 and 42.4 months, respectively, after linoserpaturev administration).</w:t>
      </w:r>
    </w:p>
    <w:p>
      <w:pPr>
        <w:spacing w:after="0" w:line="4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At the time of data cutoff, 9 patients in arm C had received multiple administrations of linoserpaturev. At the 1×10⁸ plaque-forming unit (PFU) dose, 3 patients received 4 injections, 1 patient received 5 injections, and 2 patients received 6 injections. At the 1×10⁷ PFU dose, 1 patient received 4 injections, and 2 patients received 5 injections. Median follow-up was 8.9 months. Four out of 9 patients were alive at the time of data cutoff (range 3.1-28.2 months after initiation of linoserpaturev treatment). Five patients had died, of which 3 died more than one year after initiation of linoserpaturev treatment (range 5.5-21.8 months). We have recently completed recruitment of Arm C and we expect to present mature mOS data and an update on long-term survivors in the fourth quarter of 2026. In January 2026, we received clearance for an IND that will support enabling work for a potential future randomized controlled phase 2 dose regimen finding study of linoserpaturev in recurrent glioblastoma.</w:t>
      </w:r>
    </w:p>
    <w:p>
      <w:pPr>
        <w:spacing w:after="0" w:line="69" w:lineRule="exact"/>
        <w:rPr>
          <w:sz w:val="20"/>
          <w:szCs w:val="20"/>
          <w:color w:val="auto"/>
        </w:rPr>
      </w:pPr>
    </w:p>
    <w:p>
      <w:pPr>
        <w:ind w:right="120"/>
        <w:spacing w:after="0" w:line="364" w:lineRule="auto"/>
        <w:rPr>
          <w:sz w:val="20"/>
          <w:szCs w:val="20"/>
          <w:color w:val="auto"/>
        </w:rPr>
      </w:pPr>
      <w:r>
        <w:rPr>
          <w:rFonts w:ascii="Arial" w:cs="Arial" w:eastAsia="Arial" w:hAnsi="Arial"/>
          <w:sz w:val="17"/>
          <w:szCs w:val="17"/>
          <w:color w:val="auto"/>
        </w:rPr>
        <w:t xml:space="preserve">The FDA previously granted Fast Track Designation and Orphan Drug Designation to linoserpaturev in recurrent HGG based on an earlier data cut. </w:t>
      </w:r>
      <w:r>
        <w:rPr>
          <w:rFonts w:ascii="Arial" w:cs="Arial" w:eastAsia="Arial" w:hAnsi="Arial"/>
          <w:sz w:val="17"/>
          <w:szCs w:val="17"/>
          <w:b w:val="1"/>
          <w:bCs w:val="1"/>
          <w:color w:val="auto"/>
        </w:rPr>
        <w:t>Collaborations and Other Transactions</w:t>
      </w:r>
    </w:p>
    <w:p>
      <w:pPr>
        <w:spacing w:after="0" w:line="1"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are a party to various license, royalty and collaboration agreements under which we license patents, patent applications and other intellectual property to and from third parties. These licenses impose various diligence and financial payment obligations on us. We expect to continue to enter into these types of license agreements in the future. We consider the following license and collaboration agreements to be material to our business:</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 xml:space="preserve">RTW. </w:t>
      </w:r>
      <w:r>
        <w:rPr>
          <w:rFonts w:ascii="Arial" w:cs="Arial" w:eastAsia="Arial" w:hAnsi="Arial"/>
          <w:sz w:val="17"/>
          <w:szCs w:val="17"/>
          <w:color w:val="auto"/>
        </w:rPr>
        <w:t>On February 19, 2026, we entered into a purchase and sale agreement (the RTW Purchase Agreement) with funds managed by RTW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LP (RTW). Under the terms of the RTW Purchase Agreement, RTW has agreed to pay us $100 million (the RTW Purchase Price) upon the marketing approval of aglatimagene for the treatment of intermediate-risk and high-risk localized prostate cancer by the FDA in exchange for a tiered royalty on future net sales of aglatimagene in the United States. RTW will be entitled to a 4.67% royalty on the portion of annual net sales in the United States that is less than or equal to $1 billion, and a 1.33% royalty on the portion of annual net sales in the United States, exceeding $1 billion. The 4.67% tier will increase to 6.67% if annual net sales do not achieve certain specified levels (the Ratchet), subject to a cure opportunity by us (provided that such Ratchet and cure opportunity may each subsequently occur more than once).</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royalty payments become payable following the first commercial sale of aglatimagene in the United States and end upon RTW’s receipt of $250 million in royalty payments (the RTW Royalty Cap). If we undergo a change of control with, or sell aglatimagene and all of the aglatimagene rights to, a third party, the RTW Purchase Agreement provides the Company and RTW with an option for us to pay certain specified amounts to terminate the RTW Purchase Agreement, depending upon the timing for such transaction, up to the RTW Royalty Cap (the Buy-Out Option). If either party exercises the Buy-Out Option, the RTW Purchase Agreement will automatically terminate upon payment of the specified amount.</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transaction is subject to certain closing conditions, including that FDA approval must occur by a specified date, conditions related to our indebtedness and other customary closing conditions. The RTW Purchase Agreement also contains customary representations, warranties and indemnities on the part of us and RTW and customary covenants on the part of us, including around our indebtedness as well as licensing and other activities related to aglatimagene and its rights.</w:t>
      </w:r>
    </w:p>
    <w:p>
      <w:pPr>
        <w:spacing w:after="0" w:line="69"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 xml:space="preserve">Periphagen.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as well as certain physical property and equipment.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ind w:right="140"/>
        <w:spacing w:after="0" w:line="249" w:lineRule="auto"/>
        <w:rPr>
          <w:sz w:val="20"/>
          <w:szCs w:val="20"/>
          <w:color w:val="auto"/>
        </w:rPr>
      </w:pPr>
      <w:r>
        <w:rPr>
          <w:rFonts w:ascii="Arial" w:cs="Arial" w:eastAsia="Arial" w:hAnsi="Arial"/>
          <w:sz w:val="17"/>
          <w:szCs w:val="17"/>
          <w:color w:val="auto"/>
        </w:rPr>
        <w:t>In addition, pursuant to the Periphagen Agreements, we undertook certain commitments and obligations, including the assumption of Periphagen’s outstanding loan in the principal amount of $1,000,000 with Diamyd Medical, AB. The promissory note has a contractual interest rate of 2% compounded annually, with the outstanding balance and accrued interest due upon maturity in November 2027, with no interim installments.</w:t>
      </w:r>
    </w:p>
    <w:p>
      <w:pPr>
        <w:spacing w:after="0" w:line="6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In consideration for the licenses under the Periphagen Agreements, we paid Periphagen $811,000 upon signing and agreed to make the following royalty and other payments:</w:t>
      </w:r>
    </w:p>
    <w:p>
      <w:pPr>
        <w:spacing w:after="0" w:line="51" w:lineRule="exact"/>
        <w:rPr>
          <w:sz w:val="20"/>
          <w:szCs w:val="20"/>
          <w:color w:val="auto"/>
        </w:rPr>
      </w:pPr>
    </w:p>
    <w:p>
      <w:pPr>
        <w:ind w:left="760" w:hanging="378"/>
        <w:spacing w:after="0" w:line="249" w:lineRule="auto"/>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NT-3 Assets: a single digit percentage of net sales of NT-3 Assets, or, if applicable, a percentage of royalties received by us in the event of a license, sublicense, assignment or other transfer to a third party for commercialization (but no greater than the original royalty percentage we would be required to pay in the event we did not license, sublicense, assign or transfer NT-3 Assets);</w:t>
      </w:r>
    </w:p>
    <w:p>
      <w:pPr>
        <w:spacing w:after="0" w:line="65" w:lineRule="exact"/>
        <w:rPr>
          <w:rFonts w:ascii="Times New Roman" w:cs="Times New Roman" w:eastAsia="Times New Roman" w:hAnsi="Times New Roman"/>
          <w:sz w:val="17"/>
          <w:szCs w:val="17"/>
          <w:color w:val="auto"/>
        </w:rPr>
      </w:pPr>
    </w:p>
    <w:p>
      <w:pPr>
        <w:ind w:left="760" w:right="260" w:hanging="378"/>
        <w:spacing w:after="0" w:line="243" w:lineRule="auto"/>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Gene Transfer Neuro-Assets: a single digit percentage of net sales of Gene Transfer Neuro-Assets, or, if applicable, a percentage of royalties received by us in the event of a license, sublicense, assignment or other transfer to a third party for commercialization to treat certain conditions and diseases (but no greater than the original royalty percentage we would be required to pay in the event we did not license, sublicense, assign or transfer Gene Transfer Neuro-Assets);</w:t>
      </w:r>
    </w:p>
    <w:p>
      <w:pPr>
        <w:spacing w:after="0" w:line="71"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Combination Products: a certain percentage (based on the weighted average sale price of NT-3 Assets, or Gene Transfer Neuro-Assets, as applicable) of net sales of combination products; and</w:t>
      </w:r>
    </w:p>
    <w:p>
      <w:pPr>
        <w:spacing w:after="0" w:line="51" w:lineRule="exact"/>
        <w:rPr>
          <w:rFonts w:ascii="Times New Roman" w:cs="Times New Roman" w:eastAsia="Times New Roman" w:hAnsi="Times New Roman"/>
          <w:sz w:val="17"/>
          <w:szCs w:val="17"/>
          <w:color w:val="auto"/>
        </w:rPr>
      </w:pPr>
    </w:p>
    <w:p>
      <w:pPr>
        <w:ind w:left="760" w:right="200" w:hanging="378"/>
        <w:spacing w:after="0"/>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Disposition Income: (i) a single digit royalty rate of certain consideration we receive for the grant of a license, assignment or other intellectual property rights related to the NT-3 Assets and (ii) if we consummate a strategic collaboration with certain specified parties to treat non-oncologic neurological conditions and diseases, either 2nd decile (if consummated within 18 months) or mid-2nd decile to mid-3rd decile (if consummated thereafter) royalty rates of certain consideration we receive for the grant of a license, assignment or other intellectual property rights related to the Gene Transfer Neuro-Assets.</w:t>
      </w:r>
    </w:p>
    <w:p>
      <w:pPr>
        <w:spacing w:after="0" w:line="75"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If we are required to pay royalties to a third party on any product covered under the Periphagen Agreements, we may credit such royalty payments against the royalties owed to Periphagen in the applicable country, up to a percentage reduction in the mid-2nd decile.</w:t>
      </w:r>
    </w:p>
    <w:p>
      <w:pPr>
        <w:spacing w:after="0" w:line="5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exclusive license agreement with Periphagen (the Periphagen License Agreement) requires us to use commercially reasonable efforts to complete a human proof of concept clinical trial of an NT-3 Asset, which includes certain specified clinical milestones. If we fail to use such efforts, subject to dispute and escalation provisions in the Periphagen License Agreement, then we may submit a specified payment in lieu of satisfying such obligations. If we fail to do so, Periphagen may terminate the Periphagen License Agreement for material breach.</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On June 7, 2023, the parties entered into an amendment to the Periphagen License Agreement.</w:t>
      </w:r>
    </w:p>
    <w:p>
      <w:pPr>
        <w:spacing w:after="0" w:line="10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Periphagen License Agreement expires on the later of December 9, 2069 or the end of the Royalty Term. Upon expiration, we will have a fully paid-up, non-exclusive license to make, use, sell, offer for sale and import any products that incorporate the Licensed IP Rights. The Royalty Term means, on a product-by-product and country-by-country basis, the period starting on the first commercial sale of such product in such country and concluding on the later of (i) expiration of patent coverage under the Licensed IP Rights or regulatory exclusivity for such product in such country; or (ii) the date that a certain amount of generic competition exists in such country, provided that no Royalty Term shall exceed 30 years.</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Periphagen License Agreement may be terminated (i) by us for convenience upon 90 days’ prior written notice to Periphagen, (ii) by Periphagen if we remain in breach of the Periphagen Agreement following a cure period to remedy the breach or (iii) by Periphagen if we become bankrupt, file for bankruptcy or otherwise become insolvent or are placed in receivership.</w:t>
      </w:r>
    </w:p>
    <w:p>
      <w:pPr>
        <w:spacing w:after="0" w:line="6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i w:val="1"/>
          <w:iCs w:val="1"/>
          <w:color w:val="auto"/>
        </w:rPr>
        <w:t xml:space="preserve">Mass General Brigham (MGB). </w:t>
      </w:r>
      <w:r>
        <w:rPr>
          <w:rFonts w:ascii="Arial" w:cs="Arial" w:eastAsia="Arial" w:hAnsi="Arial"/>
          <w:sz w:val="17"/>
          <w:szCs w:val="17"/>
          <w:color w:val="auto"/>
        </w:rPr>
        <w:t>On January 20, 2018, we entered into an exclusive option agreement (the Option Agreement) with MGB.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Option Agreement, we obtained the exclusive right from MGB to negotiate a world-wide, royalty-bearing license to develop and commercialize products covered by certain MGB patents, including those patents covering linoserpaturev,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7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up to $750,000 for the performance of a specified phase 1 clinical trial by MGB pursuant to a protocol summary contained in the Option Agreement.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8" w:name="page29"/>
    <w:bookmarkEnd w:id="28"/>
    <w:p>
      <w:pPr>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of $100,000. We also agreed to reimburse MGB for all reasonable fees and expenses MGB had incurred and will incur for the preparation, filing, prosecution and maintenance of the licensed patent rights, in an amount equal to $141,268.</w:t>
      </w:r>
    </w:p>
    <w:p>
      <w:pPr>
        <w:spacing w:after="0" w:line="76"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Under the MGB License Agreement, we are required to use commercially reasonable efforts to develop and make available to the public Licensed Products in the Licensed Field, which efforts include certain milestones detailed in the MGB License Agreement.</w:t>
      </w:r>
    </w:p>
    <w:p>
      <w:pPr>
        <w:spacing w:after="0" w:line="51"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Under the MGB License Agreement, prior to the first commercial sale of the Licensed Products, we are required to pay MGB an annual license fee beginning on the fourth anniversary of the effective date. Following the first commercial sale of the Licensed Products, we are required to pay MGB an annual minimum royalty, which amount may be credited against earned royalties starting in the fourth year following the first commercial sale.</w:t>
      </w:r>
    </w:p>
    <w:p>
      <w:pPr>
        <w:spacing w:after="0" w:line="67"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addition to such annual license fee and royalty obligations, the MGB License Agreement contains cumulative milestone payments for up to a maximum amount of $39,000,000, upon the achievement of various clinical, commercial and sales milestones of clinical and commercial development and sales, certain of which milestones apply to development and sale of any Licensed Product as a monotherapy and certain of which milestones apply to development and sale of any Licensed Product in combination with another therapy modality for the treatment of solid tumors.</w:t>
      </w:r>
    </w:p>
    <w:p>
      <w:pPr>
        <w:spacing w:after="0" w:line="6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are required to pay royalties to MGB upon first commercial sale of the Licensed Products, which are paid at an increasing rate as net sales increase, ranging from low single digits to high single digits. We also agreed to pay a single digit royalty rate on net sales of any products developed using certain MGB know-how but which is not covered by the licensed patent rights, or derived products.</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may reduce our royalty obligations to MGB on any product (but not derived products) by an agreed-upon percentage if we are required to pay a royalty to a third party to avoid patent infringement claims in respect of our development and commercialization of Licensed Products. The royalty rate paid to MGB may not fall below a pre-specified percentage for the sale of any product and another percentage for the sale of any derived product.</w:t>
      </w:r>
    </w:p>
    <w:p>
      <w:pPr>
        <w:spacing w:after="0" w:line="69"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Our obligation to pay royalties to MGB expires on a country-by-country basis on the latest of (i) the date upon which there ceases to be a valid claim of patent rights as further detailed in the MGB License Agreement in such country, (ii) expiration of statutory or regulatory exclusivity in such country and (iii) 10 years after the first commercial sale.</w:t>
      </w:r>
    </w:p>
    <w:p>
      <w:pPr>
        <w:spacing w:after="0" w:line="67"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MGB License Agreement also requires us to pay a percentage of any non-royalty income attributable to the sublicense, including (i) 2nd decile rates if such sublicense occurs prior to dosing the first patient in a phase 2 trial, (ii) 1st decile rates if such sublicense occurs after dosing the first patient in a phase 2 trial but before approval of a BLA by the FDA (or the equivalent approval and regulatory body in another major market country) and (iii) single digit rates if such sublicense occurs after approval of a BLA by the FDA (or the equivalent approval and regulatory body in another major market country).</w:t>
      </w:r>
    </w:p>
    <w:p>
      <w:pPr>
        <w:spacing w:after="0" w:line="7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MGB License Agreement expires on the latest of (i) the 10th anniversary of the first commercial sale in the last country which has a commercial sale, (ii) the date on which all relevant issued patents and filed patent applications have expired or been abandoned and (iii) upon the expiration of market exclusivity on the applicable product.</w:t>
      </w:r>
    </w:p>
    <w:p>
      <w:pPr>
        <w:spacing w:after="0" w:line="6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MGB License Agreement may be terminated by MGB (i) if we fail to pay any amounts owed under the terms of the agreement within a specified cure period, (ii) if we fail to maintain insurance in accordance with the MGB License Agreement, (iii) if we file for bankruptcy, or (iv) if we remain in default of the MGB License Agreement for non-financial reasons following a specified cure period to remedy the breach. The MGB License Agreement may be terminated by us for convenience upon 90 days’ prior written notice.</w:t>
      </w:r>
    </w:p>
    <w:p>
      <w:pPr>
        <w:spacing w:after="0" w:line="69"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Ventagen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LLC (Ventagen).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sublicenses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9" w:name="page30"/>
    <w:bookmarkEnd w:id="29"/>
    <w:p>
      <w:pPr>
        <w:ind w:right="740"/>
        <w:spacing w:after="0" w:line="267" w:lineRule="auto"/>
        <w:rPr>
          <w:sz w:val="20"/>
          <w:szCs w:val="20"/>
          <w:color w:val="auto"/>
        </w:rPr>
      </w:pPr>
      <w:r>
        <w:rPr>
          <w:rFonts w:ascii="Arial" w:cs="Arial" w:eastAsia="Arial" w:hAnsi="Arial"/>
          <w:sz w:val="17"/>
          <w:szCs w:val="17"/>
          <w:color w:val="auto"/>
        </w:rPr>
        <w:t>Use), or the Licensed Products, for commercial sale and distribution within Mexico, Belize, Guatemala, Honduras, El Salvador, Costa Rica, Nicaragua, Panama, Colombia and Bolivia (or the Territory).</w:t>
      </w:r>
    </w:p>
    <w:p>
      <w:pPr>
        <w:spacing w:after="0" w:line="51"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Under the Ventagen Agreement, Ventagen agreed to use commercially reasonable efforts to develop and commercialize Licensed Products in the Territory in the Field of Use.</w:t>
      </w:r>
    </w:p>
    <w:p>
      <w:pPr>
        <w:spacing w:after="0" w:line="51"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Ventagen agreed to pay us $1,000,000 for research and development, which we received in 2014 and 2015, and agreed to pay us a fixed future milestone payment of $2,500,000 upon Ventagen’s achievement of a specified amount of sales of a Licensed Product, which is subject to certain reductions for our direct cost over a specified threshold.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Ventagen also agreed to purchase all of its clinical and commercial supply of Licensed Products from us required for clinical or commercial purposes at a price of cost plus a specified increase of the wholesale price of the Licensed Products, subject to a minimum and maximum price, through the end of the Royalty Term, which is defined as the period commencing on the effective date of the Ventagen Agreement and ending on a country-by-country basis on the later of (i) the last expiration date of the patent rights covering a Licensed Product, (ii) twelve years from the receipt of marketing authorization of the Licensed Product in the applicable country, or (iii) the date a generic version of a Licensed Product that is manufactured, owned or controlled by a third party is granted a market authorization. If we are unable or unwilling to manufacture supply under the terms of the Ventagen Agreement, Ventagen has the right to manufacture its own supply and will be required to pay to us a fixed fee per dose sold by Ventagen, its affiliates, agents, sublicensee or end users. We have also agreed to provide certain services to Ventagen related to Ventagen’s development plan.</w:t>
      </w:r>
    </w:p>
    <w:p>
      <w:pPr>
        <w:spacing w:after="0" w:line="24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Ventagen Agreement expires on the date of the expiration of the final Royalty Term in all countries in the Territory. The Ventagen Agreement may be terminated (i) by Ventagen at will upon 30 days’ prior written notice to us, (ii) by us subject to a specified notice period if Ventagen files for bankruptcy or becomes insolvent or (iii) by us if Ventagen remains in material breach of the Ventagen Agreement following notice and a cure period to remedy the breach. Ventagen retains an irrevocable, perpetual, paid up, royalty-free license, with rights of sublicense to use, have used, lease, import and export, offer to sell, sell, have sold, product, distribute and market Licensed Products in each country in the Territory after the expiration of the Royalty Term in such country.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aglatimagene and linoserpaturev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&amp; Co., Novartis, Pfizer, Genentech, and Johnson &amp; Johnson.</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Group, Inc., Amgen Inc., Astellas Pharma, Inc, Istari Oncology Inc, Orca Therapeutics, B.V., CG Oncology, Inc, ImmVira Co., Ltd., IconOVir Bio, Inc., and FerGene, Inc.,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the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0" w:name="page31"/>
    <w:bookmarkEnd w:id="30"/>
    <w:p>
      <w:pPr>
        <w:ind w:right="220"/>
        <w:spacing w:after="0" w:line="364" w:lineRule="auto"/>
        <w:rPr>
          <w:sz w:val="20"/>
          <w:szCs w:val="20"/>
          <w:color w:val="auto"/>
        </w:rPr>
      </w:pPr>
      <w:r>
        <w:rPr>
          <w:rFonts w:ascii="Arial" w:cs="Arial" w:eastAsia="Arial" w:hAnsi="Arial"/>
          <w:sz w:val="17"/>
          <w:szCs w:val="17"/>
          <w:color w:val="auto"/>
        </w:rPr>
        <w:t xml:space="preserve">price, if required, the level of biosimilar or generic competition and the availability of reimbursement from government and other third-party payors. </w:t>
      </w:r>
      <w:r>
        <w:rPr>
          <w:rFonts w:ascii="Arial" w:cs="Arial" w:eastAsia="Arial" w:hAnsi="Arial"/>
          <w:sz w:val="17"/>
          <w:szCs w:val="17"/>
          <w:b w:val="1"/>
          <w:bCs w:val="1"/>
          <w:color w:val="auto"/>
        </w:rPr>
        <w:t>Commercialization</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utilize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partnering opportunities may all influence or alter our commercialization plans.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have established an operations leadership team with extensive experience in manufacturing biologics based on viruses, including viral immunotherapy products and gene therapy products, and in the construction, validation, approval and operation of facilities designed to manufacture biologics. We have secured a third-party contract manufacturing organization for clinical and commercial-scale manufacturing of our aglatimagene and linoserpaturev product candidates. We rely and expect to continue to rely on such contract manufacturing organizations to produce our biologic candidates, and if approved, biological products.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With regard to patent exclusivities, we have or are pursuing patent protection for our clinical aglatimagene and linoserpaturev product candidates and our enLIGHTEN™ Discovery Platform. With regard to our aglatimagene product candidate, we own a U.S. patent and one pending U.S. patent application that relate to methods of decreasing tumor burden and micrometastases using aglatimagene in combination with an immune checkpoint inhibitor. The issued patent and pending application, if issued, are expected to expire in 2034. We also own one pending International patent application filed under the Patent Cooperation Treaty (International application) that relates to methods of treating non-squamous non-small cell lung cancer and non-resectable, non-small cell lung cancer using aglatimagene, one International application that relates to methods of treating non-resectable, non-small cell lung cancer by administering aglatimagene to a disease positive lymph node, and one pending International application that relates to methods of treating prostate cancer using aglatimagene. Patents claiming priority to the International applications relating to lung cancer, if issued, are expected to expire in 2044. Patents claiming priority to the International application relating to prostate cancer, if issued, are expected to expire in 2045. We also own a pending U.S. provisional patent application that relates to formulations and methods of manufacture of aglatimagene. Patents claiming priority to this provisional application, if issued, are expected to expire in 2046.</w:t>
      </w:r>
    </w:p>
    <w:p>
      <w:pPr>
        <w:spacing w:after="0" w:line="7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With regard to our linoserpaturev product candidate, we have exclusively licensed from MGB a patent family that includes issued patents in the United States, Australia, Canada, China, Europe, Japan and Korea, and patent applications pending in Europe that relate to the composition of matter of the vector used in our linoserpaturev product candidate. The issued patents and the pending applications, if issued, are expected to expire in 2036. In addition, we own a pending International patent application that relates to methods of treating melanoma with linoserpaturev. Patents claiming priority to this International application, if issued, are expected to expire in 2045.</w:t>
      </w:r>
    </w:p>
    <w:p>
      <w:pPr>
        <w:spacing w:after="0" w:line="7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With regard to our enLIGHTEN™ Discovery Platform, we have exclusively in-licensed from Periphagen a patent family that includes issued patents in the United States, China, and Europe and patent applications pending in the United States and China that relate to the composition of matter of the HSV vector used in our enLIGHTEN™ Discovery Platform. The issued patents and the pending applications, if issued, are expected to expire in 2037. In addition, we own a patent family that includes pending patent applications in the United States, Australia, Brazil, Canada, China, Europe, Israel, India, Japan, Korea, Mexico, and Singapore that relate to the HSV vector containing candidate payloads used in our enLIGHTEN™ Discovery Platform and methods of use. The pending patent applications, if issued, are expected to expire in 2043. We also own a pending International patent application filed under the Patent Cooperation Treaty that relates to methods of treating cancer in immune checkpoint inhibitor-refractory patients using our HSV vector. Patents claiming priority to the International patent application, if issued, are expected to expire in 2044.</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In the United States, biological products are subject to regulation under the Federal Food, Drug, and Cosmetic Act (FD&amp;C Act) and licensure under the Public Health Service Act (PHS Act), and other federal, state, local and foreign statutes and regulations. The FD&amp;C Act and corresponding regulations govern, among other things, the research, development, clinical trial,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require the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expenditure of substantial time and financial resources and we may not be able to obtain the required regulatory approvals.</w:t>
      </w:r>
    </w:p>
    <w:p>
      <w:pPr>
        <w:spacing w:after="0" w:line="10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Biological Products Development Process</w:t>
      </w:r>
    </w:p>
    <w:p>
      <w:pPr>
        <w:spacing w:after="0" w:line="10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The process required by the FDA before a biological product candidate may be licensed for marketing in the United States generally involves the following:</w:t>
      </w:r>
    </w:p>
    <w:p>
      <w:pPr>
        <w:spacing w:after="0" w:line="51" w:lineRule="exact"/>
        <w:rPr>
          <w:sz w:val="20"/>
          <w:szCs w:val="20"/>
          <w:color w:val="auto"/>
        </w:rPr>
      </w:pPr>
    </w:p>
    <w:p>
      <w:pPr>
        <w:ind w:left="760" w:right="56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completion of nonclinical laboratory tests and animal studies performed in accordance with FDA’s good laboratory practices (GLPs) requirements and applicable requirements for the humane use of laboratory animals or other applicable regulations;</w:t>
      </w:r>
    </w:p>
    <w:p>
      <w:pPr>
        <w:spacing w:after="0" w:line="51" w:lineRule="exact"/>
        <w:rPr>
          <w:rFonts w:ascii="Times New Roman" w:cs="Times New Roman" w:eastAsia="Times New Roman" w:hAnsi="Times New Roman"/>
          <w:sz w:val="17"/>
          <w:szCs w:val="17"/>
          <w:color w:val="auto"/>
        </w:rPr>
      </w:pPr>
    </w:p>
    <w:p>
      <w:pPr>
        <w:ind w:left="760" w:right="42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submission to the FDA of an application for an investigational new drug application (IND) which must become effective before human clinical trials may begin;</w:t>
      </w:r>
    </w:p>
    <w:p>
      <w:pPr>
        <w:spacing w:after="0" w:line="51" w:lineRule="exact"/>
        <w:rPr>
          <w:rFonts w:ascii="Times New Roman" w:cs="Times New Roman" w:eastAsia="Times New Roman" w:hAnsi="Times New Roman"/>
          <w:sz w:val="17"/>
          <w:szCs w:val="17"/>
          <w:color w:val="auto"/>
        </w:rPr>
      </w:pPr>
    </w:p>
    <w:p>
      <w:pPr>
        <w:ind w:left="760" w:right="60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approval of the protocol and related documentation by an IRB or ethics committee at each clinical trial site before each trial may be initiated;</w:t>
      </w:r>
    </w:p>
    <w:p>
      <w:pPr>
        <w:spacing w:after="0" w:line="51" w:lineRule="exact"/>
        <w:rPr>
          <w:rFonts w:ascii="Times New Roman" w:cs="Times New Roman" w:eastAsia="Times New Roman" w:hAnsi="Times New Roman"/>
          <w:sz w:val="17"/>
          <w:szCs w:val="17"/>
          <w:color w:val="auto"/>
        </w:rPr>
      </w:pPr>
    </w:p>
    <w:p>
      <w:pPr>
        <w:ind w:left="760" w:right="200" w:hanging="378"/>
        <w:spacing w:after="0" w:line="249"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performance of adequate and well-controlled human clinical trials according to good clinical practices (GCPs) requirements and any additional requirements for the protection of human research subjects and their health information, to establish the safety and efficacy of the proposed biological product candidate for its intended use;</w:t>
      </w:r>
    </w:p>
    <w:p>
      <w:pPr>
        <w:spacing w:after="0" w:line="65" w:lineRule="exact"/>
        <w:rPr>
          <w:rFonts w:ascii="Times New Roman" w:cs="Times New Roman" w:eastAsia="Times New Roman" w:hAnsi="Times New Roman"/>
          <w:sz w:val="17"/>
          <w:szCs w:val="17"/>
          <w:color w:val="auto"/>
        </w:rPr>
      </w:pPr>
    </w:p>
    <w:p>
      <w:pPr>
        <w:ind w:left="760" w:right="280" w:hanging="378"/>
        <w:spacing w:after="0" w:line="249"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a determination by the FDA within 60 days of its receipt of a BLA to accept and file the application;</w:t>
      </w:r>
    </w:p>
    <w:p>
      <w:pPr>
        <w:spacing w:after="0" w:line="114" w:lineRule="exact"/>
        <w:rPr>
          <w:rFonts w:ascii="Times New Roman" w:cs="Times New Roman" w:eastAsia="Times New Roman" w:hAnsi="Times New Roman"/>
          <w:sz w:val="17"/>
          <w:szCs w:val="17"/>
          <w:color w:val="auto"/>
        </w:rPr>
      </w:pPr>
    </w:p>
    <w:p>
      <w:pPr>
        <w:jc w:val="both"/>
        <w:ind w:left="760" w:right="80" w:hanging="378"/>
        <w:spacing w:after="0" w:line="249"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advisory committee review, if applicable;</w:t>
      </w:r>
    </w:p>
    <w:p>
      <w:pPr>
        <w:spacing w:after="0" w:line="114" w:lineRule="exact"/>
        <w:rPr>
          <w:rFonts w:ascii="Times New Roman" w:cs="Times New Roman" w:eastAsia="Times New Roman" w:hAnsi="Times New Roman"/>
          <w:sz w:val="17"/>
          <w:szCs w:val="17"/>
          <w:color w:val="auto"/>
        </w:rPr>
      </w:pPr>
    </w:p>
    <w:p>
      <w:pPr>
        <w:ind w:left="760" w:right="38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FDA audit of the nonclinical study and clinical trial sites that generated the data in support of the BLA in accordance with any applicable expedited programs or designations;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payment of user fees for FDA review of the BLA (unless a fee waiver applies); and</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FDA review and approval, or licensure, of the BLA to permit commercial marketing of the product for specific indications for use in the United States.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Studies and the IND Process</w:t>
      </w:r>
    </w:p>
    <w:p>
      <w:pPr>
        <w:spacing w:after="0" w:line="1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Before testing any biological product candidate in humans, the product candidate enters the preclinical testing stage. Preclinical tests, also referred to as nonclinical studies, include laboratory evaluations of the product’s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Prior to commencing an initial clinical trial in humans with a product candidate in the United States,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2" w:name="page33"/>
    <w:bookmarkEnd w:id="32"/>
    <w:p>
      <w:pPr>
        <w:spacing w:after="0" w:line="236" w:lineRule="auto"/>
        <w:rPr>
          <w:sz w:val="20"/>
          <w:szCs w:val="20"/>
          <w:color w:val="auto"/>
        </w:rPr>
      </w:pPr>
      <w:r>
        <w:rPr>
          <w:rFonts w:ascii="Arial" w:cs="Arial" w:eastAsia="Arial" w:hAnsi="Arial"/>
          <w:sz w:val="17"/>
          <w:szCs w:val="17"/>
          <w:color w:val="auto"/>
        </w:rPr>
        <w:t>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Trials</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control of the trial sponsor. Clinical trials are conducted under protocols detailing, among other things, the objectives of the clinical trial, dosing procedures, subject selection and exclusion criteria, and the parameters and criteria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79"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69" w:lineRule="exact"/>
        <w:rPr>
          <w:sz w:val="20"/>
          <w:szCs w:val="20"/>
          <w:color w:val="auto"/>
        </w:rPr>
      </w:pPr>
    </w:p>
    <w:p>
      <w:pPr>
        <w:ind w:right="840"/>
        <w:spacing w:after="0" w:line="267" w:lineRule="auto"/>
        <w:rPr>
          <w:sz w:val="20"/>
          <w:szCs w:val="20"/>
          <w:color w:val="auto"/>
        </w:rPr>
      </w:pPr>
      <w:r>
        <w:rPr>
          <w:rFonts w:ascii="Arial" w:cs="Arial" w:eastAsia="Arial" w:hAnsi="Arial"/>
          <w:sz w:val="17"/>
          <w:szCs w:val="17"/>
          <w:color w:val="auto"/>
        </w:rPr>
        <w:t>Certain information about certain clinical trials must also be submitted within specific timeframes to the NIH for public dissemination on its ClinicalTrials.gov website.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typically are conducted in three sequential phases that may overlap or be combined:</w:t>
      </w:r>
    </w:p>
    <w:p>
      <w:pPr>
        <w:spacing w:after="0" w:line="102" w:lineRule="exact"/>
        <w:rPr>
          <w:sz w:val="20"/>
          <w:szCs w:val="20"/>
          <w:color w:val="auto"/>
        </w:rPr>
      </w:pPr>
    </w:p>
    <w:p>
      <w:pPr>
        <w:ind w:left="760" w:right="12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Phase 1. The biological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These studies are designed to test the safety, dosage tolerance, absorption, metabolism and distribution of the biological product candidate in humans, the side effects associated with increasing doses, and, if possible, to gain early evidence of effectiveness.</w:t>
      </w:r>
    </w:p>
    <w:p>
      <w:pPr>
        <w:spacing w:after="0" w:line="74" w:lineRule="exact"/>
        <w:rPr>
          <w:rFonts w:ascii="Times New Roman" w:cs="Times New Roman" w:eastAsia="Times New Roman" w:hAnsi="Times New Roman"/>
          <w:sz w:val="17"/>
          <w:szCs w:val="17"/>
          <w:color w:val="auto"/>
        </w:rPr>
      </w:pPr>
    </w:p>
    <w:p>
      <w:pPr>
        <w:ind w:left="760" w:right="100" w:hanging="378"/>
        <w:spacing w:after="0" w:line="243"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Phase 2. The biological product candidate is evaluated in a limited patient population with a specific disease or condition to identify possible adverse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71" w:lineRule="exact"/>
        <w:rPr>
          <w:rFonts w:ascii="Times New Roman" w:cs="Times New Roman" w:eastAsia="Times New Roman" w:hAnsi="Times New Roman"/>
          <w:sz w:val="17"/>
          <w:szCs w:val="17"/>
          <w:color w:val="auto"/>
        </w:rPr>
      </w:pPr>
    </w:p>
    <w:p>
      <w:pPr>
        <w:ind w:left="760" w:right="120" w:hanging="378"/>
        <w:spacing w:after="0" w:line="249"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Phase 3. The biological product candidate is administered to an expanded patient population to further evaluate dosage, clinical efficacy, potency, and safety, generally at multiple geographically dispersed clinical trial sites. These clinical trials are intended to establish the overall risk/benefit ratio of the product candidate and provide an adequate basis for approval and product labeling.</w:t>
      </w:r>
    </w:p>
    <w:p>
      <w:pPr>
        <w:spacing w:after="0" w:line="66"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with regard to conducting required phase 4 clinical trials could result in withdrawal of approval for products.</w:t>
      </w:r>
    </w:p>
    <w:p>
      <w:pPr>
        <w:spacing w:after="0" w:line="6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Concurrent with clinical trials, companies may complete additional animal studies and also develop additional information about the chemistry and physical characteristics of the biological product as well as finalize a process for</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33" w:name="page34"/>
    <w:bookmarkEnd w:id="33"/>
    <w:p>
      <w:pPr>
        <w:ind w:right="20"/>
        <w:spacing w:after="0" w:line="239" w:lineRule="auto"/>
        <w:rPr>
          <w:sz w:val="20"/>
          <w:szCs w:val="20"/>
          <w:color w:val="auto"/>
        </w:rPr>
      </w:pPr>
      <w:r>
        <w:rPr>
          <w:rFonts w:ascii="Arial" w:cs="Arial" w:eastAsia="Arial" w:hAnsi="Arial"/>
          <w:sz w:val="17"/>
          <w:szCs w:val="17"/>
          <w:color w:val="auto"/>
        </w:rPr>
        <w:t>manufacturing the product in commercial quantities in accordance with cGMP requirements. To help reduce the risk of the introduction of adventitious agents with use of biological products, the Public Health Service Act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Both the FDA and the EMA provide expedited pathways for the development of biological product candidates for the treatment of rare diseases, particularly life-threatening diseases with high unmet medical need. Such biological product candidates may be eligible to proceed to registration following an early phase single clinical trial in a limited patient population which may be deemed a pivotal or registrational trial following review of the trial’s design, primary endpoints and results by the applicable regulatory agencies. Determination of the requirements to be deemed a pivotal or registrational trial is subject to the applicable regulatory authority’s scientific judgement and these requirements may differ in the United States and the European Union (EU).</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During all phases of clinical development, regulatory agencies require that a sponsor assure extensive monitoring and auditing of all clinical activities, clinical data, and clinical trial investigators. Annual progress reports detailing the results of the clinical trials, particularly the safety information, must be submitted to the FDA and other relevant agencies in Europe and the rest of the world. Written IND safety reports must be promptly submitted to the FDA and the investigators for serious and unexpected adverse events associated with the use of the study drug, and in some cases, any findings from other studies of the same drug,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7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Review and Approval Processes</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 development, laboratory and animal studies, human clinical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BLA review typically takes twelve months from the date the BLA is submitted to the FDA because the FDA has approximately two months to make a “filing” decision. Within 60 days following submission of the application, the FDA reviews the BLA submission to determine if it is substantially complete before the FDA accepts it for filing and full review. The FDA may refuse to file any BLA that it deems incomplete or not properly reviewable at the time of submission and may request additional information in a Complete Response letter. In this event, the BLA must be resubmitted with the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may be significantly extended by FDA requests for additional information or clarification and in some cases, convening of an Advisory Committee.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p>
      <w:pPr>
        <w:ind w:right="20"/>
        <w:spacing w:after="0" w:line="236"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its continued safety, purity and purity. The FDA may refer applications for novel biological products or biological products that present difficult or novel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will also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7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7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Orphan Product Designation</w:t>
      </w:r>
    </w:p>
    <w:p>
      <w:pPr>
        <w:spacing w:after="0" w:line="10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Under the Orphan Drug Act, the FDA may grant Orphan Designation to a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5" w:name="page36"/>
    <w:bookmarkEnd w:id="35"/>
    <w:p>
      <w:pPr>
        <w:ind w:right="40"/>
        <w:spacing w:after="0" w:line="235" w:lineRule="auto"/>
        <w:rPr>
          <w:sz w:val="20"/>
          <w:szCs w:val="20"/>
          <w:color w:val="auto"/>
        </w:rPr>
      </w:pPr>
      <w:r>
        <w:rPr>
          <w:rFonts w:ascii="Arial" w:cs="Arial" w:eastAsia="Arial" w:hAnsi="Arial"/>
          <w:sz w:val="17"/>
          <w:szCs w:val="17"/>
          <w:color w:val="auto"/>
        </w:rPr>
        <w:t>Orphan Product Designation entitles a party to financial incentives such as opportunities for grant funding towards clinical trial costs, tax advantages and user-fee waivers. If a product that has Orphan Product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product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a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Expedited Development and Review Programs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Regenerative Medicine Advanced Therapy (RMAT) Designation, and priority review, that are intended to expedite or simplify the process for the development and FDA review of drugs and biologics that are intended for the treatment of serious or life-threatening diseases or conditions. To be eligible for Fast Track Designation, new drugs and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w:t>
      </w:r>
    </w:p>
    <w:p>
      <w:pPr>
        <w:spacing w:after="0" w:line="7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7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 product candidate may be eligible for RMAT Designation if: (1) it is a cell therapy, therapeutic tissue engineering product, human cell or tissue product, or combination product using any such therapies or products; (2) it is intended to treat, modify, reverse, or cure a serious or life-threatening disease or condition; and (3) there is preliminary clinical evidence that indicates the product candidate has the potential to address unmet medical needs for such disease or condition. This program is intended to facilitate efficient development and review of RMATs and includes all of the features of Breakthrough Therapy Designation, including early interactions to discuss potential surrogate or intermediate endpoints.</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 product candidate is eligible for priority review if it treats a serious or life-threatening disease or condition and, if approved,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74"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Additionally, 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6" w:name="page37"/>
    <w:bookmarkEnd w:id="36"/>
    <w:p>
      <w:pPr>
        <w:spacing w:after="0" w:line="236" w:lineRule="auto"/>
        <w:rPr>
          <w:sz w:val="20"/>
          <w:szCs w:val="20"/>
          <w:color w:val="auto"/>
        </w:rPr>
      </w:pPr>
      <w:r>
        <w:rPr>
          <w:rFonts w:ascii="Arial" w:cs="Arial" w:eastAsia="Arial" w:hAnsi="Arial"/>
          <w:sz w:val="17"/>
          <w:szCs w:val="17"/>
          <w:color w:val="auto"/>
        </w:rPr>
        <w:t>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which must be conducted with due diligence, to verify the clinical benefit in relationship to the surrogate endpoint or ultimate outcome in relationship to the clinical benefit and, under the Food and Drug Omnibus Reform Act of 2022 (FDORA), the FDA may require that such trials be underway prior to approval or within a specific time period after the date accelerated approval was granted. In addition, for products being considered for accelerated approval, the FDA generally requires, unless otherwise informed by the agency, that all advertising and promotional materials, intended for dissemination or publication be submitted to the agency for review.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Post-Approval Requirements</w:t>
      </w:r>
    </w:p>
    <w:p>
      <w:pPr>
        <w:spacing w:after="0" w:line="10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contract development and manufacturing organizations (CDMOs).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73"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From time to time, legislation is drafted, introduced, passed in Congress and signed into law that could significantly change the statutory provisions governing the approval, manufacturing, and marketing of products regulated by the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7" w:name="page38"/>
    <w:bookmarkEnd w:id="37"/>
    <w:p>
      <w:pPr>
        <w:ind w:right="560"/>
        <w:spacing w:after="0" w:line="267" w:lineRule="auto"/>
        <w:rPr>
          <w:sz w:val="20"/>
          <w:szCs w:val="20"/>
          <w:color w:val="auto"/>
        </w:rPr>
      </w:pPr>
      <w:r>
        <w:rPr>
          <w:rFonts w:ascii="Arial" w:cs="Arial" w:eastAsia="Arial" w:hAnsi="Arial"/>
          <w:sz w:val="17"/>
          <w:szCs w:val="17"/>
          <w:color w:val="auto"/>
        </w:rPr>
        <w:t>FDA. In addition to new legislation, FDA regulations, guidance, and policies are often revised or reinterpreted by the agency in ways that may significantly affect the manner in which pharmaceutical products are regulated and marketed.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Patent Term Restoration and Marketing Exclusivity</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Depending upon the timing, duration and specifics of the FDA approval of a biological product,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7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 biological product can obtain pediatric market exclusivity in the U.S.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The FDA may approve multiple “first” interchangeable products so long as they are all approved on the same first day of marketing.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Regulation of Companion Diagnostics</w:t>
      </w:r>
    </w:p>
    <w:p>
      <w:pPr>
        <w:spacing w:after="0" w:line="10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product candidates may require use of an in vitro diagnostic to identify appropriate patient populations. These diagnostics, often referred to as companion diagnostics, are regulated as medical devices.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 approval).</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8" w:name="page39"/>
    <w:bookmarkEnd w:id="38"/>
    <w:p>
      <w:pPr>
        <w:ind w:right="180"/>
        <w:spacing w:after="0" w:line="235" w:lineRule="auto"/>
        <w:rPr>
          <w:sz w:val="20"/>
          <w:szCs w:val="20"/>
          <w:color w:val="auto"/>
        </w:rPr>
      </w:pPr>
      <w:r>
        <w:rPr>
          <w:rFonts w:ascii="Arial" w:cs="Arial" w:eastAsia="Arial" w:hAnsi="Arial"/>
          <w:sz w:val="17"/>
          <w:szCs w:val="17"/>
          <w:color w:val="auto"/>
        </w:rPr>
        <w:t>If use of companion diagnostic is essential to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candidates such as our product candidates, a companion diagnostic device and its corresponding drug or biological candidate should be approved or cleared contemporaneously by FDA for the use indicated in the therapeutic product labeling. 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In July 2016, the FDA issued a draft guidance document intended to further assist sponsors of therapeutic products and sponsors of in vitro companion diagnostic devices on issues related to co-development of these products.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FDA generally requires companion diagnostics intended to select the patients who will respond to cancer treatment to obtain marketing approval or clearance for that diagnostic contemporaneously with approval of the therapeutic. The review of these in vitro companion diagnostics in conjunction with the review of therapeutic candidates such as those we are developing involves coordination of review by the FDA’s Center for Biologics Evaluation and Research and by the FDA’s Center for Devices and Radiological Health.</w:t>
      </w:r>
    </w:p>
    <w:p>
      <w:pPr>
        <w:spacing w:after="0" w:line="6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Historically, the FDA required premarket approval applications (PMAs) for nearly all companion diagnostics for cancer therapies. In January 2024, the FDA announced its intention to initiate the reclassification process for most in vitro diagnostics, including companion diagnostics. Further, the FDA indicated that in addition to the reclassification process, the FDA will continue taking a risk-based approach in the initial classification of individual in vitro diagnostics to determine whether a new test may be classified into Class II through the de novo classification process. In so doing, the FDA indicated that it may regulate most future companion diagnostics as Class II devices, which would likely entail less onerous development, approval, and postmarket regulatory requirements than what is required for Class III medical devices and in vitro diagnostics that are subject to the PMA pathway.</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Regulation</w:t>
      </w:r>
    </w:p>
    <w:p>
      <w:pPr>
        <w:spacing w:after="0" w:line="10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Outside of The United States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Trials Regulation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9" w:name="page40"/>
    <w:bookmarkEnd w:id="39"/>
    <w:p>
      <w:pPr>
        <w:ind w:right="20"/>
        <w:spacing w:after="0" w:line="238"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an application must be submitted for each clinical trial to each country’s national competent authority, and at least one independent ethics committee, much like the FDA and an IRB, respectively. Under the Clinical Trials Regulation (EU) No. 536/2014 (CTR), which replaced the Clinical Trials Directive 2001/20/EC on January 31, 2022, a single application is now made through the Clinical Trials Information System (CTIS) for clinical trial authorization in up to 30 EU/EEA countries at the same time and with a single set of documentation.</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reporting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Union Drug Review and Approval</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the EU, medicinal products can only be commercialized after obtaining a marketing authorization. To obtain regulatory approval of a medicinal product in the EU, we must submit a marketing authorization application (MAA). A centralized marketing authorization is issued by the European Commission through the centralized procedure, based on the opinion of the Committee for Medicinal Products for Human Use (CHMP) of the EMA, and is valid throughout the EU and the additional countries of the European Economic Area (Iceland, Liechtenstein and Norway) (the EEA). The centralized procedure is mandatory for certain types of products, such as biotechnology medicinal products, orphan medicinal products, advanced-therapy medicinal products (i.e. gene therapy, somatic cell 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79"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7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application used to submit a BLA in the United States is similar to that required in the EU for an MAA, although there may be certain specific requirements, for example those set out in Regulation (EC) No 1394/2007 on advanced therapy medicinal products, covering gene therapy, somatic cell therapy and tissue-engineered medicinal products.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and Market Exclusivity</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the EU, upon receiving a marketing authorization, innovative medicinal products approved on the basis of a complete and independent data package qualify for eight years of data exclusivity and an additional two years of market exclusivity.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MAA can be submitted and authorized, and the innovator’s data may be referenced, but no generic or biosimilar product can be placed on the EU market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0" w:name="page41"/>
    <w:bookmarkEnd w:id="40"/>
    <w:p>
      <w:pPr>
        <w:ind w:right="800"/>
        <w:spacing w:after="0" w:line="364" w:lineRule="auto"/>
        <w:rPr>
          <w:sz w:val="20"/>
          <w:szCs w:val="20"/>
          <w:color w:val="auto"/>
        </w:rPr>
      </w:pPr>
      <w:r>
        <w:rPr>
          <w:rFonts w:ascii="Arial" w:cs="Arial" w:eastAsia="Arial" w:hAnsi="Arial"/>
          <w:sz w:val="17"/>
          <w:szCs w:val="17"/>
          <w:color w:val="auto"/>
        </w:rPr>
        <w:t xml:space="preserve">authorization based on an MAA with a complete and independent data package of pharmaceutical tests, preclinical tests and clinical trials. </w:t>
      </w:r>
      <w:r>
        <w:rPr>
          <w:rFonts w:ascii="Arial" w:cs="Arial" w:eastAsia="Arial" w:hAnsi="Arial"/>
          <w:sz w:val="17"/>
          <w:szCs w:val="17"/>
          <w:b w:val="1"/>
          <w:bCs w:val="1"/>
          <w:color w:val="auto"/>
        </w:rPr>
        <w:t>Orphan Designation and Exclusivity</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Products receiving Orphan Designation in the EU are eligible for ten years of market exclusivity for the approved indication, during which time no “similar medicinal product” for the same indication may be placed on the market, subject to certain limited exceptions.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in the EU where an agreed pediatric investigation plan (PIP) for pediatric studies has been complied with. No extension to any supplementary protection certificate (SPC) can be granted on the basis of pediatric studies for orphan indications.</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criteria for designating an “orphan medicinal product” in the EU are similar in principle to those in the United States. Under Article 3 of Regulation (EC) 141/2000, a product may be designated as an orphan medicinal product if it meets the following criteria: (1) it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of significant benefit to those affected by that condition, as defined in Regulation (EC) 847/2000. Orphan medicinal products are eligible for financial incentives such as reduction of fees or fee waivers and are, upon the grant of a marketing authorization, entitled to ten years of market exclusivity for the approved therapeutic indication. The application for Orphan Designation must be submitted before the application for a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79"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medicinal product for the same indication as an authorized orphan product at any time if:</w:t>
      </w:r>
    </w:p>
    <w:p>
      <w:pPr>
        <w:spacing w:after="0" w:line="67" w:lineRule="exact"/>
        <w:rPr>
          <w:sz w:val="20"/>
          <w:szCs w:val="20"/>
          <w:color w:val="auto"/>
        </w:rPr>
      </w:pPr>
    </w:p>
    <w:p>
      <w:pPr>
        <w:ind w:left="760" w:right="100" w:hanging="378"/>
        <w:spacing w:after="0" w:line="266" w:lineRule="auto"/>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second applicant can establish that its product, although similar to the authorized orphan product, is safer, more effective or otherwise clinically superior;</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marketing authorization holder of the authorized product consents to a second application; or</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marketing authorization holder of the authorized product cannot supply enough orphan medicinal product.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Pediatric Development</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the EU, companies developing a new medicinal product must agree upon a PIP with the EMA’s pediatric committee (PDCO) and must conduct pediatric clinical trials in accordance with that PIP,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a marketing authorization is being sought. The MAA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 Products that are granted a marketing authorization with the results of the pediatric clinical trials conducted in accordance with the agreed PIP are eligible for a six month extension of the protection under an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Post-Approval Controls</w:t>
      </w:r>
    </w:p>
    <w:p>
      <w:pPr>
        <w:spacing w:after="0" w:line="102"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51" w:lineRule="exact"/>
        <w:rPr>
          <w:sz w:val="20"/>
          <w:szCs w:val="20"/>
          <w:color w:val="auto"/>
        </w:rPr>
      </w:pPr>
    </w:p>
    <w:p>
      <w:pPr>
        <w:ind w:left="760" w:right="520" w:hanging="378"/>
        <w:spacing w:after="0" w:line="266" w:lineRule="auto"/>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holder of a marketing authorization must establish and maintain a pharmacovigilance system and appoint an individual qualified person for pharmacovigilance, who is responsible for oversight of that system. Key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1" w:name="page42"/>
    <w:bookmarkEnd w:id="41"/>
    <w:p>
      <w:pPr>
        <w:ind w:left="760"/>
        <w:spacing w:after="0"/>
        <w:rPr>
          <w:sz w:val="20"/>
          <w:szCs w:val="20"/>
          <w:color w:val="auto"/>
        </w:rPr>
      </w:pPr>
      <w:r>
        <w:rPr>
          <w:rFonts w:ascii="Arial" w:cs="Arial" w:eastAsia="Arial" w:hAnsi="Arial"/>
          <w:sz w:val="17"/>
          <w:szCs w:val="17"/>
          <w:color w:val="auto"/>
        </w:rPr>
        <w:t>obligations include expedited reporting of suspected serious adverse reactions and submission of periodic safety update reports (PSURs).</w:t>
      </w:r>
    </w:p>
    <w:p>
      <w:pPr>
        <w:spacing w:after="0" w:line="102" w:lineRule="exact"/>
        <w:rPr>
          <w:sz w:val="20"/>
          <w:szCs w:val="20"/>
          <w:color w:val="auto"/>
        </w:rPr>
      </w:pPr>
    </w:p>
    <w:p>
      <w:pPr>
        <w:ind w:left="760" w:right="100" w:hanging="378"/>
        <w:spacing w:after="0" w:line="239"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MAAs must include a risk management plan (RMP) describing the risk management system that the company will put in place to prevent or minimize the risks associated with the product, in accordance with applicable EU requirements.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certain PSUR information may be made available to third parties requesting access, subject to limited redaction of confidential commercial information and personal data.</w:t>
      </w:r>
    </w:p>
    <w:p>
      <w:pPr>
        <w:spacing w:after="0" w:line="73" w:lineRule="exact"/>
        <w:rPr>
          <w:rFonts w:ascii="Times New Roman" w:cs="Times New Roman" w:eastAsia="Times New Roman" w:hAnsi="Times New Roman"/>
          <w:sz w:val="17"/>
          <w:szCs w:val="17"/>
          <w:color w:val="auto"/>
        </w:rPr>
      </w:pPr>
    </w:p>
    <w:p>
      <w:pPr>
        <w:ind w:left="760" w:right="20" w:hanging="378"/>
        <w:spacing w:after="0" w:line="243"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All advertising and promotional activities for the product must be consistent with the approved summary of product characteristics (SmPC)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All of the aforementioned EU rules are generally applicable in the EEA.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Reform of the Regulatory Framework in the European Union</w:t>
      </w:r>
    </w:p>
    <w:p>
      <w:pPr>
        <w:spacing w:after="0" w:line="10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Brexit and the Regulatory Framework in the United Kingdom</w:t>
      </w:r>
    </w:p>
    <w:p>
      <w:pPr>
        <w:spacing w:after="0" w:line="10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Following the end of the Brexit transition period on January 1, 2021 and the implementation of the Windsor Framework on January 1, 2025, the United Kingdom (UK) is not generally subject to EU laws in respect of medicines. The EU laws that have been transposed into UK law through secondary legislation remain applicable in the UK, however, new legislation such as the (EU) CTR is not applicable in the UK. As of January 1, 2021, the Medicines and Healthcare products Regulatory Agency (MHRA) is the UK's standalone medicines and medical devices regulator. As a result of the Northern Ireland Protocol, different rules applied in Northern Ireland than in England, Wales, and Scotland (together, "Great Britain", or GB), which continued to follow the EU regulatory regime for a period following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 In particular, the MHRA is now responsible for approving medicinal products placed on the UK market (i.e., Great Britain and Northern Ireland), and the EMA no longer has a role in UK marketing authorizations. A single UK-wide MA will be granted by the MHRA for medicinal products to be sold in the UK, enabling products to be sold in a single pack and under a single authorization throughout the UK. In addition, the new arrangements require, for packs placed on the UK market on or after January 1, 2025, a "UK Only" label, indicating they are not for sale in the EU. However, although separate authorization is now required to market medicinal products in the UK, since January 1, 2024, the MHRA may rely on the International Recognition Procedure (IRP) when reviewing certain types of MAAs. Pursuant to the IRP, the MHRA will take into account the expertise and decision-making of trusted regulatory partners (e.g. the medicines regulatory authorities in Australia, Canada, Switzerland, Singapore, Japan, the U.S.A. and the EMA in the EU) when considering an application for a UK MA. There is no pre-MA orphan designation in the UK. Instead, the MHRA reviews applications for orphan designation with the corresponding MA application. The criteria are essentially the same, but have been tailored for the UK market, i.e., the prevalence of the condition in the UK, rather than the EU, must not be more than five in 10,000. Should an orphan designation be granted, the period of market exclusivity will be set from the date of first approval of the product in the UK.</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Reform</w:t>
      </w:r>
    </w:p>
    <w:p>
      <w:pPr>
        <w:spacing w:after="0" w:line="102"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2010, the ACA was passed, which substantially changed the way healthcare is financed by both governmental and private insurers, and continues to significantly impact the U.S. pharmaceutical industry. The ACA, among other things, subjects biological products to potential competition by lower-cost biosimilars, increases the minimum Medicaid rebates owed by manufacturers under the Medicaid Drug Rebate Program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42" w:name="page43"/>
    <w:bookmarkEnd w:id="42"/>
    <w:p>
      <w:pPr>
        <w:ind w:right="460"/>
        <w:spacing w:after="0" w:line="267" w:lineRule="auto"/>
        <w:rPr>
          <w:sz w:val="20"/>
          <w:szCs w:val="20"/>
          <w:color w:val="auto"/>
        </w:rPr>
      </w:pPr>
      <w:r>
        <w:rPr>
          <w:rFonts w:ascii="Arial" w:cs="Arial" w:eastAsia="Arial" w:hAnsi="Arial"/>
          <w:sz w:val="17"/>
          <w:szCs w:val="17"/>
          <w:color w:val="auto"/>
        </w:rPr>
        <w:t>brand drugs to eligible beneficiaries during their coverage gap period, as a condition to coverage under Medicare Part D for the manufacturer’s outpatient drugs.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Other legislative changes have been proposed and adopted in the United States since the ACA was enacted:</w:t>
      </w:r>
    </w:p>
    <w:p>
      <w:pPr>
        <w:spacing w:after="0" w:line="102" w:lineRule="exact"/>
        <w:rPr>
          <w:sz w:val="20"/>
          <w:szCs w:val="20"/>
          <w:color w:val="auto"/>
        </w:rPr>
      </w:pPr>
    </w:p>
    <w:p>
      <w:pPr>
        <w:jc w:val="both"/>
        <w:ind w:left="760" w:right="320" w:hanging="378"/>
        <w:spacing w:after="0" w:line="249"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Budget Control Act of 2011, among other things, created measures for spending reductions by Congress. This includes aggregate reductions of Medicare payments to providers of 2% per fiscal year. Subsequent legislation extended the 2% payment reduction which remains in effect through 2031.</w:t>
      </w:r>
    </w:p>
    <w:p>
      <w:pPr>
        <w:spacing w:after="0" w:line="65" w:lineRule="exact"/>
        <w:rPr>
          <w:rFonts w:ascii="Times New Roman" w:cs="Times New Roman" w:eastAsia="Times New Roman" w:hAnsi="Times New Roman"/>
          <w:sz w:val="17"/>
          <w:szCs w:val="17"/>
          <w:color w:val="auto"/>
        </w:rPr>
      </w:pPr>
    </w:p>
    <w:p>
      <w:pPr>
        <w:ind w:left="760" w:right="60" w:hanging="378"/>
        <w:spacing w:after="0" w:line="23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American Taxpayer Relief Act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were further reduced starting on January 1, 2025. In addition to provider payment cuts under Medicare, the American Rescue Plan Act of 2021 also eliminated the statutory Medicaid drug rebate cap, previously set at 100% of a drug’s average manufacturer price, for single source and innovator multiple source drugs, beginning January 1, 2024. These laws and regulations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5" w:lineRule="exact"/>
        <w:rPr>
          <w:rFonts w:ascii="Times New Roman" w:cs="Times New Roman" w:eastAsia="Times New Roman" w:hAnsi="Times New Roman"/>
          <w:sz w:val="17"/>
          <w:szCs w:val="17"/>
          <w:color w:val="auto"/>
        </w:rPr>
      </w:pPr>
    </w:p>
    <w:p>
      <w:pPr>
        <w:ind w:left="760" w:hanging="378"/>
        <w:spacing w:after="0" w:line="244"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On April 13, 2017, the Centers for Medicare &amp; Medicaid Services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9" w:lineRule="exact"/>
        <w:rPr>
          <w:rFonts w:ascii="Times New Roman" w:cs="Times New Roman" w:eastAsia="Times New Roman" w:hAnsi="Times New Roman"/>
          <w:sz w:val="17"/>
          <w:szCs w:val="17"/>
          <w:color w:val="auto"/>
        </w:rPr>
      </w:pPr>
    </w:p>
    <w:p>
      <w:pPr>
        <w:ind w:left="760" w:right="2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4" w:lineRule="exact"/>
        <w:rPr>
          <w:rFonts w:ascii="Times New Roman" w:cs="Times New Roman" w:eastAsia="Times New Roman" w:hAnsi="Times New Roman"/>
          <w:sz w:val="17"/>
          <w:szCs w:val="17"/>
          <w:color w:val="auto"/>
        </w:rPr>
      </w:pPr>
    </w:p>
    <w:p>
      <w:pPr>
        <w:ind w:left="760" w:right="700" w:hanging="378"/>
        <w:spacing w:after="0" w:line="26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On May 23, 2019, CMS published a final rule to allow Medicare Advantage Plans the option of using step therapy for Part B drugs beginning January 1, 2020.</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 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77"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6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At the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3" w:name="page44"/>
    <w:bookmarkEnd w:id="43"/>
    <w:p>
      <w:pPr>
        <w:spacing w:after="0" w:line="235" w:lineRule="auto"/>
        <w:rPr>
          <w:sz w:val="20"/>
          <w:szCs w:val="20"/>
          <w:color w:val="auto"/>
        </w:rPr>
      </w:pPr>
      <w:r>
        <w:rPr>
          <w:rFonts w:ascii="Arial" w:cs="Arial" w:eastAsia="Arial" w:hAnsi="Arial"/>
          <w:sz w:val="17"/>
          <w:szCs w:val="17"/>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On November 6, 2025, the Centers for Medicare &amp; Medicaid Services (CMS) announced a new drug payment model designed to make MFN-level prices available to state Medicaid programs via manufacturer rebates. Referred to as the “GENErating cost Reductions fOr U.S. Medicaid Model” (GENEROUS), the initiative is designed to run from 2026 through 2030 and is voluntary for both manufacturers and state Medicaid programs. Under the model, participating states will be able to access MFN-level prices for participating manufacturers’ drugs through CMS-negotiated supplemental rebates tied to an MFN net price benchmark.</w:t>
      </w:r>
    </w:p>
    <w:p>
      <w:pPr>
        <w:spacing w:after="0" w:line="7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December 19, 2025, the CMS proposed a mandatory Center for Medicare and Medicaid Innovation (CMMI) drug payment model to test whether alternative methods for calculating Medicare rebates, based on international pricing metrics rather than inflation-based metrics, reduce costs for Medicare fee-for-service (FFS) beneficiaries and the Medicare program while preserving quality of care. The Guarding U.S. Medicare Against Rising Drug Costs (GUARD) Model, would test an alternative approach to calculating rebates for certain Medicare Part D products using international pricing benchmarks. The GUARD Model would begin on January 1, 2027, and run through December 31, 2033. Further, on December 19, 2025, CMS proposed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As proposed, GLOBE would begin a five-year performance period on October 1, 2026.</w:t>
      </w:r>
    </w:p>
    <w:p>
      <w:pPr>
        <w:spacing w:after="0" w:line="7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7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and Reimbursement</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4" w:name="page45"/>
    <w:bookmarkEnd w:id="44"/>
    <w:p>
      <w:pPr>
        <w:ind w:right="80"/>
        <w:spacing w:after="0" w:line="237" w:lineRule="auto"/>
        <w:rPr>
          <w:sz w:val="20"/>
          <w:szCs w:val="20"/>
          <w:color w:val="auto"/>
        </w:rPr>
      </w:pPr>
      <w:r>
        <w:rPr>
          <w:rFonts w:ascii="Arial" w:cs="Arial" w:eastAsia="Arial" w:hAnsi="Arial"/>
          <w:sz w:val="17"/>
          <w:szCs w:val="17"/>
          <w:color w:val="auto"/>
        </w:rPr>
        <w:t>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Coverage and reimbursement by a third-party payor may depend upon several factors, including the third-party payor’s determination that use of a product is:</w:t>
      </w:r>
    </w:p>
    <w:p>
      <w:pPr>
        <w:spacing w:after="0" w:line="76"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a covered benefit under its health plan;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safe, effective and medically necessary;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appropriate for the specific patient;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cost-effective;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neither experimental nor investigational.</w:t>
      </w:r>
    </w:p>
    <w:p>
      <w:pPr>
        <w:spacing w:after="0" w:line="11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Third-party payors may limit coverage to specific products on an approved list, also known as a formulary, which might not include all of the approved products for a particular indication.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7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Other Healthcare Laws and Compliance Requirements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federal civil and criminal false claims laws, including the civil False Claims Act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79"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Physician Payments Sunshine Act, enacted as part of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certain other licensed health care practitioners and teaching hospitals, as well as ownership and investment interests held by physicians and their immediate family members.</w:t>
      </w:r>
    </w:p>
    <w:p>
      <w:pPr>
        <w:spacing w:after="0" w:line="7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Additionally, we are subject to state and foreign equivalents of each of the healthcare laws and regulations described above, among others, some of which may be broader in scope and may apply regardless of the payor. Many U.S.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ind w:right="140"/>
        <w:spacing w:after="0" w:line="237" w:lineRule="auto"/>
        <w:rPr>
          <w:sz w:val="20"/>
          <w:szCs w:val="20"/>
          <w:color w:val="auto"/>
        </w:rPr>
      </w:pPr>
      <w:r>
        <w:rPr>
          <w:rFonts w:ascii="Arial" w:cs="Arial" w:eastAsia="Arial" w:hAnsi="Arial"/>
          <w:sz w:val="17"/>
          <w:szCs w:val="17"/>
          <w:color w:val="auto"/>
        </w:rPr>
        <w:t>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color w:val="auto"/>
        </w:rPr>
        <w:t>Federal Consumer Protection and Unfair Competition Laws Broadly Regulate Marketplace Activities and Activities That Potentially Harm Consumers.</w:t>
      </w:r>
    </w:p>
    <w:p>
      <w:pPr>
        <w:spacing w:after="0" w:line="30"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10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As of December 31, 2025, we had 55 employees. Of these employees, 44 perform research and development functions. None of our employees are represented by a labor union and we believe we maintain good relations with our employees.</w:t>
      </w:r>
    </w:p>
    <w:p>
      <w:pPr>
        <w:spacing w:after="0" w:line="5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were incorporated in Delaware in June 2003. On November 30, 2020, the Company changed its name to Candel Therapeutics, Inc. Our principal executive offices are located at 117 Kendrick Street, Suite 450, Needham, Massachusetts 02494. Our telephone number is (617) 916-5445 and our e-mail address is investors@candeltx.com. Our Internet website address is www.candeltx.com. Our Annual Reports on Form 10-K, Quarterly Reports on Form 10-Q, Current Reports on Form 8-K, including exhibits, proxy and information statements and amendments to those reports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spacing w:after="0" w:line="238" w:lineRule="auto"/>
        <w:rPr>
          <w:sz w:val="20"/>
          <w:szCs w:val="20"/>
          <w:color w:val="auto"/>
        </w:rPr>
      </w:pPr>
      <w:r>
        <w:rPr>
          <w:rFonts w:ascii="Arial" w:cs="Arial" w:eastAsia="Arial" w:hAnsi="Arial"/>
          <w:sz w:val="17"/>
          <w:szCs w:val="17"/>
          <w:color w:val="auto"/>
        </w:rPr>
        <w:t>filed or furnished pursuant to Sections 13(a), 14, and 15(d) of the Securities Exchange Act of 1934, as amended (the Exchange Act), are available through the “Investors” portion of our website free of charge as soon as reasonably practicable after we electronically file such material with, or furnish it to, the Securities and Exchange Commission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74"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Our code of conduct, corporate governance guidelines and the charters of our Audit Committee, Compensation Committee and Nominating and Corporate Governance Committee are available through the “Corporate Governance” portion of our website.</w:t>
      </w: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30" w:right="4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Item 1A. Risk Factors.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sale of our common stock and accompanying pre-funded warrants. From our inception through December 31, 2025, we raised an aggregate of $273.7 million of gross proceeds from such transactions. In addition, in February 2022, we borrowed $20.0 million under the four-year loan and security agreement (the SVB Loan Agreement) with Silicon Valley Bank (SVB). On October 14, 2025, we entered into a Loan and Security Agreement, as amended by that certain First Amendment to Loan and Security Agreement dated as of March 10, 2026 (the Trinity LSA), with the lenders party thereto and Trinity Capital Inc. (Trinity), as administrative agent and collateral agent and in October 2025 we borrowed $50.0 million under the Trinity LSA pursuant to the First Tranche at closing. We used a portion of the proceeds from the First Tranche of the Trinity LSA to repay the SVB Loan Agreement in full on October 14, 2025. As of December 31, 2025, our cash and cash equivalents were $119.7 million. We had an accumulated deficit of $230.4 million as of December 31, 2025. For the years ended December 31, 2025 and 2024, we reported net losses of $38.2 million and $55.2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8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760" w:right="60" w:hanging="378"/>
        <w:spacing w:after="0" w:line="266"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51" w:lineRule="exact"/>
        <w:rPr>
          <w:rFonts w:ascii="Times New Roman" w:cs="Times New Roman" w:eastAsia="Times New Roman" w:hAnsi="Times New Roman"/>
          <w:sz w:val="17"/>
          <w:szCs w:val="17"/>
          <w:color w:val="auto"/>
        </w:rPr>
      </w:pPr>
    </w:p>
    <w:p>
      <w:pPr>
        <w:ind w:left="760" w:right="200" w:hanging="378"/>
        <w:spacing w:after="0" w:line="266" w:lineRule="auto"/>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49" w:name="page50"/>
    <w:bookmarkEnd w:id="49"/>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 or changes in trade policy, tariffs or other trade restrictions;</w:t>
      </w:r>
    </w:p>
    <w:p>
      <w:pPr>
        <w:spacing w:after="0" w:line="51"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jc w:val="both"/>
        <w:ind w:left="760" w:right="120" w:hanging="378"/>
        <w:spacing w:after="0" w:line="266" w:lineRule="auto"/>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clearance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760" w:right="1180" w:hanging="378"/>
        <w:spacing w:after="0" w:line="266" w:lineRule="auto"/>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114" w:lineRule="exact"/>
        <w:rPr>
          <w:rFonts w:ascii="Times New Roman" w:cs="Times New Roman" w:eastAsia="Times New Roman" w:hAnsi="Times New Roman"/>
          <w:sz w:val="17"/>
          <w:szCs w:val="17"/>
          <w:color w:val="auto"/>
        </w:rPr>
      </w:pPr>
    </w:p>
    <w:p>
      <w:pPr>
        <w:ind w:left="760" w:right="460" w:hanging="378"/>
        <w:spacing w:after="0" w:line="266" w:lineRule="auto"/>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We will need to raise substantial additional funding, which may not be available on acceptable terms, or at all. If we are unable to raise capital when needed, we would be forced to delay, reduce or eliminate some of our product development programs or commercialization efforts or initiate steps to cease operations.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our existing cash and cash equivalents, together with the net proceeds from the February 2026 equity offering of approximately</w:t>
      </w:r>
    </w:p>
    <w:p>
      <w:pPr>
        <w:spacing w:after="0" w:line="10"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$93.5 million, will be sufficient to fund our current operating plan into the first quarter of 2028. However, our future capital requirements will depend on and could increase significantly as a result of many factors, including:</w:t>
      </w:r>
    </w:p>
    <w:p>
      <w:pPr>
        <w:spacing w:after="0" w:line="66" w:lineRule="exact"/>
        <w:rPr>
          <w:sz w:val="20"/>
          <w:szCs w:val="20"/>
          <w:color w:val="auto"/>
        </w:rPr>
      </w:pPr>
    </w:p>
    <w:p>
      <w:pPr>
        <w:ind w:left="760" w:right="300" w:hanging="378"/>
        <w:spacing w:after="0" w:line="266" w:lineRule="auto"/>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aglatimagene, linoserpaturev, or our other potential product candidates;</w:t>
      </w:r>
    </w:p>
    <w:p>
      <w:pPr>
        <w:spacing w:after="0" w:line="51" w:lineRule="exact"/>
        <w:rPr>
          <w:rFonts w:ascii="Times New Roman" w:cs="Times New Roman" w:eastAsia="Times New Roman" w:hAnsi="Times New Roman"/>
          <w:sz w:val="17"/>
          <w:szCs w:val="17"/>
          <w:color w:val="auto"/>
        </w:rPr>
      </w:pPr>
    </w:p>
    <w:p>
      <w:pPr>
        <w:jc w:val="both"/>
        <w:ind w:left="760" w:right="80" w:hanging="378"/>
        <w:spacing w:after="0" w:line="249" w:lineRule="auto"/>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aglatimagene in newly diagnosed localized prostate cancer and NSCLC as well as for linoserpaturev in our initial target indication of glioblastoma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760" w:hanging="378"/>
        <w:spacing w:after="0" w:line="249" w:lineRule="auto"/>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aglatimagene or linoserpaturev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760" w:right="100" w:hanging="378"/>
        <w:spacing w:after="0" w:line="266" w:lineRule="auto"/>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760" w:right="940" w:hanging="378"/>
        <w:spacing w:after="0" w:line="266" w:lineRule="auto"/>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51" w:lineRule="exact"/>
        <w:rPr>
          <w:rFonts w:ascii="Times New Roman" w:cs="Times New Roman" w:eastAsia="Times New Roman" w:hAnsi="Times New Roman"/>
          <w:sz w:val="17"/>
          <w:szCs w:val="17"/>
          <w:color w:val="auto"/>
        </w:rPr>
      </w:pPr>
    </w:p>
    <w:p>
      <w:pPr>
        <w:ind w:left="760" w:right="140" w:hanging="378"/>
        <w:spacing w:after="0" w:line="266" w:lineRule="auto"/>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760" w:right="820" w:hanging="378"/>
        <w:spacing w:after="0" w:line="266" w:lineRule="auto"/>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1" w:name="page52"/>
    <w:bookmarkEnd w:id="51"/>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760" w:right="64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have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If we are unable to obtain adequate funding on a timely basis or on terms acceptable to us, we may be required to revise our business plan and strategy and potentially curtail, delay, or discontinue one or more of our clinical trials, our research efforts, product development, future commercialization efforts or we may be unable to expand our operations or otherwise capitalize on our business opportunities, or we may be required to initiate steps to cease operations. As a result, our business, financial condition and results of operations could be materially affected.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102"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On October 14, 2025, we entered into the Trinity LSA, pursuant to which Trinity has agreed to provide term loans to us in tranches totaling an aggregate principal amount of up to $130.0 million, as described in the Trinity LSA. Our indebtedness could have important consequences to our stockholders. For example, it:</w:t>
      </w:r>
    </w:p>
    <w:p>
      <w:pPr>
        <w:spacing w:after="0" w:line="6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4"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760" w:right="220" w:hanging="378"/>
        <w:spacing w:after="0" w:line="266" w:lineRule="auto"/>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Trinity LSA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Trinity LSA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7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67" w:lineRule="exact"/>
        <w:rPr>
          <w:sz w:val="20"/>
          <w:szCs w:val="20"/>
          <w:color w:val="auto"/>
        </w:rPr>
      </w:pPr>
    </w:p>
    <w:p>
      <w:pPr>
        <w:ind w:right="560"/>
        <w:spacing w:after="0" w:line="267" w:lineRule="auto"/>
        <w:rPr>
          <w:sz w:val="20"/>
          <w:szCs w:val="20"/>
          <w:color w:val="auto"/>
        </w:rPr>
      </w:pPr>
      <w:r>
        <w:rPr>
          <w:rFonts w:ascii="Arial" w:cs="Arial" w:eastAsia="Arial" w:hAnsi="Arial"/>
          <w:sz w:val="17"/>
          <w:szCs w:val="17"/>
          <w:color w:val="auto"/>
        </w:rPr>
        <w:t>Our outstanding debt under the Trinity LSA may, bear interest at variable interest rates. To meet our liquidity needs, we have relied in part on borrowed funds with variable interest rates and may continue to do so in the future. Continued</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2" w:name="page53"/>
    <w:bookmarkEnd w:id="52"/>
    <w:p>
      <w:pPr>
        <w:ind w:right="240"/>
        <w:spacing w:after="0" w:line="267" w:lineRule="auto"/>
        <w:rPr>
          <w:sz w:val="20"/>
          <w:szCs w:val="20"/>
          <w:color w:val="auto"/>
        </w:rPr>
      </w:pPr>
      <w:r>
        <w:rPr>
          <w:rFonts w:ascii="Arial" w:cs="Arial" w:eastAsia="Arial" w:hAnsi="Arial"/>
          <w:sz w:val="17"/>
          <w:szCs w:val="17"/>
          <w:color w:val="auto"/>
        </w:rPr>
        <w:t>increase in interest rates may increase the cost of new indebtedness and the servicing of our outstanding indebtedness, and could materially and adversely affect our results of operations, financial condition, liquidity and cash flows.</w:t>
      </w:r>
    </w:p>
    <w:p>
      <w:pPr>
        <w:spacing w:after="0" w:line="51" w:lineRule="exact"/>
        <w:rPr>
          <w:sz w:val="20"/>
          <w:szCs w:val="20"/>
          <w:color w:val="auto"/>
        </w:rPr>
      </w:pPr>
    </w:p>
    <w:p>
      <w:pPr>
        <w:ind w:right="560"/>
        <w:spacing w:after="0" w:line="280" w:lineRule="auto"/>
        <w:rPr>
          <w:sz w:val="20"/>
          <w:szCs w:val="20"/>
          <w:color w:val="auto"/>
        </w:rPr>
      </w:pPr>
      <w:r>
        <w:rPr>
          <w:rFonts w:ascii="Arial" w:cs="Arial" w:eastAsia="Arial" w:hAnsi="Arial"/>
          <w:sz w:val="17"/>
          <w:szCs w:val="17"/>
          <w:b w:val="1"/>
          <w:bCs w:val="1"/>
          <w:i w:val="1"/>
          <w:iCs w:val="1"/>
          <w:color w:val="auto"/>
        </w:rPr>
        <w:t>The terms of the RTW Purchase Agreement place restrictions on our operating and financial flexibility, and if we fail to comply with certain covenants in the RTW Purchase Agreement, our results of operations and financial condition may be harmed.</w:t>
      </w:r>
    </w:p>
    <w:p>
      <w:pPr>
        <w:spacing w:after="0" w:line="3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RTW Purchase Agreement contains covenants that impose on us certain obligations with respect to payment, diligence, reporting, intellectual property, license agreements, and certain other actions, as well as indemnification obligations. The RTW Purchase Agreement also contains covenants that limit or restrict our ability to, among other things, incur indebtedness, refinance our existing indebtedness, grant liens, enter into out-licenses, in each case subject to certain exceptions set forth in the RTW Purchase Agreement. Compliance with these covenants may limit our flexibility in operating our business and our ability to take actions that might otherwise be advantageous to us and our stockholders. Pursuant to the RTW Purchase Agreement, at the closing of the RTW Purchase Agreement, we will grant to the Purchaser a lien in certain of our intellectual property assets and other related assets to secure our obligations under the Purchase Agreement. If we are unable to comply with our obligations, the Purchaser could seek to enforce its security interest in such assets.</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Further, the Purchase Agreement and our payment obligations to the Purchaser could have important negative consequences to our stockholders. For example, a portion of our cash flow from operations will be needed to make required payments to the Purchaser and will not be available to fund future operations. Payment requirements under the Purchase Agreement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 Failure to pay amounts owed to the Purchaser when due would result in a default under the Purchase Agreement and could result in acceleration of obligations, foreclosure on assets, or other remedies that could materially harm our business operations and financial condition. These restrictions and obligations could limit our ability to operate our business effectively and respond to changing market conditions, which may adversely affect our business, financial condition, and results of operations.</w:t>
      </w:r>
    </w:p>
    <w:p>
      <w:pPr>
        <w:spacing w:after="0" w:line="76"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Furthermore, the Purchase Agreement is subject to customary closing conditions. If we are unable to satisfy the closing conditions set forth in the Purchase Agreement, our business, financial condition and results of operations may be adversely impacted.</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We currently have a $50 million loan outstanding pursuant to a $130 million term loan facility with Trinity, which was entered into in October 2025. In addition, if any of our customers, suppliers or other parties with whom we conduct business are unable to access funds pursuant to such instruments or lending arrangements with certain financial institutions, such parties’ ability to pay their obligations to us or to enter into new commercial arrangements requiring additional payments to us could be adversely affected.</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3" w:name="page54"/>
    <w:bookmarkEnd w:id="53"/>
    <w:p>
      <w:pPr>
        <w:ind w:right="680"/>
        <w:spacing w:after="0" w:line="267" w:lineRule="auto"/>
        <w:rPr>
          <w:sz w:val="20"/>
          <w:szCs w:val="20"/>
          <w:color w:val="auto"/>
        </w:rPr>
      </w:pPr>
      <w:r>
        <w:rPr>
          <w:rFonts w:ascii="Arial" w:cs="Arial" w:eastAsia="Arial" w:hAnsi="Arial"/>
          <w:sz w:val="17"/>
          <w:szCs w:val="17"/>
          <w:color w:val="auto"/>
        </w:rPr>
        <w:t>which we have financial or business relationships, but could also include factors involving financial markets or the financial services industry generally.</w:t>
      </w:r>
    </w:p>
    <w:p>
      <w:pPr>
        <w:spacing w:after="0" w:line="13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aglatimagene, as well as linoserpaturev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aglatimagene program, which is currently our most advanced product candidate.</w:t>
      </w:r>
    </w:p>
    <w:p>
      <w:pPr>
        <w:spacing w:after="0" w:line="6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aglatimagene, linoserpaturev or any other product candidate we develop encounters safety or efficacy issues, development delays, regulatory issues or other problems, our development plans and business would be significantly harmed. We can provide no assurance that aglatimagene, linoserpaturev or any other product candidates we develop will receive regulatory approval or be successfully commercialized even if we receive regulatory approval. If we were required to discontinue development of aglatimagene, linoserpaturev or any future product candidate, or if aglatimagene, linoserpaturev, or any future product candidate do not receive regulatory approval or fail to achieve significant market acceptance, we would be delayed by many years in our ability to achieve profitability, if ever.</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4" w:name="page55"/>
    <w:bookmarkEnd w:id="54"/>
    <w:p>
      <w:pPr>
        <w:ind w:right="40"/>
        <w:spacing w:after="0" w:line="241" w:lineRule="auto"/>
        <w:rPr>
          <w:sz w:val="20"/>
          <w:szCs w:val="20"/>
          <w:color w:val="auto"/>
        </w:rPr>
      </w:pPr>
      <w:r>
        <w:rPr>
          <w:rFonts w:ascii="Arial" w:cs="Arial" w:eastAsia="Arial" w:hAnsi="Arial"/>
          <w:sz w:val="17"/>
          <w:szCs w:val="17"/>
          <w:color w:val="auto"/>
        </w:rPr>
        <w:t>Furthermore, even if we obtain regulatory approval for aglatimagene, linoserpaturev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aglatimagene, linoserpaturev or any other product candidates we develop, we may not be able to generate sufficient revenue to continue our business.</w:t>
      </w:r>
    </w:p>
    <w:p>
      <w:pPr>
        <w:spacing w:after="0" w:line="72"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aglatimagene, linoserpaturev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early stages of clinical development for linoserpaturev,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to date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recurrent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aglatimagene and linoserpaturev, patients have been, and may continue to be, treated with aglatimagene and/or linoserpaturev under an expanded access or “compassionate use” program. To the extent the experiences of patients being treated in this program are inconsistent with or less favorable than the results of our ongoing or planned company-sponsored trials with aglatimagene and/or linoserpaturev, it may negatively affect perceptions of aglatimagene and/or linoserpaturev,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aglatimagene and/or linoserpaturev or potentially our other product candidates.</w:t>
      </w:r>
    </w:p>
    <w:p>
      <w:pPr>
        <w:spacing w:after="0" w:line="78"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49"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spacing w:after="0" w:line="238" w:lineRule="auto"/>
        <w:rPr>
          <w:sz w:val="20"/>
          <w:szCs w:val="20"/>
          <w:color w:val="auto"/>
        </w:rPr>
      </w:pPr>
      <w:r>
        <w:rPr>
          <w:rFonts w:ascii="Arial" w:cs="Arial" w:eastAsia="Arial" w:hAnsi="Arial"/>
          <w:sz w:val="17"/>
          <w:szCs w:val="17"/>
          <w:color w:val="auto"/>
        </w:rPr>
        <w:t>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3"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linoserpaturev in recurrent HGG, we made a portfolio and resource decision to prioritize linoserpaturev in recurrent HGG and not to pursue a phase 3 clinical trial of aglatimagene in HGG.</w:t>
      </w:r>
    </w:p>
    <w:p>
      <w:pPr>
        <w:spacing w:after="0" w:line="74"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spacing w:after="0" w:line="239" w:lineRule="auto"/>
        <w:rPr>
          <w:sz w:val="20"/>
          <w:szCs w:val="20"/>
          <w:color w:val="auto"/>
        </w:rPr>
      </w:pPr>
      <w:r>
        <w:rPr>
          <w:rFonts w:ascii="Arial" w:cs="Arial" w:eastAsia="Arial" w:hAnsi="Arial"/>
          <w:sz w:val="17"/>
          <w:szCs w:val="17"/>
          <w:color w:val="auto"/>
        </w:rPr>
        <w:t>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73"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We have concentrated our research and development efforts on our aglatimagene and linoserpaturev product candidates, and our future success largely depends on the successful development of these therapeutic approaches.</w:t>
      </w:r>
    </w:p>
    <w:p>
      <w:pPr>
        <w:spacing w:after="0" w:line="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talimogene laherparepvec (Imlygic, Amgen) and nadofaragene firadenovec-vncg (Adstiladrin, Ferring Pharmaceuticals) have received FDA approval, regulatory agencies have reviewed relatively few viral immunotherapy product candidates such as aglatimagene and linoserpaturev.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which investigated aglatimagene in prostate cancer was a disease-free survival (DFS) endpoint. While this endpoint has not been utilized in prior trials, it was discussed and agreed by the FDA during the process resulting in the Special Protocol Assessment (SPA). The FDA may change its views on the clinical relevance of this endpoint because of evolving standards of care and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7" w:name="page58"/>
    <w:bookmarkEnd w:id="57"/>
    <w:p>
      <w:pPr>
        <w:jc w:val="both"/>
        <w:ind w:right="220"/>
        <w:spacing w:after="0" w:line="249" w:lineRule="auto"/>
        <w:rPr>
          <w:sz w:val="20"/>
          <w:szCs w:val="20"/>
          <w:color w:val="auto"/>
        </w:rPr>
      </w:pPr>
      <w:r>
        <w:rPr>
          <w:rFonts w:ascii="Arial" w:cs="Arial" w:eastAsia="Arial" w:hAnsi="Arial"/>
          <w:sz w:val="17"/>
          <w:szCs w:val="17"/>
          <w:color w:val="auto"/>
        </w:rPr>
        <w:t>contemporary disease management guidelines, or other emerging clinical or scientific information. However, even if this endpoint is accepted as a basis for approval in the United States, we cannot be certain that regulators outside of the United States will accept the endpoint or will not require us to conduct additional validation studies to support the suitability of such endpoints for approval in these jurisdictions.</w:t>
      </w:r>
    </w:p>
    <w:p>
      <w:pPr>
        <w:spacing w:after="0" w:line="67"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Our aglatimagene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aglatimagene, linoserpaturev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spacing w:after="0" w:line="244" w:lineRule="auto"/>
        <w:rPr>
          <w:sz w:val="20"/>
          <w:szCs w:val="20"/>
          <w:color w:val="auto"/>
        </w:rPr>
      </w:pPr>
      <w:r>
        <w:rPr>
          <w:rFonts w:ascii="Arial" w:cs="Arial" w:eastAsia="Arial" w:hAnsi="Arial"/>
          <w:sz w:val="17"/>
          <w:szCs w:val="17"/>
          <w:color w:val="auto"/>
        </w:rPr>
        <w:t>foreign regulatory authorities, or as needed to provide appropriate statistical power for a given trial. In particular, because we are focused on patients with brain cancer for the development of linoserpaturev,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6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79"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760" w:right="720" w:hanging="378"/>
        <w:spacing w:after="0" w:line="266" w:lineRule="auto"/>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6"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b w:val="1"/>
          <w:bCs w:val="1"/>
          <w:i w:val="1"/>
          <w:iCs w:val="1"/>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49"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760" w:hanging="378"/>
        <w:spacing w:after="0" w:line="249" w:lineRule="auto"/>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760" w:right="480" w:hanging="378"/>
        <w:spacing w:after="0" w:line="266" w:lineRule="auto"/>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51" w:lineRule="exact"/>
        <w:rPr>
          <w:rFonts w:ascii="Times New Roman" w:cs="Times New Roman" w:eastAsia="Times New Roman" w:hAnsi="Times New Roman"/>
          <w:sz w:val="17"/>
          <w:szCs w:val="17"/>
          <w:color w:val="auto"/>
        </w:rPr>
      </w:pPr>
    </w:p>
    <w:p>
      <w:pPr>
        <w:ind w:left="760" w:right="520" w:hanging="378"/>
        <w:spacing w:after="0" w:line="266" w:lineRule="auto"/>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9" w:name="page60"/>
    <w:bookmarkEnd w:id="59"/>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760" w:right="820" w:hanging="378"/>
        <w:spacing w:after="0" w:line="266" w:lineRule="auto"/>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aglatimagene and linoserpaturev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CG Oncology, J&amp;J,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-384175</wp:posOffset>
            </wp:positionV>
            <wp:extent cx="29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5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jc w:val="both"/>
        <w:ind w:right="100"/>
        <w:spacing w:after="0" w:line="244"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7"/>
          <w:szCs w:val="17"/>
          <w:color w:val="auto"/>
        </w:rPr>
        <w:t>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aglatimagene, linoserpaturev and future product candidates as expected, and our ability to generate revenue may be materially impaired.</w:t>
      </w:r>
    </w:p>
    <w:p>
      <w:pPr>
        <w:spacing w:after="0" w:line="5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For example, regulatory authorities may question the clinical relevance of data derived from our clinical trials because of evolving standards of care and contemporary disease management guidelines. It is possible that aglatimagene, linoserpaturev and future product candidates will never obtain the appropriate regulatory approvals necessary for us to commence product sales.</w:t>
      </w:r>
    </w:p>
    <w:p>
      <w:pPr>
        <w:spacing w:after="0" w:line="7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aglatimagene, linoserpaturev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Aglatimagene, linoserpaturev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aglatimagene, linoserpaturev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or if the FDA has a different interpretation of the safety data from our clinical trials than we do,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aglatimagene and linoserpaturev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aglatimagene, linoserpaturev and future product candidates.</w:t>
      </w:r>
    </w:p>
    <w:p>
      <w:pPr>
        <w:spacing w:after="0" w:line="83"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when a significantly larger number of patients are exposed to the product candidate or when patients are exposed for a longer period of time.</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Undesirable side effects caused by aglatimagene, linoserpaturev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aglatimagene, linoserpaturev and future product candidates. Any such limitations or restrictions could similarly impact any supplemental marketing approvals we may obtain for aglatimagene and linoserpaturev.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3"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If aglatimagene, linoserpaturev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74" w:lineRule="exact"/>
        <w:rPr>
          <w:sz w:val="20"/>
          <w:szCs w:val="20"/>
          <w:color w:val="auto"/>
        </w:rPr>
      </w:pPr>
    </w:p>
    <w:p>
      <w:pPr>
        <w:ind w:right="54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aglatimagene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aglatimagene in newly diagnosed localized prostate cancer in intermediate- and high-risk patients in combination with the SoC through a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subsequently made minor changes to the protocol to include the use of hypofractionated radiotherapy. This change in the protocol was not considered an amendment to the SPA by the FDA.</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 For example, the FDA may change its views on a SPA agreement based on factors such as data that would call into question the clinical relevance of previously agreed-upon efficacy endpoints, identification of safety concerns related to a product or its pharmacologic class, or paradigm shifts in disease diagnosis or management.</w:t>
      </w:r>
    </w:p>
    <w:p>
      <w:pPr>
        <w:spacing w:after="0" w:line="7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aglatimagene in prostate cancer.</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2" w:name="page63"/>
    <w:bookmarkEnd w:id="62"/>
    <w:p>
      <w:pPr>
        <w:ind w:right="30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some indications for aglatimagene and linoserpaturev, or if received for any other future product candidates, may not lead to a faster development or regulatory review or approval process, and does not increase the likelihood that our product candidates will receive marketing approval for the designated indications.</w:t>
      </w:r>
    </w:p>
    <w:p>
      <w:pPr>
        <w:spacing w:after="0" w:line="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aglatimagene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valacyclovir for the treatment of patients with pancreatic ductal adenocarcinoma (PDAC) to improve overall survival. Linoserpaturev was also granted Fast Track Designation for the treatment of patients with recurrent HGG to improve overall survival. We may also seek Fast Track Designation for certain of our future product candidates in specific indications, as appropriate. However, there is no assurance that the FDA will grant this status to our proposed product candidates. Marketing applications filed by sponsors of products with Fast Track Designation are eligible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aglatimagene and linoserpaturev or even if we receive Fast Track Designation for our future additional indications for aglatimagene and linoserpaturev, we may not experience a faster development process, review or approval compared to conventional FDA procedures, and receiving a Fast Track Designation does not provide assurance of ultimate FDA approval. In addition, the FDA may withdraw Fast Track Designation at any time if it believes that the designation is no longer supported by data from our clinical development program. Drugs and biologics for indications designated as Fast Track therapies by the FDA may also be eligible for other expedited programs, including accelerated approval.</w:t>
      </w:r>
    </w:p>
    <w:p>
      <w:pPr>
        <w:spacing w:after="0" w:line="7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some indications of our product candidates, may not lead to a faster development or regulatory review or approval process and it does not increase the likelihood that our product candidates will receive marketing approval for the designated indications.</w:t>
      </w:r>
    </w:p>
    <w:p>
      <w:pPr>
        <w:spacing w:after="0" w:line="4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for indications designated as Breakthrough Therapies by the FDA may also be eligible for other expedited approval programs, including accelerated approval.</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Designation as a Breakthrough Therapy is within the discretion of the FDA, and the FDA has not granted Breakthrough Therapy Designation to any of our product candidates.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the FDA may withdraw Breakthrough Designation at any time if it believes that the designation is no longer supported by data from our clinical development program. In addition, even if one or more of our product candidate indications qualify as Breakthrough Therapies, the FDA may later decide that the product no longer meets the conditions for qualification.</w:t>
      </w:r>
    </w:p>
    <w:p>
      <w:pPr>
        <w:spacing w:after="0" w:line="74"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b w:val="1"/>
          <w:bCs w:val="1"/>
          <w:i w:val="1"/>
          <w:iCs w:val="1"/>
          <w:color w:val="auto"/>
        </w:rPr>
        <w:t>We have received Orphan Drug Designation from the FDA and the EMA for aglatimagene for the treatment of pancreatic cancer and for linoserpaturev for the treatment of recurrent HGG. We may seek Orphan Drug Designation from regulatory authorities in other jurisdictions for aglatimagene and linoserpaturev,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p>
    <w:p>
      <w:pPr>
        <w:spacing w:after="0" w:line="59"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We have received Orphan Drug Designation from the FDA and the EMA for aglatimagene for the treatment of pancreatic cancer and for linoserpaturev for the treatment of recurrent HGG. Even if aglatimagene or linoserpaturev were to obtain orphan drug exclusivity for this use upon marketing approval by the FDA, the benefit of that exclusivity may be revoked if the approval is in an 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ind w:right="40"/>
        <w:spacing w:after="0" w:line="241" w:lineRule="auto"/>
        <w:rPr>
          <w:sz w:val="20"/>
          <w:szCs w:val="20"/>
          <w:color w:val="auto"/>
        </w:rPr>
      </w:pPr>
      <w:r>
        <w:rPr>
          <w:rFonts w:ascii="Arial" w:cs="Arial" w:eastAsia="Arial" w:hAnsi="Arial"/>
          <w:sz w:val="17"/>
          <w:szCs w:val="17"/>
          <w:color w:val="auto"/>
        </w:rPr>
        <w:t>patients with the rare disease or condition. Further, orphan drug exclusivity may not effectively protect the product from competition during the exclusivity period because different drugs with different active moieties can be approved for the same condition,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p>
    <w:p>
      <w:pPr>
        <w:spacing w:after="0" w:line="72" w:lineRule="exact"/>
        <w:rPr>
          <w:sz w:val="20"/>
          <w:szCs w:val="20"/>
          <w:color w:val="auto"/>
        </w:rPr>
      </w:pPr>
    </w:p>
    <w:p>
      <w:pPr>
        <w:ind w:right="500"/>
        <w:spacing w:after="0" w:line="248" w:lineRule="auto"/>
        <w:rPr>
          <w:sz w:val="20"/>
          <w:szCs w:val="20"/>
          <w:color w:val="auto"/>
        </w:rPr>
      </w:pPr>
      <w:r>
        <w:rPr>
          <w:rFonts w:ascii="Arial" w:cs="Arial" w:eastAsia="Arial" w:hAnsi="Arial"/>
          <w:sz w:val="17"/>
          <w:szCs w:val="17"/>
          <w:b w:val="1"/>
          <w:bCs w:val="1"/>
          <w:i w:val="1"/>
          <w:iCs w:val="1"/>
          <w:color w:val="auto"/>
        </w:rPr>
        <w:t>We have received Regenerative Medicine Advanced Therapy Designation from the FDA for aglatimagene for the treatment of newly diagnosed localized prostate cancer in patients with intermediate- to high-risk disease. This may not lead to a faster development or regulatory review or approval process, and does not increase the likelihood that aglatimagene, or any other product candidates that receive such designation, will receive marketing approval for the designated indications.</w:t>
      </w:r>
    </w:p>
    <w:p>
      <w:pPr>
        <w:spacing w:after="0" w:line="5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have received Regenerative Medicine Advanced Therapy (RMAT) Designation for aglatimagene for the treatment of newly diagnosed localized prostate cancer in patients with intermediate- to high-risk disease. We may also seek RMAT Designation for certain of our future product candidates in specific indications, as appropriate. However, there is no assurance that the FDA will grant this status to our proposed product candidates. The features of RMAT Designation include all of the features of Breakthrough Therapy Designation, including early interactions to discuss potential surrogate or intermediate endpoints. Marketing applications filed by sponsors of products with RMAT Designation may be eligible for accelerated approval, but RMAT Designation does not assure eligibility for accelerated approval, nor does it assure a faster development process or ultimate marketing approval by the FDA. The FDA has broad discretion whether or not to grant RMAT Designation, so even if we believe a particular product candidate is eligible for this designation, there can be no assurance that the FDA would decide to grant it. In addition, the FDA may withdraw RMAT Designation at any time if it believes the designation is no longer supported.</w:t>
      </w:r>
    </w:p>
    <w:p>
      <w:pPr>
        <w:spacing w:after="0" w:line="79"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83"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aglatimagene, linoserpaturev or any future product candidates in the United States or other jurisdictions, which would prevent us from commercializing aglatimagene, linoserpaturev and future product candidates. Even if we obtain regulatory approval for aglatimagene, linoserpaturev and future product candidates, any such approval may be subject to limitations, including with respect to the approved indications or patient populations, which could impair our ability to successfully commercialize aglatimagene, linoserpaturev or any future product candidates.</w:t>
      </w:r>
    </w:p>
    <w:p>
      <w:pPr>
        <w:spacing w:after="0" w:line="5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are not permitted to market or promote or sell aglatimagene, linoserpaturev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4" w:name="page65"/>
    <w:bookmarkEnd w:id="64"/>
    <w:p>
      <w:pPr>
        <w:spacing w:after="0" w:line="241" w:lineRule="auto"/>
        <w:rPr>
          <w:sz w:val="20"/>
          <w:szCs w:val="20"/>
          <w:color w:val="auto"/>
        </w:rPr>
      </w:pPr>
      <w:r>
        <w:rPr>
          <w:rFonts w:ascii="Arial" w:cs="Arial" w:eastAsia="Arial" w:hAnsi="Arial"/>
          <w:sz w:val="17"/>
          <w:szCs w:val="17"/>
          <w:color w:val="auto"/>
        </w:rPr>
        <w:t>aglatimagene, linoserpaturev and future product candidates, or if our ongoing or future interactions with the FDA or other regulatory authorities do not result in such agency’s agreement with our approach to seek approval for aglatimagene, linoserpaturev and future product candidates, we will not be able to commercialize such product candidates in the United States or in other jurisdictions. If significant delays in obtaining approval for and commercializing such product candidates occur in any jurisdictions, our business, financial condition, results of operations, stock price and prospects will be materially harmed. Even if aglatimagene, linoserpaturev and future product candidates are approved, they may:</w:t>
      </w:r>
    </w:p>
    <w:p>
      <w:pPr>
        <w:spacing w:after="0" w:line="72" w:lineRule="exact"/>
        <w:rPr>
          <w:sz w:val="20"/>
          <w:szCs w:val="20"/>
          <w:color w:val="auto"/>
        </w:rPr>
      </w:pPr>
    </w:p>
    <w:p>
      <w:pPr>
        <w:ind w:left="760" w:right="400" w:hanging="378"/>
        <w:spacing w:after="0" w:line="266" w:lineRule="auto"/>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jc w:val="both"/>
        <w:ind w:right="56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aglatimagene, linoserpaturev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aglatimagene, linoserpaturev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aglatimagene, linoserpaturev and future product candidates and jeopardize our ability to commence product sales and generate revenue.</w:t>
      </w:r>
    </w:p>
    <w:p>
      <w:pPr>
        <w:spacing w:after="0" w:line="7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patent offices and other government agencies could hinder their ability to hire and retain key personnel, and substantial changes in leadership, personnel, and policy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Disruptions at the FDA, patent offices and other agencies, including substantial leadership, personnel, and policy changes, may also slow the time necessary for new product candidates to be reviewed and/or approved by necessary government agencies, or commercialized, which would adversely affect our business. For example, the U.S. federal government has shut down several times and certain regulatory agencies, such as the FDA and the SEC, have had to furlough critical FDA, SEC and other government employees and stop critical activities. If a prolonged government shutdown or substantial leadership, personnel, and policy changes occur,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 Such changes could significantly impact the ability of the FDA to timely review and take action on our regulatory submissions, which could have a material adverse effect on our business.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spacing w:after="0" w:line="7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Without appropriate funding to federal agencies, our business operations related to our product development for the U.S. market could be impacted. Inadequate funding for the FDA, the SEC and other government agencies, including</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5" w:name="page66"/>
    <w:bookmarkEnd w:id="65"/>
    <w:p>
      <w:pPr>
        <w:ind w:right="80"/>
        <w:spacing w:after="0" w:line="239" w:lineRule="auto"/>
        <w:rPr>
          <w:sz w:val="20"/>
          <w:szCs w:val="20"/>
          <w:color w:val="auto"/>
        </w:rPr>
      </w:pPr>
      <w:r>
        <w:rPr>
          <w:rFonts w:ascii="Arial" w:cs="Arial" w:eastAsia="Arial" w:hAnsi="Arial"/>
          <w:sz w:val="17"/>
          <w:szCs w:val="17"/>
          <w:color w:val="auto"/>
        </w:rPr>
        <w:t>from government shutdowns, or other disruptions to these agencies’ operations, could hinder their ability to hire and retain key leadership and other personnel and otherwise prevent those agencies from performing normal business functions on which the operation of our business may rely, which could negatively impact our business. The Trump administration has issued executive orders and taken other measures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the SEC and other agencies.</w:t>
      </w:r>
    </w:p>
    <w:p>
      <w:pPr>
        <w:spacing w:after="0" w:line="74"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Trump administration also has sought to modify or revise the requirements and policies of the FDA and other regulatory agencies with jurisdiction over our product candidates, and these changes introduce uncertainty, which could present new challenges and/or opportunities as we navigate development of our product candidates. Any delay in obtaining, or our inability to obtain, applicable regulatory approvals would delay or prevent development and commercialization of our product candidates and could materially adversely impact our business and prospects.</w:t>
      </w:r>
    </w:p>
    <w:p>
      <w:pPr>
        <w:spacing w:after="0" w:line="6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Even if aglatimagene, linoserpaturev or any future product candidates receive regulatory approval, we will be subject to ongoing obligations and continued regulatory review, which may result in significant additional expense and limit how we manufacture and market our products.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 For certain commercial prescription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7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aglatimagene, linoserpaturev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760" w:right="600" w:hanging="378"/>
        <w:spacing w:after="0" w:line="266" w:lineRule="auto"/>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aglatimagene, linoserpaturev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ind w:right="80"/>
        <w:spacing w:after="0" w:line="234" w:lineRule="auto"/>
        <w:rPr>
          <w:sz w:val="20"/>
          <w:szCs w:val="20"/>
          <w:color w:val="auto"/>
        </w:rPr>
      </w:pPr>
      <w:r>
        <w:rPr>
          <w:rFonts w:ascii="Arial" w:cs="Arial" w:eastAsia="Arial" w:hAnsi="Arial"/>
          <w:sz w:val="17"/>
          <w:szCs w:val="17"/>
          <w:color w:val="auto"/>
        </w:rPr>
        <w:t>If we are found to have impermissibly promoted any of aglatimagene, linoserpaturev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aglatimagene, linoserpaturev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9"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authority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aglatimagene and linoserpaturev.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ind w:right="480"/>
        <w:spacing w:after="0" w:line="267" w:lineRule="auto"/>
        <w:rPr>
          <w:sz w:val="20"/>
          <w:szCs w:val="20"/>
          <w:color w:val="auto"/>
        </w:rPr>
      </w:pPr>
      <w:r>
        <w:rPr>
          <w:rFonts w:ascii="Arial" w:cs="Arial" w:eastAsia="Arial" w:hAnsi="Arial"/>
          <w:sz w:val="17"/>
          <w:szCs w:val="17"/>
          <w:color w:val="auto"/>
        </w:rPr>
        <w:t>complex and is still being interpreted and implemented by the FDA. As a result, its ultimate impact, implementation and meaning are subject to uncertainty.</w:t>
      </w:r>
    </w:p>
    <w:p>
      <w:pPr>
        <w:spacing w:after="0" w:line="5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on healthcare laws and regulations that may impact our company, see Part I, Item 1 “Business - Health Reform” included in this Annual Report on Form 10-K.</w:t>
      </w:r>
    </w:p>
    <w:p>
      <w:pPr>
        <w:spacing w:after="0" w:line="7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For example, recent CMS proposals, including the GLOBE, GUARD, and GENEROUS, could materially impact the Company’s revenue. In addition, increased scrutiny by Congress of the FDA’s approval process may significantly delay or prevent marketing approval, as well as subject us to more stringent product labeling and post-marketing testing and other requirements.</w:t>
      </w:r>
    </w:p>
    <w:p>
      <w:pPr>
        <w:spacing w:after="0" w:line="74"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has been increasing legislative and enforcement interest in the United States with respect to specialty drug pricing practices.</w:t>
      </w:r>
    </w:p>
    <w:p>
      <w:pPr>
        <w:spacing w:after="0" w:line="10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760" w:right="800" w:hanging="378"/>
        <w:spacing w:after="0" w:line="266" w:lineRule="auto"/>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For more information on healthcare laws and regulations that may impact our company, see the section titled Part I, Item 1, “Business - Coverage and Reimbursement” included 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any approved product would depend on a number of factors, including:</w:t>
      </w:r>
    </w:p>
    <w:p>
      <w:pPr>
        <w:spacing w:after="0" w:line="102"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0" w:name="page71"/>
    <w:bookmarkEnd w:id="70"/>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760" w:right="380" w:hanging="378"/>
        <w:spacing w:after="0" w:line="266" w:lineRule="auto"/>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expect initially to develop our most advanced product candidates, aglatimagene and linoserpaturev.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 For more information on healthcare laws and regulations that may impact our company, see the section titled Part I, Item 1, “Business - Other Healthcare Laws and Compliance Requirements” included in this Annual Report on Form 10-K.</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1" w:name="page72"/>
    <w:bookmarkEnd w:id="71"/>
    <w:p>
      <w:pPr>
        <w:ind w:right="600"/>
        <w:spacing w:after="0" w:line="267" w:lineRule="auto"/>
        <w:rPr>
          <w:sz w:val="20"/>
          <w:szCs w:val="20"/>
          <w:color w:val="auto"/>
        </w:rPr>
      </w:pPr>
      <w:r>
        <w:rPr>
          <w:rFonts w:ascii="Arial" w:cs="Arial" w:eastAsia="Arial" w:hAnsi="Arial"/>
          <w:sz w:val="17"/>
          <w:szCs w:val="17"/>
          <w:color w:val="auto"/>
        </w:rPr>
        <w:t>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(HIPAA), as amended by the Health Information Technology for Economic and Clinical Health Act.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7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EEA) or the UK. The GDPR applies to any company established in the EEA or UK as well as to those outside the EEA or UK if they collect and use</w:t>
      </w:r>
    </w:p>
    <w:p>
      <w:pPr>
        <w:spacing w:after="0" w:line="232" w:lineRule="auto"/>
        <w:rPr>
          <w:sz w:val="20"/>
          <w:szCs w:val="20"/>
          <w:color w:val="auto"/>
        </w:rPr>
      </w:pPr>
      <w:r>
        <w:rPr>
          <w:rFonts w:ascii="Arial" w:cs="Arial" w:eastAsia="Arial" w:hAnsi="Arial"/>
          <w:sz w:val="17"/>
          <w:szCs w:val="17"/>
          <w:color w:val="auto"/>
        </w:rPr>
        <w:t>personal data in connection with the offering of goods or services to individuals in the EEA or UK or the monitoring of their behavior. The GDPR,</w:t>
      </w:r>
    </w:p>
    <w:p>
      <w:pPr>
        <w:spacing w:after="0" w:line="232" w:lineRule="auto"/>
        <w:rPr>
          <w:sz w:val="20"/>
          <w:szCs w:val="20"/>
          <w:color w:val="auto"/>
        </w:rPr>
      </w:pPr>
      <w:r>
        <w:rPr>
          <w:rFonts w:ascii="Arial" w:cs="Arial" w:eastAsia="Arial" w:hAnsi="Arial"/>
          <w:sz w:val="17"/>
          <w:szCs w:val="17"/>
          <w:color w:val="auto"/>
        </w:rPr>
        <w:t>together with national legislation, regulations and guidelines of the EEA Member States and the UK governing the processing of personal data,</w:t>
      </w:r>
    </w:p>
    <w:p>
      <w:pPr>
        <w:spacing w:after="0" w:line="232" w:lineRule="auto"/>
        <w:rPr>
          <w:sz w:val="20"/>
          <w:szCs w:val="20"/>
          <w:color w:val="auto"/>
        </w:rPr>
      </w:pPr>
      <w:r>
        <w:rPr>
          <w:rFonts w:ascii="Arial" w:cs="Arial" w:eastAsia="Arial" w:hAnsi="Arial"/>
          <w:sz w:val="17"/>
          <w:szCs w:val="17"/>
          <w:color w:val="auto"/>
        </w:rPr>
        <w:t>impose strict obligations and restrictions on the ability to collect, analyze and transfer personal data, including health data from clinical trials and</w:t>
      </w:r>
    </w:p>
    <w:p>
      <w:pPr>
        <w:spacing w:after="0" w:line="232" w:lineRule="auto"/>
        <w:rPr>
          <w:sz w:val="20"/>
          <w:szCs w:val="20"/>
          <w:color w:val="auto"/>
        </w:rPr>
      </w:pPr>
      <w:r>
        <w:rPr>
          <w:rFonts w:ascii="Arial" w:cs="Arial" w:eastAsia="Arial" w:hAnsi="Arial"/>
          <w:sz w:val="17"/>
          <w:szCs w:val="17"/>
          <w:color w:val="auto"/>
        </w:rPr>
        <w:t>adverse event reporting. In particular, these obligations and restrictions concern relying on a legal basis or condition for the processing of personal</w:t>
      </w:r>
    </w:p>
    <w:p>
      <w:pPr>
        <w:spacing w:after="0" w:line="232" w:lineRule="auto"/>
        <w:rPr>
          <w:sz w:val="20"/>
          <w:szCs w:val="20"/>
          <w:color w:val="auto"/>
        </w:rPr>
      </w:pPr>
      <w:r>
        <w:rPr>
          <w:rFonts w:ascii="Arial" w:cs="Arial" w:eastAsia="Arial" w:hAnsi="Arial"/>
          <w:sz w:val="17"/>
          <w:szCs w:val="17"/>
          <w:color w:val="auto"/>
        </w:rPr>
        <w:t>data, where required obtaining the consent of the individuals to whom the personal data relates, the information provided to the individuals, the</w:t>
      </w:r>
    </w:p>
    <w:p>
      <w:pPr>
        <w:spacing w:after="0" w:line="232" w:lineRule="auto"/>
        <w:rPr>
          <w:sz w:val="20"/>
          <w:szCs w:val="20"/>
          <w:color w:val="auto"/>
        </w:rPr>
      </w:pPr>
      <w:r>
        <w:rPr>
          <w:rFonts w:ascii="Arial" w:cs="Arial" w:eastAsia="Arial" w:hAnsi="Arial"/>
          <w:sz w:val="17"/>
          <w:szCs w:val="17"/>
          <w:color w:val="auto"/>
        </w:rPr>
        <w:t>transfer of personal data out of the EEA or the UK, security breach notifications, security and confidentiality of the personal data and imposition of</w:t>
      </w:r>
    </w:p>
    <w:p>
      <w:pPr>
        <w:spacing w:after="0" w:line="232" w:lineRule="auto"/>
        <w:rPr>
          <w:sz w:val="20"/>
          <w:szCs w:val="20"/>
          <w:color w:val="auto"/>
        </w:rPr>
      </w:pPr>
      <w:r>
        <w:rPr>
          <w:rFonts w:ascii="Arial" w:cs="Arial" w:eastAsia="Arial" w:hAnsi="Arial"/>
          <w:sz w:val="17"/>
          <w:szCs w:val="17"/>
          <w:color w:val="auto"/>
        </w:rPr>
        <w:t>substantial potential fines for breaches of the data protection obligations. Companies that must comply with the GDPR face increased compliance</w:t>
      </w:r>
    </w:p>
    <w:p>
      <w:pPr>
        <w:spacing w:after="0" w:line="232" w:lineRule="auto"/>
        <w:rPr>
          <w:sz w:val="20"/>
          <w:szCs w:val="20"/>
          <w:color w:val="auto"/>
        </w:rPr>
      </w:pPr>
      <w:r>
        <w:rPr>
          <w:rFonts w:ascii="Arial" w:cs="Arial" w:eastAsia="Arial" w:hAnsi="Arial"/>
          <w:sz w:val="17"/>
          <w:szCs w:val="17"/>
          <w:color w:val="auto"/>
        </w:rPr>
        <w:t>obligations and risk, including more robust regulatory enforcement of data protection requirements and potential fines for noncompliance of up to</w:t>
      </w:r>
    </w:p>
    <w:p>
      <w:pPr>
        <w:spacing w:after="0" w:line="232" w:lineRule="auto"/>
        <w:rPr>
          <w:sz w:val="20"/>
          <w:szCs w:val="20"/>
          <w:color w:val="auto"/>
        </w:rPr>
      </w:pPr>
      <w:r>
        <w:rPr>
          <w:rFonts w:ascii="Arial" w:cs="Arial" w:eastAsia="Arial" w:hAnsi="Arial"/>
          <w:sz w:val="17"/>
          <w:szCs w:val="17"/>
          <w:color w:val="auto"/>
        </w:rPr>
        <w:t>€20 million (£17.5 million) or 4% of the annual global revenues of the noncompliant company, whichever is greater. Currently, the EU GDPR and UK</w:t>
      </w:r>
    </w:p>
    <w:p>
      <w:pPr>
        <w:spacing w:after="0" w:line="232" w:lineRule="auto"/>
        <w:rPr>
          <w:sz w:val="20"/>
          <w:szCs w:val="20"/>
          <w:color w:val="auto"/>
        </w:rPr>
      </w:pPr>
      <w:r>
        <w:rPr>
          <w:rFonts w:ascii="Arial" w:cs="Arial" w:eastAsia="Arial" w:hAnsi="Arial"/>
          <w:sz w:val="17"/>
          <w:szCs w:val="17"/>
          <w:color w:val="auto"/>
        </w:rPr>
        <w:t>GDPR remain largely aligned, but the UK has announced plans to reform the country’s data protection legal framework in its Data Reform Bill, which</w:t>
      </w:r>
    </w:p>
    <w:p>
      <w:pPr>
        <w:spacing w:after="0" w:line="232" w:lineRule="auto"/>
        <w:rPr>
          <w:sz w:val="20"/>
          <w:szCs w:val="20"/>
          <w:color w:val="auto"/>
        </w:rPr>
      </w:pPr>
      <w:r>
        <w:rPr>
          <w:rFonts w:ascii="Arial" w:cs="Arial" w:eastAsia="Arial" w:hAnsi="Arial"/>
          <w:sz w:val="17"/>
          <w:szCs w:val="17"/>
          <w:color w:val="auto"/>
        </w:rPr>
        <w:t>will introduce significant changes from the EU GDPR. This may lead to additional compliance costs and could increase our overall risk exposure as</w:t>
      </w:r>
    </w:p>
    <w:p>
      <w:pPr>
        <w:spacing w:after="0" w:line="232" w:lineRule="auto"/>
        <w:rPr>
          <w:sz w:val="20"/>
          <w:szCs w:val="20"/>
          <w:color w:val="auto"/>
        </w:rPr>
      </w:pPr>
      <w:r>
        <w:rPr>
          <w:rFonts w:ascii="Arial" w:cs="Arial" w:eastAsia="Arial" w:hAnsi="Arial"/>
          <w:sz w:val="17"/>
          <w:szCs w:val="17"/>
          <w:color w:val="auto"/>
        </w:rPr>
        <w:t>we may no longer be able to take a unified approach across the EEA and the UK, and we will need to amend our processes and procedures to align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 the new framework.</w:t>
      </w:r>
    </w:p>
    <w:p>
      <w:pPr>
        <w:spacing w:after="0" w:line="8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reputational damage, and orders to cease/change our use of data, enforcement notices, or potential civil claims including class action-type litigation.</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in the United States, federal and state governments are increasingly passing stringent privacy laws. At the federal level,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Regulators and legislators in the United States are also increasingly scrutinizing and restricting certain personal information transfers and transactions involving foreign countries. For example, the Department of Justice’s January 8, 2025 rule on “Preventing Access to Americans’ Bulk Sensitive Personal Data and United States Government-Related Data by Countries of Concern”, prohibits data brokerage transactions involving certain sensitive personal information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 addition, numerous state laws govern privacy and security of personal information. For example, in California, the California Consumer Privacy Act (CCPA), as amended by the California Privacy Rights Act (CPRA) on January 1, 2023, established a comprehensive privacy framework for covered businesses by creating an expanded definition of personal information, established new individual privacy rights for California consumers (as defined in the law) and placed increased privacy and security obligations on entities handling personal data of consumers or households, including by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While clinical trial data and information governed by HIPAA are currently exempt from f the CCPA, other personal information we process may be subject to the law and possible changes to the CCPA may broaden its scope. Additionally, the amendments to the CCPA introduced by the CPRA have imposed additional obligations on companies covered by the legislation, including by expanding consumers’ rights with respect to certain sensitive personal information. In addition, CPRA also created a new state agency that is vested with authority to implement and enforce the CCPA. The effects of the CCPA, may require us to modify our data collection or processing practices and policies and to incur substantial costs and expenses in an effort to comply with the legislation and decrease our potential exposure to regulatory enforcement and/or litigation.</w:t>
      </w:r>
    </w:p>
    <w:p>
      <w:pPr>
        <w:spacing w:after="0" w:line="21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Similar laws have been passed and proposed in numerous other states.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State laws are changing rapidly and there are discussions in the U.S. Congress of new comprehensive federal data privacy laws to which we could become subject to, if enacted.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77"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For example, Washington’s My Health My Data Act, which became effective on March 31, 2024, regulates the collection, processing and sale of consumer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Patients about whom we or our collaborators may obtain health information, as well as the providers who may share this information with us, may have statutory or contractual rights that limit our ability to use and disclose the information. We may be required to expend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3" w:name="page74"/>
    <w:bookmarkEnd w:id="73"/>
    <w:p>
      <w:pPr>
        <w:ind w:right="60"/>
        <w:spacing w:after="0" w:line="249" w:lineRule="auto"/>
        <w:rPr>
          <w:sz w:val="20"/>
          <w:szCs w:val="20"/>
          <w:color w:val="auto"/>
        </w:rPr>
      </w:pPr>
      <w:r>
        <w:rPr>
          <w:rFonts w:ascii="Arial" w:cs="Arial" w:eastAsia="Arial" w:hAnsi="Arial"/>
          <w:sz w:val="17"/>
          <w:szCs w:val="17"/>
          <w:color w:val="auto"/>
        </w:rPr>
        <w:t>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6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74"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51"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49"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We may use and integrate artificial intelligence (AI) into our business processes. Use of this technology presents risks and challenges that could affect our business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its adoption, and therefore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use solutions that draw controversy due to perceived or actual negative societal impact, we may experience brand or reputational harm, competitive harm or legal liability. The use of certain artificial intelligence technology can give rise to intellectual property risks, including by disclosing or otherwise compromising to our confidential or proprietary intellectual property and intellectual property infringement, or by undermining our ability to assert or defend ownership rights in intellectual property created with the assistance of artificial intelligence tools.</w:t>
      </w:r>
    </w:p>
    <w:p>
      <w:pPr>
        <w:spacing w:after="0" w:line="7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Additionally, we expect to see increasing government and supranational regulation related to artificial intelligence use and ethics, which may also significantly increase the burden and cost of research, development and compliance in this area.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Likewise, in the U.S., 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The rapid evolution of artificial intelligence will require the application of significant resources to design, develop, test and maintain such systems to help ensure that artificial intelligence is implemented in accordance with applicable law and regulation and in a socially responsible manner and to minimize any real or perceived unintended harmful impacts. The use of certain artificial intelligence technologies can also give rise to intellectual property risks, including by disclosing or otherwise compromising our confidential or proprietary intellectual property, or by undermining our ability to assert or</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4" w:name="page75"/>
    <w:bookmarkEnd w:id="74"/>
    <w:p>
      <w:pPr>
        <w:spacing w:after="0" w:line="239" w:lineRule="auto"/>
        <w:rPr>
          <w:sz w:val="20"/>
          <w:szCs w:val="20"/>
          <w:color w:val="auto"/>
        </w:rPr>
      </w:pPr>
      <w:r>
        <w:rPr>
          <w:rFonts w:ascii="Arial" w:cs="Arial" w:eastAsia="Arial" w:hAnsi="Arial"/>
          <w:sz w:val="17"/>
          <w:szCs w:val="17"/>
          <w:color w:val="auto"/>
        </w:rPr>
        <w:t>defend ownership rights in intellectual property created with the assistance of artificial intelligence tools.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74"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7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certain of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5" w:name="page76"/>
    <w:bookmarkEnd w:id="75"/>
    <w:p>
      <w:pPr>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cybersecurity incidents or data breaches, which could result in a material disruption of our product candidates’ development programs.</w:t>
      </w:r>
    </w:p>
    <w:p>
      <w:pPr>
        <w:spacing w:after="0" w:line="4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data breach or cybersecurity incident were to result in a loss of or damage to our data or applications, or inappropriate disclosure of personal, confidential or proprietary information, we could incur liability and the further development of any of our product candidates could be delayed. Our contracts may not contain limitations of liability, and even where they do,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6" w:name="page77"/>
    <w:bookmarkEnd w:id="76"/>
    <w:p>
      <w:pPr>
        <w:ind w:right="120"/>
        <w:spacing w:after="0" w:line="249" w:lineRule="auto"/>
        <w:rPr>
          <w:sz w:val="20"/>
          <w:szCs w:val="20"/>
          <w:color w:val="auto"/>
        </w:rPr>
      </w:pPr>
      <w:r>
        <w:rPr>
          <w:rFonts w:ascii="Arial" w:cs="Arial" w:eastAsia="Arial" w:hAnsi="Arial"/>
          <w:sz w:val="17"/>
          <w:szCs w:val="17"/>
          <w:color w:val="auto"/>
        </w:rPr>
        <w:t>there can be no assurance that limitations of liability in our contracts are sufficient to protect us from liabilities, damages, or claims related to our privacy and data security obligations. In addition, our liability and cyber insurance may not be sufficient in type or amount to cover us against claims related to cybersecurity incidents, cyber-attacks or other related liabilities, including data breaches.</w:t>
      </w:r>
    </w:p>
    <w:p>
      <w:pPr>
        <w:spacing w:after="0" w:line="6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may also be carried out by employees or contractors unwittingly or acting with malicious intent. Cyber-attacks include the theft, fraud, and subsequent misuse of employee credentials, wrongful conduct by insider employees or vendors, deployment of harmful malware and key loggers, ransomware, denial-of-service attacks, malicious websites, business email compromises, computer malware, malicious codes, viruses, breakdown, wrongful intrusions, data breaches,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breach or cybersecurity incident. Attempts to disrupt or gain unauthorized access to our and our third-party service providers’ information systems from malicious third parties or insider threats may incorporate widely varying and frequently changing tactics, which may be enhanced or facilitated by AI. Our business partners face similar risks, and any cybersecurity incident or data breach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a cyber attack is increased with employees working remotely. Remote work increases the risk we may be vulnerable to cybersecurity-related events such as phishing attacks and other security threats.</w:t>
      </w:r>
    </w:p>
    <w:p>
      <w:pPr>
        <w:spacing w:after="0" w:line="84"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Like other companies in our industry, we, and our third party vendors, have experienced threats and cybersecurity incidents relating to our information technology systems and infrastructure. 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data breach, industrial espionage attacks or insider threat attacks which could result in financial, legal, business or reputational harm.</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a cybersecurity incident or data breach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required to notify relevant stakeholders (including affected individuals, investors and regulators). We could also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spacing w:after="0" w:line="157"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ind w:right="60"/>
        <w:spacing w:after="0" w:line="239" w:lineRule="auto"/>
        <w:rPr>
          <w:sz w:val="20"/>
          <w:szCs w:val="20"/>
          <w:color w:val="auto"/>
        </w:rPr>
      </w:pPr>
      <w:r>
        <w:rPr>
          <w:rFonts w:ascii="Arial" w:cs="Arial" w:eastAsia="Arial" w:hAnsi="Arial"/>
          <w:sz w:val="17"/>
          <w:szCs w:val="17"/>
          <w:color w:val="auto"/>
        </w:rPr>
        <w:t>launched an attack on Israel, and Israel declared war on Hamas, with the armed conflict ongoing as of the date of this 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60"/>
        <w:spacing w:after="0" w:line="244"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9"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ind w:right="80"/>
        <w:spacing w:after="0" w:line="267" w:lineRule="auto"/>
        <w:rPr>
          <w:sz w:val="20"/>
          <w:szCs w:val="20"/>
          <w:color w:val="auto"/>
        </w:rPr>
      </w:pPr>
      <w:r>
        <w:rPr>
          <w:rFonts w:ascii="Arial" w:cs="Arial" w:eastAsia="Arial" w:hAnsi="Arial"/>
          <w:sz w:val="17"/>
          <w:szCs w:val="17"/>
          <w:color w:val="auto"/>
        </w:rPr>
        <w:t>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76"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9" w:name="page80"/>
    <w:bookmarkEnd w:id="79"/>
    <w:p>
      <w:pPr>
        <w:ind w:right="80"/>
        <w:spacing w:after="0" w:line="249" w:lineRule="auto"/>
        <w:rPr>
          <w:sz w:val="20"/>
          <w:szCs w:val="20"/>
          <w:color w:val="auto"/>
        </w:rPr>
      </w:pPr>
      <w:r>
        <w:rPr>
          <w:rFonts w:ascii="Arial" w:cs="Arial" w:eastAsia="Arial" w:hAnsi="Arial"/>
          <w:sz w:val="17"/>
          <w:szCs w:val="17"/>
          <w:color w:val="auto"/>
        </w:rPr>
        <w:t>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67"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Part I, Item 1 “Business – Other Healthcare Laws and Compliance Requirements.”</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79"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ind w:right="80"/>
        <w:spacing w:after="0" w:line="249" w:lineRule="auto"/>
        <w:rPr>
          <w:sz w:val="20"/>
          <w:szCs w:val="20"/>
          <w:color w:val="auto"/>
        </w:rPr>
      </w:pPr>
      <w:r>
        <w:rPr>
          <w:rFonts w:ascii="Arial" w:cs="Arial" w:eastAsia="Arial" w:hAnsi="Arial"/>
          <w:sz w:val="17"/>
          <w:szCs w:val="17"/>
          <w:color w:val="auto"/>
        </w:rPr>
        <w:t>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(the IRS) and the U.S. Treasury Department. For example, the OBBBA was signed into law on July 4, 2025 and made significant changes to U.S. federal tax law. Changes in tax law (which changes may have retroactive application) could adversely affect our business or financial condition. Any new taxes could adversely affect our business and financial performance.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Further, existing tax laws, statutes, rules, regulations or ordinances could be interpreted, changed, modified or applied adversely to us.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the 2026 Follow-On Offering (defined below), Registered Direct Offering (defined below), 2024 Follow-On Offering (defined below), our initial public offering (IPO), and other transactions that have occurred over the past three years, we may have experienced, an “ownership change.” We may also experience ownership changes in the future as a result of subsequent shifts in our stock ownership. As of December 31, 2025, we had U.S. federal and state net operating loss carryforwards of $141.1 million and $131.2 million, which begin to expire in 2027 and 2032, respectively, and which could be limited if we experience an “ownership change.”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2025, we had a U.S. federal net operating loss carryforward of $132.3 million which do not expire but is limited to an annual deduction equal to 80% of annual taxable income.</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Part I, Item 1 "Business - Coverage and Reimbursement."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ind w:right="60"/>
        <w:spacing w:after="0" w:line="23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2" w:name="page83"/>
    <w:bookmarkEnd w:id="82"/>
    <w:p>
      <w:pPr>
        <w:ind w:right="60"/>
        <w:spacing w:after="0" w:line="241" w:lineRule="auto"/>
        <w:rPr>
          <w:sz w:val="20"/>
          <w:szCs w:val="20"/>
          <w:color w:val="auto"/>
        </w:rPr>
      </w:pPr>
      <w:r>
        <w:rPr>
          <w:rFonts w:ascii="Arial" w:cs="Arial" w:eastAsia="Arial" w:hAnsi="Arial"/>
          <w:sz w:val="17"/>
          <w:szCs w:val="17"/>
          <w:color w:val="auto"/>
        </w:rPr>
        <w:t>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aglatimagene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aglatimagene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 Dr. Aguilar-Cordova’s term as a director of the Company expired at our 2024 annual meeting of stockholders held on June 26, 2024.</w:t>
      </w:r>
    </w:p>
    <w:p>
      <w:pPr>
        <w:spacing w:after="0" w:line="7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For certain product candidates, we depend, or will depend, on development and commercialization collaborators to develop and conduct clinical trials with, obtain regulatory approvals for,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3" w:name="page84"/>
    <w:bookmarkEnd w:id="83"/>
    <w:p>
      <w:pPr>
        <w:ind w:left="1020" w:right="40" w:hanging="503"/>
        <w:spacing w:after="0" w:line="243"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4" w:name="page85"/>
    <w:bookmarkEnd w:id="84"/>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4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countries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5" w:name="page86"/>
    <w:bookmarkEnd w:id="85"/>
    <w:p>
      <w:pPr>
        <w:ind w:right="20"/>
        <w:spacing w:after="0" w:line="237" w:lineRule="auto"/>
        <w:rPr>
          <w:sz w:val="20"/>
          <w:szCs w:val="20"/>
          <w:color w:val="auto"/>
        </w:rPr>
      </w:pPr>
      <w:r>
        <w:rPr>
          <w:rFonts w:ascii="Arial" w:cs="Arial" w:eastAsia="Arial" w:hAnsi="Arial"/>
          <w:sz w:val="17"/>
          <w:szCs w:val="17"/>
          <w:color w:val="auto"/>
        </w:rPr>
        <w:t>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76"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aglatimagene. We may develop clinical manufacturing capabilities for linoserpaturev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86" w:name="page87"/>
    <w:bookmarkEnd w:id="86"/>
    <w:p>
      <w:pPr>
        <w:spacing w:after="0" w:line="234" w:lineRule="auto"/>
        <w:rPr>
          <w:sz w:val="20"/>
          <w:szCs w:val="20"/>
          <w:color w:val="auto"/>
        </w:rPr>
      </w:pPr>
      <w:r>
        <w:rPr>
          <w:rFonts w:ascii="Arial" w:cs="Arial" w:eastAsia="Arial" w:hAnsi="Arial"/>
          <w:sz w:val="17"/>
          <w:szCs w:val="17"/>
          <w:color w:val="auto"/>
        </w:rPr>
        <w:t>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are also current geopolitical tensions with China that may affect our operations. For example, there have been Congressional legislative proposals (such as the previously considered bill titled the BIOSECURE Act) which would, among other things, prohibit U.S. federal funding in connection with biotechnology equipment or services produced or provided by “biotechnology companies of concern” and loans and grants to, and federal contracts with any entity that uses biotechnology equipment or services from one of these entities. Any additional executive action, legislative action or potential sanctions with China could materially impact one of our current partners, WuXi, and our agreement with them as it relates to our stability testing, or any agreement with other Chinese biotechnology companies. We continue to assess new legislation as it develops to determine the effect, if any, on our contractual relationships.</w:t>
      </w:r>
    </w:p>
    <w:p>
      <w:pPr>
        <w:spacing w:after="0" w:line="7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linoserpaturev and aglatimagene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7" w:name="page88"/>
    <w:bookmarkEnd w:id="87"/>
    <w:p>
      <w:pPr>
        <w:ind w:right="20"/>
        <w:spacing w:after="0" w:line="237" w:lineRule="auto"/>
        <w:rPr>
          <w:sz w:val="20"/>
          <w:szCs w:val="20"/>
          <w:color w:val="auto"/>
        </w:rPr>
      </w:pPr>
      <w:r>
        <w:rPr>
          <w:rFonts w:ascii="Arial" w:cs="Arial" w:eastAsia="Arial" w:hAnsi="Arial"/>
          <w:sz w:val="17"/>
          <w:szCs w:val="17"/>
          <w:color w:val="auto"/>
        </w:rPr>
        <w:t>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76"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8" w:name="page89"/>
    <w:bookmarkEnd w:id="88"/>
    <w:p>
      <w:pPr>
        <w:ind w:right="120"/>
        <w:spacing w:after="0" w:line="241" w:lineRule="auto"/>
        <w:rPr>
          <w:sz w:val="20"/>
          <w:szCs w:val="20"/>
          <w:color w:val="auto"/>
        </w:rPr>
      </w:pPr>
      <w:r>
        <w:rPr>
          <w:rFonts w:ascii="Arial" w:cs="Arial" w:eastAsia="Arial" w:hAnsi="Arial"/>
          <w:sz w:val="17"/>
          <w:szCs w:val="17"/>
          <w:color w:val="auto"/>
        </w:rPr>
        <w:t>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such inventions. A failure to meet these obligations may lead to a loss of rights or the unenforceability of relevant patents or patent applications.</w:t>
      </w:r>
    </w:p>
    <w:p>
      <w:pPr>
        <w:spacing w:after="0" w:line="102"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Our business depends in large part on obtaining and maintaining patent, trademark and trade secret protection of our proprietary technologies and our product candidates, including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7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6" w:lineRule="exact"/>
        <w:rPr>
          <w:sz w:val="20"/>
          <w:szCs w:val="20"/>
          <w:color w:val="auto"/>
        </w:rPr>
      </w:pPr>
    </w:p>
    <w:p>
      <w:pPr>
        <w:jc w:val="both"/>
        <w:ind w:right="140"/>
        <w:spacing w:after="0" w:line="244"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methods of treatment of the human body and Chinese bankruptcy law may not provide a licensee the same protections as U.S. bankruptcy law.</w:t>
      </w:r>
    </w:p>
    <w:p>
      <w:pPr>
        <w:spacing w:after="0" w:line="10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included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For example, the United States Supreme Court has ruled on several recent patent cases, either narrowing the scope of patent protection available in certain circumstances or weakening the rights of patent owners in certain situations. While we do not believe that any of our patents will be found invalid based on these or other decisions, we cannot predict how future decisions by the courts, the U.S. Congress or the USPTO may impact the value of our patents. Furthermore, in 2022,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1" w:name="page92"/>
    <w:bookmarkEnd w:id="91"/>
    <w:p>
      <w:pPr>
        <w:ind w:right="600"/>
        <w:spacing w:after="0" w:line="267" w:lineRule="auto"/>
        <w:rPr>
          <w:sz w:val="20"/>
          <w:szCs w:val="20"/>
          <w:color w:val="auto"/>
        </w:rPr>
      </w:pPr>
      <w:r>
        <w:rPr>
          <w:rFonts w:ascii="Arial" w:cs="Arial" w:eastAsia="Arial" w:hAnsi="Arial"/>
          <w:sz w:val="17"/>
          <w:szCs w:val="17"/>
          <w:color w:val="auto"/>
        </w:rPr>
        <w:t>sufficient to achieve our business objectives. Any of the foregoing could have a material adverse effect on our competitive position, business, financial conditions, results of operations, and prospects.</w:t>
      </w:r>
    </w:p>
    <w:p>
      <w:pPr>
        <w:spacing w:after="0" w:line="51"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4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 xml:space="preserve">We may enter into license or other collaboration agreements in the future that may impose certain obligations on </w:t>
      </w:r>
      <w:r>
        <w:rPr>
          <w:rFonts w:ascii="Arial" w:cs="Arial" w:eastAsia="Arial" w:hAnsi="Arial"/>
          <w:sz w:val="17"/>
          <w:szCs w:val="17"/>
          <w:b w:val="1"/>
          <w:bCs w:val="1"/>
          <w:color w:val="auto"/>
        </w:rPr>
        <w:t>us. If we fail to comply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2" w:name="page93"/>
    <w:bookmarkEnd w:id="92"/>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3" w:name="page94"/>
    <w:bookmarkEnd w:id="93"/>
    <w:p>
      <w:pPr>
        <w:ind w:right="40"/>
        <w:spacing w:after="0" w:line="241" w:lineRule="auto"/>
        <w:rPr>
          <w:sz w:val="20"/>
          <w:szCs w:val="20"/>
          <w:color w:val="auto"/>
        </w:rPr>
      </w:pPr>
      <w:r>
        <w:rPr>
          <w:rFonts w:ascii="Arial" w:cs="Arial" w:eastAsia="Arial" w:hAnsi="Arial"/>
          <w:sz w:val="17"/>
          <w:szCs w:val="17"/>
          <w:color w:val="auto"/>
        </w:rPr>
        <w:t>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20" w:hanging="503"/>
        <w:spacing w:after="0" w:line="266"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80" w:hanging="503"/>
        <w:spacing w:after="0" w:line="249"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2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have collaborated and continue to collaborate with several institutions, universities, medical centers, physicians and researchers in scientific matters and expect to enter into additional collaboration agreements in the future.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4" w:name="page95"/>
    <w:bookmarkEnd w:id="94"/>
    <w:p>
      <w:pPr>
        <w:ind w:right="500"/>
        <w:spacing w:after="0" w:line="267" w:lineRule="auto"/>
        <w:rPr>
          <w:sz w:val="20"/>
          <w:szCs w:val="20"/>
          <w:color w:val="auto"/>
        </w:rPr>
      </w:pPr>
      <w:r>
        <w:rPr>
          <w:rFonts w:ascii="Arial" w:cs="Arial" w:eastAsia="Arial" w:hAnsi="Arial"/>
          <w:sz w:val="17"/>
          <w:szCs w:val="17"/>
          <w:color w:val="auto"/>
        </w:rPr>
        <w:t>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9"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5" w:name="page96"/>
    <w:bookmarkEnd w:id="95"/>
    <w:p>
      <w:pPr>
        <w:ind w:right="24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4" w:lineRule="exact"/>
        <w:rPr>
          <w:sz w:val="20"/>
          <w:szCs w:val="20"/>
          <w:color w:val="auto"/>
        </w:rPr>
      </w:pPr>
    </w:p>
    <w:p>
      <w:pPr>
        <w:ind w:right="74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6" w:name="page97"/>
    <w:bookmarkEnd w:id="96"/>
    <w:p>
      <w:pPr>
        <w:ind w:right="740"/>
        <w:spacing w:after="0" w:line="267" w:lineRule="auto"/>
        <w:rPr>
          <w:sz w:val="20"/>
          <w:szCs w:val="20"/>
          <w:color w:val="auto"/>
        </w:rPr>
      </w:pPr>
      <w:r>
        <w:rPr>
          <w:rFonts w:ascii="Arial" w:cs="Arial" w:eastAsia="Arial" w:hAnsi="Arial"/>
          <w:sz w:val="17"/>
          <w:szCs w:val="17"/>
          <w:color w:val="auto"/>
        </w:rPr>
        <w:t>patent application on inventions owned by or in-licensed to us, we may incur substantial costs, divert management’s time and expend other resources, even if we are successful.</w:t>
      </w:r>
    </w:p>
    <w:p>
      <w:pPr>
        <w:spacing w:after="0" w:line="5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9"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Likewise, we own a U.S. patent relating to our aglatimagene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2046,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4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8" w:name="page99"/>
    <w:bookmarkEnd w:id="98"/>
    <w:p>
      <w:pPr>
        <w:ind w:right="460"/>
        <w:spacing w:after="0" w:line="267" w:lineRule="auto"/>
        <w:rPr>
          <w:sz w:val="20"/>
          <w:szCs w:val="20"/>
          <w:color w:val="auto"/>
        </w:rPr>
      </w:pPr>
      <w:r>
        <w:rPr>
          <w:rFonts w:ascii="Arial" w:cs="Arial" w:eastAsia="Arial" w:hAnsi="Arial"/>
          <w:sz w:val="17"/>
          <w:szCs w:val="17"/>
          <w:color w:val="auto"/>
        </w:rPr>
        <w:t>markets of interest. If we are unable to establish name recognition based on our trademarks and trade names, we may not be able to compete effectively and our business may be adversely affected.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40" w:hanging="503"/>
        <w:spacing w:after="0" w:line="266"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114"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2022 Shelf) pursuant to which we could issue up to $75.0 million in shares of common stock in sales deemed to be “at-the-market offerings” (the 2022 ATM Program) as defined by the Securities Act of 1933, as amended (Securities Act), and up to $200.0 million in shares of our common stock, preferred stock, debt securities, warrants and/or units. The 2022 Shelf expired on August 12, 2025. As of August 12, 2025, we had sold and issued 3,923,829 shares of common stock under the 2022 ATM Program, with total net proceeds of $20.9 million. In August 2025, we filed a registration statement on Form S-3 (the 2025 Shelf) pursuant to which we may issue up to $50.0 million in shares of common stock in sales deemed to be “at-the-market offerings” (the 2025 ATM Program)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99" w:name="page100"/>
    <w:bookmarkEnd w:id="99"/>
    <w:p>
      <w:pPr>
        <w:jc w:val="both"/>
        <w:ind w:right="140"/>
        <w:spacing w:after="0" w:line="249" w:lineRule="auto"/>
        <w:rPr>
          <w:sz w:val="20"/>
          <w:szCs w:val="20"/>
          <w:color w:val="auto"/>
        </w:rPr>
      </w:pPr>
      <w:r>
        <w:rPr>
          <w:rFonts w:ascii="Arial" w:cs="Arial" w:eastAsia="Arial" w:hAnsi="Arial"/>
          <w:sz w:val="17"/>
          <w:szCs w:val="17"/>
          <w:color w:val="auto"/>
        </w:rPr>
        <w:t>as defined by the Securities Act, and up to $300.0 million in shares of our common stock, preferred stock, debt securities, warrants and/or units. As of March 5, 2026, we have not sold any shares of common stock under the 2025 ATM Program. Any sale or issuance of securities pursuant to this registration statement or otherwise may result in dilution to our stockholders and may cause our stock price to decline.</w:t>
      </w:r>
    </w:p>
    <w:p>
      <w:pPr>
        <w:spacing w:after="0" w:line="67"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5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80" w:hanging="503"/>
        <w:spacing w:after="0" w:line="249"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60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jc w:val="both"/>
        <w:ind w:right="140"/>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For example, we have taken advantage of reduced reporting burdens in this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0" w:name="page101"/>
    <w:bookmarkEnd w:id="100"/>
    <w:p>
      <w:pPr>
        <w:ind w:right="18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74"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1" w:name="page102"/>
    <w:bookmarkEnd w:id="101"/>
    <w:p>
      <w:pPr>
        <w:ind w:right="200"/>
        <w:spacing w:after="0" w:line="238" w:lineRule="auto"/>
        <w:rPr>
          <w:sz w:val="20"/>
          <w:szCs w:val="20"/>
          <w:color w:val="auto"/>
        </w:rPr>
      </w:pPr>
      <w:r>
        <w:rPr>
          <w:rFonts w:ascii="Arial" w:cs="Arial" w:eastAsia="Arial" w:hAnsi="Arial"/>
          <w:sz w:val="17"/>
          <w:szCs w:val="17"/>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4"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March 5, 2026, we had a total of 73,246,927 shares of common stock outstanding.</w:t>
      </w:r>
    </w:p>
    <w:p>
      <w:pPr>
        <w:spacing w:after="0" w:line="5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our 2021 Employee Stock Purchase Plan and our 2025 Inducement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20.4% of our outstanding common stock with entities and persons affiliated with PBM Capital Group, LLC (PBM Capital) beneficially owning approximately 14.0%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4"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20" w:hanging="503"/>
        <w:spacing w:after="0" w:line="266" w:lineRule="auto"/>
        <w:tabs>
          <w:tab w:leader="none" w:pos="102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2" w:name="page103"/>
    <w:bookmarkEnd w:id="102"/>
    <w:p>
      <w:pPr>
        <w:ind w:left="1020" w:hanging="503"/>
        <w:spacing w:after="0" w:line="266"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77"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3" w:name="page104"/>
    <w:bookmarkEnd w:id="103"/>
    <w:p>
      <w:pPr>
        <w:ind w:right="8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lose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420"/>
        <w:spacing w:after="0" w:line="256"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 and our October 2025 issuance of warrants to lenders pursuant to the Trinity LSA to purchase up to 254,642 shares of common stock.</w:t>
      </w:r>
    </w:p>
    <w:p>
      <w:pPr>
        <w:spacing w:after="0" w:line="4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6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2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 On October 14, 2025, we entered into an amendment to the terms of the Series B Warrants and the Conditional Series B Warrants which, among other things, extends the expiration date from November 2025 to September 2027. For more information, see “Components of Our Results of Operations” within “Management’s Discussion and Analysis of Financial Condition and Results of Operations” in this Annual Report on Form 10-K.</w:t>
      </w:r>
    </w:p>
    <w:p>
      <w:pPr>
        <w:spacing w:after="0" w:line="7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We will continue to recognize changes in the fair value of the Conditional Series B Warrants until each Conditional Series B Warrant is exercised, expires or qualifies for equity classification.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4" w:name="page105"/>
    <w:bookmarkEnd w:id="104"/>
    <w:p>
      <w:pPr>
        <w:ind w:right="20"/>
        <w:spacing w:after="0" w:line="244"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6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Additionally, in connection with the October 14, 2025 Trinity LSA, we issued warrants to the Lenders to purchase up to 254,642 shares of our common stock, $0.01 pay value, at an exercise price of $5.89 per share. In connection with the drawdown of any Tranche under the Trinity LSA, the Company is required to issue to the Lenders warrants (the Lender Warrants) to purchase shares of the Company’s common stock, $0.01 par value per share. The exercise price for the Lender Warrants is equal to $5.89 per share. The number of shares of common stock for which each Lender Warrant is exercisable is equal to 3.0% of the applicable drawn down amount, divided by the exercise price. The Lender Warrants shall have a term of ten years from the date of issuance and shall permit cashless net exercise, all in accordance with their terms.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Risk Management and Strategy</w:t>
      </w:r>
    </w:p>
    <w:p>
      <w:pPr>
        <w:spacing w:after="0" w:line="102"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Candel has implemented cybersecurity risk management processes that are informed by industry standards in accordance with the scale of our business. Our quality assurance organization has implemented a risk management program for our company at large, and our IT team is responsible for ensuring alignment between our overall risk management processes and our cybersecurity risk management processes. Our cybersecurity risk management processes are designed to assess, identify and mitigate risks from current and emerging cybersecurity threats.</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We use various tools and processes to accomplish these objectives, including policies and procedures, risk assessments, and testing. Further, we require our employees to participate in cybersecurity risk awareness trainings and phishing exercises.</w:t>
      </w:r>
    </w:p>
    <w:p>
      <w:pPr>
        <w:spacing w:after="0" w:line="5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cybersecurity risk management processes are supported by third-party service providers, including a managed services provider that assists the Company with, among other things, threat monitoring and cybersecurity incident response and escalation services. We rely on a third-party service provider to assist us with our cybersecurity practices, including for vulnerability assessments, penetration testing, and managing IT environments. Our process for onboarding new vendors with access to critical systems or data includes vendor questionnaires, contractual obligations, and if deemed appropriate, review of vendor audit reports.</w:t>
      </w:r>
    </w:p>
    <w:p>
      <w:pPr>
        <w:spacing w:after="0" w:line="7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incident management processes include reporting to senior management, including the Chief Financial Officer (CFO), Chief Executive Officer, Senior Vice President Quality Assurance and, where appropriate, to the board of directors. To date, 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time-to-time experienced threats that could affect our information or systems. For more information, please refer to Item 1A, “Risk Factors,” in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Governance</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board of directors has delegated oversight of the Company’s cybersecurity risk management program to the Audit Committee, including responsibilities for reviewing and discussing cybersecurity risks, implementing risk management programs, controls and procedures, and performing high level reviews of the threat landscape.</w:t>
      </w:r>
    </w:p>
    <w:p>
      <w:pPr>
        <w:spacing w:after="0" w:line="67"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Our Vice President, Information Technology (VP, IT) is responsible for the strategic leadership and day-to-day management of our cybersecurity risk management program. The individual occupying this role has over thirty years of experience with information technology management and over five years of cybersecurity risk management.</w:t>
      </w:r>
    </w:p>
    <w:p>
      <w:pPr>
        <w:spacing w:after="0" w:line="6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VP, IT engages in regular meetings with our third-party managed IT service provider and the Director, IT Infrastructure and Operations to review and assess our cybersecurity risk management processes. The VP, IT reports such findings to our CFO who annually presents updates on cybersecurity risks, mitigation strategies, and, if necessary, incident response activities to our Audit Committee. Further, our Audit Committee updates the full board of directors on matters relating to cybersecurity risk management, as necessary.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5" w:name="page106"/>
    <w:bookmarkEnd w:id="105"/>
    <w:p>
      <w:pPr>
        <w:spacing w:after="0" w:line="267" w:lineRule="auto"/>
        <w:rPr>
          <w:sz w:val="20"/>
          <w:szCs w:val="20"/>
          <w:color w:val="auto"/>
        </w:rPr>
      </w:pPr>
      <w:r>
        <w:rPr>
          <w:rFonts w:ascii="Arial" w:cs="Arial" w:eastAsia="Arial" w:hAnsi="Arial"/>
          <w:sz w:val="17"/>
          <w:szCs w:val="17"/>
          <w:color w:val="auto"/>
        </w:rPr>
        <w:t>Our principal office is located at 117 Kendrick St, Suite 450, Needham, Massachusetts 02494, where we lease approximately 15,000 square feet of office and laboratory space. We lease this space under a lease that terminates on August 31, 2029.</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may become involved in litigation or other legal proceedings.</w:t>
      </w:r>
    </w:p>
    <w:p>
      <w:pPr>
        <w:spacing w:after="0" w:line="9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106" w:name="page107"/>
    <w:bookmarkEnd w:id="106"/>
    <w:p>
      <w:pPr>
        <w:jc w:val="center"/>
        <w:ind w:right="-139"/>
        <w:spacing w:after="0"/>
        <w:rPr>
          <w:sz w:val="20"/>
          <w:szCs w:val="20"/>
          <w:color w:val="auto"/>
        </w:rPr>
      </w:pPr>
      <w:r>
        <w:rPr>
          <w:rFonts w:ascii="Arial" w:cs="Arial" w:eastAsia="Arial" w:hAnsi="Arial"/>
          <w:sz w:val="17"/>
          <w:szCs w:val="17"/>
          <w:b w:val="1"/>
          <w:bCs w:val="1"/>
          <w:color w:val="auto"/>
        </w:rPr>
        <w:t>PART II</w:t>
      </w:r>
    </w:p>
    <w:p>
      <w:pPr>
        <w:spacing w:after="0" w:line="102" w:lineRule="exact"/>
        <w:rPr>
          <w:sz w:val="20"/>
          <w:szCs w:val="20"/>
          <w:color w:val="auto"/>
        </w:rPr>
      </w:pPr>
    </w:p>
    <w:p>
      <w:pPr>
        <w:ind w:right="1380"/>
        <w:spacing w:after="0" w:line="36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common stock is traded under the symbol “CADL” on the Nasdaq Global Market and has been publicly traded since July 27, 2021. Prior to this time, there was no public market for our common stock.</w:t>
      </w:r>
    </w:p>
    <w:p>
      <w:pPr>
        <w:spacing w:after="0" w:line="5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On March 5, 2026, there were approximately 53 registered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never declared or paid any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Investors should not purchase our common stock with the expectation of receiving cash dividends.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 and 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Equity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02"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induction of immunogenic cell death within the tumor microenvironment, thus releasing tumor neo-antigens and creating a pro-inflammatory microenvironment at the site of injection. This is intended to lead to in-situ immunization against the injected tumor and uninjected distant metastases. Local administration is designed to achieve these therapeutic effects while minimizing systemic exposure and associated toxicity.</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responses in our preclinical studies and clinical trials that may indicate the potential of our product candidates to induce systemic immune response against distal, uninjected tumors, also known as an “abscopal” effect.</w:t>
      </w:r>
    </w:p>
    <w:p>
      <w:pPr>
        <w:spacing w:after="0" w:line="72"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51"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Our most advanced product candidate, aglatimagene besadenovec (referred to herein as aglatimagene and previously as CAN-2409), is an off-the-shelf adenovirus product candidate, administered in conjunction with the prodrug valacyclovir, and has generated promising clinical activity across a range of solid tumor indications. Aglatimagene is being studied in the following ongoing clinical trials:</w:t>
      </w:r>
    </w:p>
    <w:p>
      <w:pPr>
        <w:spacing w:after="0" w:line="69" w:lineRule="exact"/>
        <w:rPr>
          <w:sz w:val="20"/>
          <w:szCs w:val="20"/>
          <w:color w:val="auto"/>
        </w:rPr>
      </w:pPr>
    </w:p>
    <w:p>
      <w:pPr>
        <w:ind w:left="660" w:hanging="278"/>
        <w:spacing w:after="0"/>
        <w:tabs>
          <w:tab w:leader="none" w:pos="66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58" w:lineRule="exact"/>
        <w:rPr>
          <w:sz w:val="20"/>
          <w:szCs w:val="20"/>
          <w:color w:val="auto"/>
        </w:rPr>
      </w:pPr>
    </w:p>
    <w:p>
      <w:pPr>
        <w:ind w:left="1240" w:hanging="289"/>
        <w:spacing w:after="0" w:line="243" w:lineRule="auto"/>
        <w:tabs>
          <w:tab w:leader="none" w:pos="124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A pivotal phase 3 randomized, double-blind, placebo-controlled clinical trial in the United States under a Special Protocol Assessment (SPA) with the U.S. Food and Drug Administration (FDA) evaluating patients with newly diagnosed, localized prostate cancer who have an intermediate- or high-risk for progression. The FDA granted Fast Track Designation for the use of aglatimagene for the treatment of localized, primary prostate cancer in combination with radiation therapy to improve the local control rate.</w:t>
      </w:r>
    </w:p>
    <w:p>
      <w:pPr>
        <w:spacing w:after="0" w:line="71" w:lineRule="exact"/>
        <w:rPr>
          <w:rFonts w:ascii="Times New Roman" w:cs="Times New Roman" w:eastAsia="Times New Roman" w:hAnsi="Times New Roman"/>
          <w:sz w:val="17"/>
          <w:szCs w:val="17"/>
          <w:color w:val="auto"/>
        </w:rPr>
      </w:pPr>
    </w:p>
    <w:p>
      <w:pPr>
        <w:ind w:left="1240" w:hanging="289"/>
        <w:spacing w:after="0" w:line="234" w:lineRule="auto"/>
        <w:tabs>
          <w:tab w:leader="none" w:pos="124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The primary goal of curative treatment for localized prostate cancer is complete tumor eradication, as outlined by National Comprehensive Cancer Network (NCCN) guidelines. However, up to 30% of intermediate- to high-risk patients experience recurrence despite radical therapy, and salvage treatments often carry significant side effects and limited efficacy. Recurrence beyond two years post-treatment is strongly linked to need for salvage anti-cancer therapies, higher rates of metastasis, and prostate cancer-specific mortality after prolonged follow up (&gt;10 years). Studies also show that patients prioritize the perception of being cancer-free and are often willing to risk long-term complications to achieve this. Fear of recurrence remains prevalent, especially after biochemical failure (Hoffman RM et al. Cancer 2003;97:1653-62 ; Jayadevappa R et al. J Clin Oncol 2019;37:964-73</w:t>
      </w:r>
    </w:p>
    <w:p>
      <w:pPr>
        <w:spacing w:after="0" w:line="4" w:lineRule="exact"/>
        <w:rPr>
          <w:rFonts w:ascii="Times New Roman" w:cs="Times New Roman" w:eastAsia="Times New Roman" w:hAnsi="Times New Roman"/>
          <w:sz w:val="17"/>
          <w:szCs w:val="17"/>
          <w:color w:val="auto"/>
        </w:rPr>
      </w:pPr>
    </w:p>
    <w:p>
      <w:pPr>
        <w:ind w:left="1240" w:right="520" w:hanging="4"/>
        <w:spacing w:after="0"/>
        <w:tabs>
          <w:tab w:leader="none" w:pos="1335" w:val="left"/>
        </w:tabs>
        <w:numPr>
          <w:ilvl w:val="1"/>
          <w:numId w:val="69"/>
        </w:numPr>
        <w:rPr>
          <w:rFonts w:ascii="Arial" w:cs="Arial" w:eastAsia="Arial" w:hAnsi="Arial"/>
          <w:sz w:val="17"/>
          <w:szCs w:val="17"/>
          <w:color w:val="auto"/>
        </w:rPr>
      </w:pPr>
      <w:r>
        <w:rPr>
          <w:rFonts w:ascii="Arial" w:cs="Arial" w:eastAsia="Arial" w:hAnsi="Arial"/>
          <w:sz w:val="17"/>
          <w:szCs w:val="17"/>
          <w:color w:val="auto"/>
        </w:rPr>
        <w:t>Nilsson R et al. Eur Urol Open Sci 2021;25:44-51). Therefore, this study aimed to assess whether adding aglatimagene plus valacyclovir to standard of care (SoC) radiotherapy could improve disease-free survival (DFS) in patients pursuing curative treatment, a primary endpoint established in the SPA with the FDA. We completed enrollment of this trial in September 2021.</w:t>
      </w:r>
    </w:p>
    <w:p>
      <w:pPr>
        <w:spacing w:after="0" w:line="72" w:lineRule="exact"/>
        <w:rPr>
          <w:rFonts w:ascii="Arial" w:cs="Arial" w:eastAsia="Arial" w:hAnsi="Arial"/>
          <w:sz w:val="17"/>
          <w:szCs w:val="17"/>
          <w:color w:val="auto"/>
        </w:rPr>
      </w:pPr>
    </w:p>
    <w:p>
      <w:pPr>
        <w:ind w:left="2040" w:right="360" w:hanging="505"/>
        <w:spacing w:after="0" w:line="243" w:lineRule="auto"/>
        <w:tabs>
          <w:tab w:leader="none" w:pos="2040" w:val="left"/>
        </w:tabs>
        <w:numPr>
          <w:ilvl w:val="2"/>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announced positive topline data from our phase 3 clinical trial. This randomized, double-blind, placebo-controlled, multicenter clinical trial enrolled 745 patients (intent to treat population (ITT)) to evaluate the effectiveness and safety of aglatimagene plus prodrug (valacyclovir) viral immunotherapy in combination with SoC external beam radiation</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8" w:name="page109"/>
    <w:bookmarkEnd w:id="108"/>
    <w:p>
      <w:pPr>
        <w:ind w:left="920" w:right="340"/>
        <w:spacing w:after="0"/>
        <w:rPr>
          <w:sz w:val="20"/>
          <w:szCs w:val="20"/>
          <w:color w:val="auto"/>
        </w:rPr>
      </w:pPr>
      <w:r>
        <w:rPr>
          <w:rFonts w:ascii="Arial" w:cs="Arial" w:eastAsia="Arial" w:hAnsi="Arial"/>
          <w:sz w:val="17"/>
          <w:szCs w:val="17"/>
          <w:color w:val="auto"/>
        </w:rPr>
        <w:t>therapy to improve DFS in patients with intermediate- to high-risk (single high-risk feature), localized prostate cancer. Patients were randomized 2:1 (496 in aglatimagene + prodrug and 249 in placebo + prodrug). Both arms received standard of care external beam radiation therapy (EBRT) +/- short course androgen deprivation therapy (ADT) (≤6 months) and were stratified by NCCN risk group and ADT use. Three intraprostatic injections of aglatimagene (5x10</w:t>
      </w:r>
    </w:p>
    <w:p>
      <w:pPr>
        <w:spacing w:after="0" w:line="1" w:lineRule="exact"/>
        <w:rPr>
          <w:sz w:val="20"/>
          <w:szCs w:val="20"/>
          <w:color w:val="auto"/>
        </w:rPr>
      </w:pPr>
    </w:p>
    <w:p>
      <w:pPr>
        <w:ind w:left="920" w:right="280"/>
        <w:spacing w:after="0" w:line="230" w:lineRule="auto"/>
        <w:rPr>
          <w:sz w:val="20"/>
          <w:szCs w:val="20"/>
          <w:color w:val="auto"/>
        </w:rPr>
      </w:pPr>
      <w:r>
        <w:rPr>
          <w:rFonts w:ascii="Arial" w:cs="Arial" w:eastAsia="Arial" w:hAnsi="Arial"/>
          <w:sz w:val="22"/>
          <w:szCs w:val="22"/>
          <w:color w:val="auto"/>
          <w:vertAlign w:val="superscript"/>
        </w:rPr>
        <w:t>11</w:t>
      </w:r>
      <w:r>
        <w:rPr>
          <w:rFonts w:ascii="Arial" w:cs="Arial" w:eastAsia="Arial" w:hAnsi="Arial"/>
          <w:sz w:val="17"/>
          <w:szCs w:val="17"/>
          <w:color w:val="auto"/>
        </w:rPr>
        <w:t>vp/2mL) or placebo were administered, each followed by 14 days of prodrug. The median follow-up time for the recruited population was 50.3 months. The primary outcome measure, DFS, included the evaluation of post-treatment biopsies, performed at two years from the end of radiation, for the presence of tumor recurrence. Local or systemic recurrence and death from any cause were also part of the primary endpoint.</w:t>
      </w:r>
    </w:p>
    <w:p>
      <w:pPr>
        <w:spacing w:after="0" w:line="74" w:lineRule="exact"/>
        <w:rPr>
          <w:sz w:val="20"/>
          <w:szCs w:val="20"/>
          <w:color w:val="auto"/>
        </w:rPr>
      </w:pPr>
    </w:p>
    <w:p>
      <w:pPr>
        <w:ind w:left="920" w:right="640"/>
        <w:spacing w:after="0" w:line="267" w:lineRule="auto"/>
        <w:rPr>
          <w:sz w:val="20"/>
          <w:szCs w:val="20"/>
          <w:color w:val="auto"/>
        </w:rPr>
      </w:pPr>
      <w:r>
        <w:rPr>
          <w:rFonts w:ascii="Arial" w:cs="Arial" w:eastAsia="Arial" w:hAnsi="Arial"/>
          <w:sz w:val="17"/>
          <w:szCs w:val="17"/>
          <w:color w:val="auto"/>
        </w:rPr>
        <w:t>The study met its primary endpoint, demonstrating a statistically significant improvement in DFS in patients in the aglatimagene arm compared to the placebo arm. Key topline results include:</w:t>
      </w:r>
    </w:p>
    <w:p>
      <w:pPr>
        <w:spacing w:after="0" w:line="51" w:lineRule="exact"/>
        <w:rPr>
          <w:sz w:val="20"/>
          <w:szCs w:val="20"/>
          <w:color w:val="auto"/>
        </w:rPr>
      </w:pPr>
    </w:p>
    <w:p>
      <w:pPr>
        <w:ind w:left="1440" w:right="80" w:hanging="516"/>
        <w:spacing w:after="0" w:line="243" w:lineRule="auto"/>
        <w:tabs>
          <w:tab w:leader="none" w:pos="1440" w:val="left"/>
        </w:tabs>
        <w:numPr>
          <w:ilvl w:val="1"/>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primary endpoint, as agreed with the FDA under a SPA, was met: statistically significant improvement in DFS for aglatimagene plus radiation therapy (n=496) vs. placebo plus radiation therapy (n=249) (p=0.0155; HR 0.70; 95% CI; 0.52 to 0.94). Median DFS was not reached for the aglatimagene treatment arm vs. 86.1 months in the placebo arm.</w:t>
      </w:r>
    </w:p>
    <w:p>
      <w:pPr>
        <w:spacing w:after="0" w:line="71" w:lineRule="exact"/>
        <w:rPr>
          <w:rFonts w:ascii="Times New Roman" w:cs="Times New Roman" w:eastAsia="Times New Roman" w:hAnsi="Times New Roman"/>
          <w:sz w:val="17"/>
          <w:szCs w:val="17"/>
          <w:color w:val="auto"/>
        </w:rPr>
      </w:pPr>
    </w:p>
    <w:p>
      <w:pPr>
        <w:ind w:left="1440" w:hanging="516"/>
        <w:spacing w:after="0"/>
        <w:tabs>
          <w:tab w:leader="none" w:pos="1440" w:val="left"/>
        </w:tabs>
        <w:numPr>
          <w:ilvl w:val="1"/>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This result was supported by secondary and exploratory endpoints:</w:t>
      </w:r>
    </w:p>
    <w:p>
      <w:pPr>
        <w:spacing w:after="0" w:line="114" w:lineRule="exact"/>
        <w:rPr>
          <w:rFonts w:ascii="Times New Roman" w:cs="Times New Roman" w:eastAsia="Times New Roman" w:hAnsi="Times New Roman"/>
          <w:sz w:val="17"/>
          <w:szCs w:val="17"/>
          <w:color w:val="auto"/>
        </w:rPr>
      </w:pPr>
    </w:p>
    <w:p>
      <w:pPr>
        <w:jc w:val="center"/>
        <w:ind w:left="1940" w:right="44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improvement in prostate cancer-specific DFS (exclusion of non-prostate cancer related deaths) in the aglatimagene arm vs. placebo (p=0.0046; HR 0.62, 95% CI 0.44 to 0.87)</w:t>
      </w:r>
    </w:p>
    <w:p>
      <w:pPr>
        <w:spacing w:after="0" w:line="51" w:lineRule="exact"/>
        <w:rPr>
          <w:rFonts w:ascii="Times New Roman" w:cs="Times New Roman" w:eastAsia="Times New Roman" w:hAnsi="Times New Roman"/>
          <w:sz w:val="17"/>
          <w:szCs w:val="17"/>
          <w:color w:val="auto"/>
        </w:rPr>
      </w:pPr>
    </w:p>
    <w:p>
      <w:pPr>
        <w:ind w:left="1940" w:right="30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Exploratory subset analysis showed that improvement in prostate cancer-specific DFS was observed, independent of the use of short-term ADT and independent of the type of EBRT (conventional EBRT vs. moderate hypofractionated EBRT)</w:t>
      </w:r>
    </w:p>
    <w:p>
      <w:pPr>
        <w:spacing w:after="0" w:line="66" w:lineRule="exact"/>
        <w:rPr>
          <w:rFonts w:ascii="Times New Roman" w:cs="Times New Roman" w:eastAsia="Times New Roman" w:hAnsi="Times New Roman"/>
          <w:sz w:val="17"/>
          <w:szCs w:val="17"/>
          <w:color w:val="auto"/>
        </w:rPr>
      </w:pPr>
    </w:p>
    <w:p>
      <w:pPr>
        <w:ind w:left="1940" w:right="34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increase in the proportion of patients achieving a prostate-specific antigen (PSA) nadir (&lt;0.2 ng/ml) in the aglatimagene arm compared to the placebo control arm (67.1% vs. 58.6%, respectively; p=0.0164)</w:t>
      </w:r>
    </w:p>
    <w:p>
      <w:pPr>
        <w:spacing w:after="0" w:line="66" w:lineRule="exact"/>
        <w:rPr>
          <w:rFonts w:ascii="Times New Roman" w:cs="Times New Roman" w:eastAsia="Times New Roman" w:hAnsi="Times New Roman"/>
          <w:sz w:val="17"/>
          <w:szCs w:val="17"/>
          <w:color w:val="auto"/>
        </w:rPr>
      </w:pPr>
    </w:p>
    <w:p>
      <w:pPr>
        <w:ind w:left="194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increase in the proportion of patients with a pathological complete response in 2-year post-treatment biopsies (80.4% in the aglatimagene arm vs. 63.6% in the control arm; p=0.0015)</w:t>
      </w:r>
    </w:p>
    <w:p>
      <w:pPr>
        <w:spacing w:after="0" w:line="51" w:lineRule="exact"/>
        <w:rPr>
          <w:rFonts w:ascii="Times New Roman" w:cs="Times New Roman" w:eastAsia="Times New Roman" w:hAnsi="Times New Roman"/>
          <w:sz w:val="17"/>
          <w:szCs w:val="17"/>
          <w:color w:val="auto"/>
        </w:rPr>
      </w:pPr>
    </w:p>
    <w:p>
      <w:pPr>
        <w:ind w:left="920" w:right="120" w:hanging="505"/>
        <w:spacing w:after="0" w:line="249" w:lineRule="auto"/>
        <w:tabs>
          <w:tab w:leader="none" w:pos="9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Aglatimagene was generally well tolerated. The most common aglatimagene-related adverse events were flu-like symptoms, fever and chills, which were generally mild to moderate in severity and self-limited. There was no increase in serious adverse events after aglatimagene administration vs. placebo.</w:t>
      </w:r>
    </w:p>
    <w:p>
      <w:pPr>
        <w:spacing w:after="0" w:line="65" w:lineRule="exact"/>
        <w:rPr>
          <w:rFonts w:ascii="Times New Roman" w:cs="Times New Roman" w:eastAsia="Times New Roman" w:hAnsi="Times New Roman"/>
          <w:sz w:val="17"/>
          <w:szCs w:val="17"/>
          <w:color w:val="auto"/>
        </w:rPr>
      </w:pPr>
    </w:p>
    <w:p>
      <w:pPr>
        <w:jc w:val="both"/>
        <w:ind w:left="920" w:right="500" w:hanging="505"/>
        <w:spacing w:after="0" w:line="249" w:lineRule="auto"/>
        <w:tabs>
          <w:tab w:leader="none" w:pos="9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In May 2025, after submission of these topline data to the FDA, we announced that the FDA granted Regenerative Medicine Advanced Therapy (RMAT) Designation for aglatimagene for the treatment of newly diagnosed, localized prostate cancer in patients with intermediate- to high-risk disease.</w:t>
      </w:r>
    </w:p>
    <w:p>
      <w:pPr>
        <w:spacing w:after="0" w:line="65" w:lineRule="exact"/>
        <w:rPr>
          <w:rFonts w:ascii="Times New Roman" w:cs="Times New Roman" w:eastAsia="Times New Roman" w:hAnsi="Times New Roman"/>
          <w:sz w:val="17"/>
          <w:szCs w:val="17"/>
          <w:color w:val="auto"/>
        </w:rPr>
      </w:pPr>
    </w:p>
    <w:p>
      <w:pPr>
        <w:ind w:left="920" w:right="20" w:hanging="505"/>
        <w:spacing w:after="0" w:line="249" w:lineRule="auto"/>
        <w:tabs>
          <w:tab w:leader="none" w:pos="9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In June 2025, the results from the positive phase 3 clinical trial of aglatimagene in patients with intermediate- to high-risk, localized prostate cancer were presented in an oral session at the Annual Meeting of the American Society of Clinical Oncology (ASCO).</w:t>
      </w:r>
    </w:p>
    <w:p>
      <w:pPr>
        <w:spacing w:after="0" w:line="65" w:lineRule="exact"/>
        <w:rPr>
          <w:rFonts w:ascii="Times New Roman" w:cs="Times New Roman" w:eastAsia="Times New Roman" w:hAnsi="Times New Roman"/>
          <w:sz w:val="17"/>
          <w:szCs w:val="17"/>
          <w:color w:val="auto"/>
        </w:rPr>
      </w:pPr>
    </w:p>
    <w:p>
      <w:pPr>
        <w:ind w:left="920" w:right="120" w:hanging="505"/>
        <w:spacing w:after="0" w:line="238" w:lineRule="auto"/>
        <w:tabs>
          <w:tab w:leader="none" w:pos="9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In September 2025, we presented subgroup analysis of the phase 3 clinical trial during the Annual Meeting of the American Society for Radiation Oncology (ASTRO). The data demonstrated that the effect of aglatimagene on prostate-specific DFS was independent of the type of radiotherapy used (conventional EBRT vs. moderate hypofractionated EBRT). For moderate EBRT, the hazard ratio (HR) was 0.52 (95% CI: 0.30–0.93), and for conventional EBRT, the HR was 0.76 (95% CI: 0.53–1.07). Subgroup analyses of prostate cancer-specific DFS demonstrated that aglatimagene outperformed standard of care across all categories, with HRs ranging from 0.49 in patients with intermediate-risk favorable prostate cancer to 0.69 in patients with high-risk disease.</w:t>
      </w:r>
    </w:p>
    <w:p>
      <w:pPr>
        <w:spacing w:after="0" w:line="73" w:lineRule="exact"/>
        <w:rPr>
          <w:rFonts w:ascii="Times New Roman" w:cs="Times New Roman" w:eastAsia="Times New Roman" w:hAnsi="Times New Roman"/>
          <w:sz w:val="17"/>
          <w:szCs w:val="17"/>
          <w:color w:val="auto"/>
        </w:rPr>
      </w:pPr>
    </w:p>
    <w:p>
      <w:pPr>
        <w:ind w:left="920" w:right="360" w:hanging="505"/>
        <w:spacing w:after="0" w:line="266" w:lineRule="auto"/>
        <w:tabs>
          <w:tab w:leader="none" w:pos="9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announce supportive data on prostate cancer-specific outcomes (prostate cancer-specific DFS, time to salvage anti-cancer therapy, and time to metastasis) after extended follow-up in the second quarter of 2026.</w:t>
      </w:r>
    </w:p>
    <w:p>
      <w:pPr>
        <w:spacing w:after="0" w:line="26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089" w:right="379" w:bottom="1440" w:gutter="0" w:footer="0" w:header="0"/>
        </w:sectPr>
      </w:pPr>
    </w:p>
    <w:bookmarkStart w:id="109" w:name="page110"/>
    <w:bookmarkEnd w:id="109"/>
    <w:p>
      <w:pPr>
        <w:ind w:left="1660" w:right="640" w:hanging="505"/>
        <w:spacing w:after="0" w:line="266" w:lineRule="auto"/>
        <w:tabs>
          <w:tab w:leader="none" w:pos="16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In addition, in the third quarter of 2026, we expect to present novel immunological biomarker data in patients with localized prostate cancer.</w:t>
      </w:r>
    </w:p>
    <w:p>
      <w:pPr>
        <w:spacing w:after="0" w:line="51" w:lineRule="exact"/>
        <w:rPr>
          <w:rFonts w:ascii="Times New Roman" w:cs="Times New Roman" w:eastAsia="Times New Roman" w:hAnsi="Times New Roman"/>
          <w:sz w:val="17"/>
          <w:szCs w:val="17"/>
          <w:color w:val="auto"/>
        </w:rPr>
      </w:pPr>
    </w:p>
    <w:p>
      <w:pPr>
        <w:ind w:left="1660" w:right="40" w:hanging="505"/>
        <w:spacing w:after="0" w:line="266" w:lineRule="auto"/>
        <w:tabs>
          <w:tab w:leader="none" w:pos="16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We are in ongoing dialogue with the FDA in preparation for the Company’s anticipated submission of a Biologics License Application (BLA) for aglatimagene in prostate cancer in the fourth quarter of 2026.</w:t>
      </w:r>
    </w:p>
    <w:p>
      <w:pPr>
        <w:spacing w:after="0" w:line="52" w:lineRule="exact"/>
        <w:rPr>
          <w:sz w:val="20"/>
          <w:szCs w:val="20"/>
          <w:color w:val="auto"/>
        </w:rPr>
      </w:pPr>
    </w:p>
    <w:p>
      <w:pPr>
        <w:ind w:left="860" w:right="480" w:hanging="289"/>
        <w:spacing w:after="0" w:line="266" w:lineRule="auto"/>
        <w:tabs>
          <w:tab w:leader="none" w:pos="8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double-blind, placebo-controlled clinical trial in the United States evaluating patients with low- to intermediate-risk, localized prostate cancer undergoing active surveillance. We completed enrollment of this trial in May 2019.</w:t>
      </w:r>
    </w:p>
    <w:p>
      <w:pPr>
        <w:spacing w:after="0" w:line="51" w:lineRule="exact"/>
        <w:rPr>
          <w:rFonts w:ascii="Times New Roman" w:cs="Times New Roman" w:eastAsia="Times New Roman" w:hAnsi="Times New Roman"/>
          <w:sz w:val="17"/>
          <w:szCs w:val="17"/>
          <w:color w:val="auto"/>
        </w:rPr>
      </w:pPr>
    </w:p>
    <w:p>
      <w:pPr>
        <w:ind w:left="1660" w:right="20" w:hanging="505"/>
        <w:spacing w:after="0" w:line="236" w:lineRule="auto"/>
        <w:tabs>
          <w:tab w:leader="none" w:pos="1660" w:val="left"/>
        </w:tabs>
        <w:numPr>
          <w:ilvl w:val="1"/>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reported that this phase 2 clinical trial of aglatimagene monotherapy in 190 patients with low- to intermediate-risk, localized prostate cancer undergoing active surveillance showed a trend toward improvement in time to radical treatment and the percentage of patients achieving negative (prostate cancer-free) biopsies at 1-year post-treatment. However, these differences did not reach statistical significance, which might be explained by 1) the fact that the study was not statistically powered for the primary endpoint (progression-free survival), 2) ~70% of patients had low-risk disease (which makes it more difficult to detect a treatment effect), 3) patients received only 2 administrations of aglatimagene rather than 3 as used in the phase 3 clinical trial described above, and 4) patients did not receive radiotherapy (preclinical models of prostate cancer have shown synergy between aglatimagene and radiotherapy in this specific indication). Aglatimagene was generally well tolerated. The most common aglatimagene-related adverse events were flu-like symptoms, fever and chills, which were generally mild to moderate in severity and self-limited.</w:t>
      </w:r>
    </w:p>
    <w:p>
      <w:pPr>
        <w:spacing w:after="0" w:line="75" w:lineRule="exact"/>
        <w:rPr>
          <w:sz w:val="20"/>
          <w:szCs w:val="20"/>
          <w:color w:val="auto"/>
        </w:rPr>
      </w:pPr>
    </w:p>
    <w:p>
      <w:pPr>
        <w:ind w:left="1160" w:right="80" w:hanging="514"/>
        <w:spacing w:after="0"/>
        <w:tabs>
          <w:tab w:leader="none" w:pos="1160" w:val="left"/>
        </w:tabs>
        <w:numPr>
          <w:ilvl w:val="1"/>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initiated a phase 2a, open-label, multi-center study evaluating biomarkers and biodistribution and shedding of aglatimagene plus valacyclovir in men with localized, intermediate-risk prostate cancer who are planning to receive EBRT. The study aims to recruit up to 45 patients (30 in the treatment arm and 15 in the control arm treated with EBRT alone). Biosamples (blood, urine, semen) will be collected at specified timepoints. We anticipate that this data will be submitted as part of the BLA filing in the fourth quarter of 2026.</w:t>
      </w:r>
    </w:p>
    <w:p>
      <w:pPr>
        <w:spacing w:after="0" w:line="76"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sz w:val="20"/>
          <w:szCs w:val="20"/>
          <w:color w:val="auto"/>
        </w:rPr>
      </w:pPr>
    </w:p>
    <w:p>
      <w:pPr>
        <w:ind w:left="860" w:right="20" w:hanging="289"/>
        <w:spacing w:after="0" w:line="236" w:lineRule="auto"/>
        <w:tabs>
          <w:tab w:leader="none" w:pos="860"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2a clinical trial in the United States evaluating aglatimagene plus valacyclovir in combination with continued PD-(L)1 checkpoint inhibitors in patients with stage III/IV NSCLC who have inadequate response to front line PD-(L)1 checkpoint inhibitor treatments. In April 2023, we announced that the FDA granted Fast Track Designation for aglatimagene plus valacyclovir in combination with pembrolizumab in order to improve survival or delay progression in patients with unresectable stage III or stage IV NSCLC, who are resistant to first line PD-(L)1 inhibitor therapy and who do not have activating molecular driver mutations or have progressed on directed molecular therapy. These patients historically have had an expected median overall survival (mOS) of &lt;12 months when treated with SoC second-line chemotherapy (Reckamp K et al. J Clin Onc 2022;40:2295-2306). The aim of the aglatimagene immunotherapy antitumor strategy is to improve overall survival beyond the median of 12 months in patients treated with two aglatimagene injections and raise the long tail of survival.</w:t>
      </w:r>
    </w:p>
    <w:p>
      <w:pPr>
        <w:spacing w:after="0" w:line="78" w:lineRule="exact"/>
        <w:rPr>
          <w:sz w:val="20"/>
          <w:szCs w:val="20"/>
          <w:color w:val="auto"/>
        </w:rPr>
      </w:pPr>
    </w:p>
    <w:p>
      <w:pPr>
        <w:ind w:left="1160" w:hanging="514"/>
        <w:spacing w:after="0"/>
        <w:tabs>
          <w:tab w:leader="none" w:pos="11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In March 2025, we announced overall survival data from this phase 2a clinical trial of aglatimagene in NSCLC:</w:t>
      </w:r>
    </w:p>
    <w:p>
      <w:pPr>
        <w:spacing w:after="0" w:line="114" w:lineRule="exact"/>
        <w:rPr>
          <w:rFonts w:ascii="Times New Roman" w:cs="Times New Roman" w:eastAsia="Times New Roman" w:hAnsi="Times New Roman"/>
          <w:sz w:val="17"/>
          <w:szCs w:val="17"/>
          <w:color w:val="auto"/>
        </w:rPr>
      </w:pPr>
    </w:p>
    <w:p>
      <w:pPr>
        <w:ind w:left="1660" w:hanging="505"/>
        <w:spacing w:after="0" w:line="266" w:lineRule="auto"/>
        <w:tabs>
          <w:tab w:leader="none" w:pos="1660" w:val="left"/>
        </w:tabs>
        <w:numPr>
          <w:ilvl w:val="1"/>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an inadequate response to immune checkpoint inhibitor (ICI) treatment who received 2 aglatimagene plus valacyclovir courses (Cohort 1+2, per protocol population, n=46), mOS was 24.5 months.</w:t>
      </w:r>
    </w:p>
    <w:p>
      <w:pPr>
        <w:spacing w:after="0" w:line="51" w:lineRule="exact"/>
        <w:rPr>
          <w:rFonts w:ascii="Times New Roman" w:cs="Times New Roman" w:eastAsia="Times New Roman" w:hAnsi="Times New Roman"/>
          <w:sz w:val="17"/>
          <w:szCs w:val="17"/>
          <w:color w:val="auto"/>
        </w:rPr>
      </w:pPr>
    </w:p>
    <w:p>
      <w:pPr>
        <w:ind w:left="1660" w:right="40" w:hanging="505"/>
        <w:spacing w:after="0" w:line="243" w:lineRule="auto"/>
        <w:tabs>
          <w:tab w:leader="none" w:pos="1660" w:val="left"/>
        </w:tabs>
        <w:numPr>
          <w:ilvl w:val="1"/>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progressive disease, despite ICI treatment (Cohort 2, per protocol population, n=41), mOS was 21.5 months, which is markedly longer than the 9.8–11.8 months of survival reported in published literature in a similar patient population receiving standard of care of docetaxel second-line chemotherapy (Paz-Ares LG et al, J Clin Oncol 2024;42:2860-2872 ; Ahn MJ et al, J Clin Onc 2024;43:260-272).</w:t>
      </w:r>
    </w:p>
    <w:p>
      <w:pPr>
        <w:spacing w:after="0" w:line="71" w:lineRule="exact"/>
        <w:rPr>
          <w:rFonts w:ascii="Times New Roman" w:cs="Times New Roman" w:eastAsia="Times New Roman" w:hAnsi="Times New Roman"/>
          <w:sz w:val="17"/>
          <w:szCs w:val="17"/>
          <w:color w:val="auto"/>
        </w:rPr>
      </w:pPr>
    </w:p>
    <w:p>
      <w:pPr>
        <w:ind w:left="1660" w:right="20" w:hanging="505"/>
        <w:spacing w:after="0" w:line="249" w:lineRule="auto"/>
        <w:tabs>
          <w:tab w:leader="none" w:pos="1660" w:val="left"/>
        </w:tabs>
        <w:numPr>
          <w:ilvl w:val="1"/>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37% of patients with progressive disease at enrollment were still alive &gt; 24 months after aglatimagene treatment at the time of the March 3, 2025 data cut, suggesting a long tail of survival. 14/15 patients with overall survival &gt; 24 months and 9/9 patients with overall survival &gt; 30 months had non-squamous NSCLC.</w:t>
      </w:r>
    </w:p>
    <w:p>
      <w:pPr>
        <w:spacing w:after="0" w:line="65" w:lineRule="exact"/>
        <w:rPr>
          <w:rFonts w:ascii="Times New Roman" w:cs="Times New Roman" w:eastAsia="Times New Roman" w:hAnsi="Times New Roman"/>
          <w:sz w:val="17"/>
          <w:szCs w:val="17"/>
          <w:color w:val="auto"/>
        </w:rPr>
      </w:pPr>
    </w:p>
    <w:p>
      <w:pPr>
        <w:ind w:left="1660" w:right="280" w:hanging="505"/>
        <w:spacing w:after="0" w:line="266" w:lineRule="auto"/>
        <w:tabs>
          <w:tab w:leader="none" w:pos="1660" w:val="left"/>
        </w:tabs>
        <w:numPr>
          <w:ilvl w:val="1"/>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non-squamous NSCLC and progressive disease despite ICI (Cohort 2, per protocol population, n=33), observed mOS was 25.4 months after aglatimagene treatment.</w:t>
      </w:r>
    </w:p>
    <w:p>
      <w:pPr>
        <w:spacing w:after="0" w:line="16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477520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197" w:right="379" w:bottom="1440" w:gutter="0" w:footer="0" w:header="0"/>
        </w:sectPr>
      </w:pPr>
    </w:p>
    <w:bookmarkStart w:id="110" w:name="page111"/>
    <w:bookmarkEnd w:id="110"/>
    <w:p>
      <w:pPr>
        <w:ind w:left="2040" w:right="540" w:hanging="505"/>
        <w:spacing w:after="0" w:line="266" w:lineRule="auto"/>
        <w:tabs>
          <w:tab w:leader="none" w:pos="204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Aglatimagene continued to exhibit a generally favorable safety and tolerability profile during the extended follow-up period.</w:t>
      </w:r>
    </w:p>
    <w:p>
      <w:pPr>
        <w:spacing w:after="0" w:line="52" w:lineRule="exact"/>
        <w:rPr>
          <w:sz w:val="20"/>
          <w:szCs w:val="20"/>
          <w:color w:val="auto"/>
        </w:rPr>
      </w:pPr>
    </w:p>
    <w:p>
      <w:pPr>
        <w:ind w:left="1540" w:right="200" w:hanging="514"/>
        <w:spacing w:after="0" w:line="266" w:lineRule="auto"/>
        <w:tabs>
          <w:tab w:leader="none" w:pos="1540" w:val="left"/>
        </w:tabs>
        <w:numPr>
          <w:ilvl w:val="1"/>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positive findings, we plan to initiate a pivotal phase 3 clinical trial of aglatimagene in patients with progressive, metastatic, non-squamous NSCLC despite ICI treatment in the second quarter of 2026.</w:t>
      </w:r>
    </w:p>
    <w:p>
      <w:pPr>
        <w:spacing w:after="0" w:line="51" w:lineRule="exact"/>
        <w:rPr>
          <w:rFonts w:ascii="Times New Roman" w:cs="Times New Roman" w:eastAsia="Times New Roman" w:hAnsi="Times New Roman"/>
          <w:sz w:val="17"/>
          <w:szCs w:val="17"/>
          <w:color w:val="auto"/>
        </w:rPr>
      </w:pPr>
    </w:p>
    <w:p>
      <w:pPr>
        <w:ind w:left="1540" w:right="360" w:hanging="514"/>
        <w:spacing w:after="0" w:line="266" w:lineRule="auto"/>
        <w:tabs>
          <w:tab w:leader="none" w:pos="1540" w:val="left"/>
        </w:tabs>
        <w:numPr>
          <w:ilvl w:val="1"/>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announce updated data on OS including data on long-term survival and biomarker analysis from the phase 2a clinical trial in the first quarter of 2026.</w:t>
      </w:r>
    </w:p>
    <w:p>
      <w:pPr>
        <w:spacing w:after="0" w:line="134" w:lineRule="exact"/>
        <w:rPr>
          <w:rFonts w:ascii="Times New Roman" w:cs="Times New Roman" w:eastAsia="Times New Roman" w:hAnsi="Times New Roman"/>
          <w:sz w:val="17"/>
          <w:szCs w:val="17"/>
          <w:color w:val="auto"/>
        </w:rPr>
      </w:pPr>
    </w:p>
    <w:p>
      <w:pPr>
        <w:ind w:left="660" w:hanging="278"/>
        <w:spacing w:after="0"/>
        <w:tabs>
          <w:tab w:leader="none" w:pos="6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12" w:lineRule="exact"/>
        <w:rPr>
          <w:rFonts w:ascii="Times New Roman" w:cs="Times New Roman" w:eastAsia="Times New Roman" w:hAnsi="Times New Roman"/>
          <w:sz w:val="17"/>
          <w:szCs w:val="17"/>
          <w:color w:val="auto"/>
        </w:rPr>
      </w:pPr>
    </w:p>
    <w:p>
      <w:pPr>
        <w:ind w:left="1540" w:right="160" w:hanging="514"/>
        <w:spacing w:after="0" w:line="238" w:lineRule="auto"/>
        <w:tabs>
          <w:tab w:leader="none" w:pos="1540" w:val="left"/>
        </w:tabs>
        <w:numPr>
          <w:ilvl w:val="1"/>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We conducted a randomized controlled phase 2a clinical trial in the United States and Mexico evaluating the activity of aglatimagene in borderline resectable pancreatic ductal adenocarcinoma (PDAC). In December 2023, we announced that the FDA granted Fast Track Designation for aglatimagene plus valacyclovir for the treatment of patients with PDAC to improve overall survival. In April 2024, we announced updated positive overall survival data and supportive biomarker data and also announced that the FDA has granted Orphan Drug Designation for aglatimagene for the treatment of PDAC. In July 2025, we announced that the European Medicines Agency (EMA) has granted Orphan Designation for aglatimagene for the treatment of pancreatic cancer.</w:t>
      </w:r>
    </w:p>
    <w:p>
      <w:pPr>
        <w:spacing w:after="0" w:line="73" w:lineRule="exact"/>
        <w:rPr>
          <w:rFonts w:ascii="Times New Roman" w:cs="Times New Roman" w:eastAsia="Times New Roman" w:hAnsi="Times New Roman"/>
          <w:sz w:val="17"/>
          <w:szCs w:val="17"/>
          <w:color w:val="auto"/>
        </w:rPr>
      </w:pPr>
    </w:p>
    <w:p>
      <w:pPr>
        <w:ind w:left="1540" w:hanging="514"/>
        <w:spacing w:after="0"/>
        <w:tabs>
          <w:tab w:leader="none" w:pos="1540" w:val="left"/>
        </w:tabs>
        <w:numPr>
          <w:ilvl w:val="1"/>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2025, we announced the final analysis of this phase 2a clinical trial of aglatimagene in borderline resectable PDAC:</w:t>
      </w:r>
    </w:p>
    <w:p>
      <w:pPr>
        <w:spacing w:after="0" w:line="114" w:lineRule="exact"/>
        <w:rPr>
          <w:rFonts w:ascii="Times New Roman" w:cs="Times New Roman" w:eastAsia="Times New Roman" w:hAnsi="Times New Roman"/>
          <w:sz w:val="17"/>
          <w:szCs w:val="17"/>
          <w:color w:val="auto"/>
        </w:rPr>
      </w:pPr>
    </w:p>
    <w:p>
      <w:pPr>
        <w:ind w:left="2040" w:right="40" w:hanging="505"/>
        <w:spacing w:after="0" w:line="266" w:lineRule="auto"/>
        <w:tabs>
          <w:tab w:leader="none" w:pos="2040" w:val="left"/>
        </w:tabs>
        <w:numPr>
          <w:ilvl w:val="2"/>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median overall survival after enrollment was 31.4 months in the aglatimagene group versus 12.5 months in the control group.</w:t>
      </w:r>
    </w:p>
    <w:p>
      <w:pPr>
        <w:spacing w:after="0" w:line="51" w:lineRule="exact"/>
        <w:rPr>
          <w:rFonts w:ascii="Times New Roman" w:cs="Times New Roman" w:eastAsia="Times New Roman" w:hAnsi="Times New Roman"/>
          <w:sz w:val="17"/>
          <w:szCs w:val="17"/>
          <w:color w:val="auto"/>
        </w:rPr>
      </w:pPr>
    </w:p>
    <w:p>
      <w:pPr>
        <w:ind w:left="2040" w:right="160" w:hanging="505"/>
        <w:spacing w:after="0"/>
        <w:tabs>
          <w:tab w:leader="none" w:pos="2040" w:val="left"/>
        </w:tabs>
        <w:numPr>
          <w:ilvl w:val="2"/>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3 out of 7 patients who received aglatimagene were still alive at the time of data cut-off (February 20, 2025) with survival of 66.0, 63.6, and 35.8 months, respectively, after enrollment; survival from the time of diagnosis was 73.5, 68.8 and 41.3 months, respectively, for these patients. In contrast, only one out of 6 patients randomized to SoC chemotherapy arm remained alive at the data cutoff; histologic analysis at resection showed intraepithelial neoplasia associated with improved prognosis in this patient.</w:t>
      </w:r>
    </w:p>
    <w:p>
      <w:pPr>
        <w:spacing w:after="0" w:line="74"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2"/>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Median post-progression survival was 21.2 months in the aglatimagene arm vs. 6.4 months in the control arm.</w:t>
      </w:r>
    </w:p>
    <w:p>
      <w:pPr>
        <w:spacing w:after="0" w:line="114" w:lineRule="exact"/>
        <w:rPr>
          <w:rFonts w:ascii="Times New Roman" w:cs="Times New Roman" w:eastAsia="Times New Roman" w:hAnsi="Times New Roman"/>
          <w:sz w:val="17"/>
          <w:szCs w:val="17"/>
          <w:color w:val="auto"/>
        </w:rPr>
      </w:pPr>
    </w:p>
    <w:p>
      <w:pPr>
        <w:ind w:left="2040" w:right="20" w:hanging="505"/>
        <w:spacing w:after="0" w:line="266" w:lineRule="auto"/>
        <w:tabs>
          <w:tab w:leader="none" w:pos="2040" w:val="left"/>
        </w:tabs>
        <w:numPr>
          <w:ilvl w:val="2"/>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In October 2025, we decided to pause on further clinical development of aglatimagene in PDAC, in the context of portfolio prioritization, unless externally funded through a grant or other non-dilutive external funding.</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lead HSV-based product candidate, linoserpaturev (referred to previously as CAN-3110), is currently being evaluated in an ongoing investigator-sponsored phase 1b clinical trial in the initial target indication of recurrent high-grade glioma (HGG). Patients recruited in this study have previously failed SoC treatment and have a poor prognosis (expected overall survival &lt; 6-9 months).</w:t>
      </w:r>
    </w:p>
    <w:p>
      <w:pPr>
        <w:spacing w:after="0" w:line="6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In October 2023, we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overall survival associated with immune activation in patients with recurrent HGG treated with linoserpaturev. Notably, data reported an increased survival in the 66% of patients with positivity for anti-HSV1 antibodies (mOS of 14.2 months). Immune status was positively associated with survival both in patients with pre-existing HSV1 antibodies (pre-treatment) and in 33% of patients who, while negative at baseline, developed anti-HSV1 antibodies after a single injection of linoserpaturev. Clinical responses were observed in both injected and uninjected lesions in patients with multifocal disease. Significant tumor responses were observed in both arm A and arm B of this study.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who were able to mount a diverse immune response against the virus and tumor antigens released during the oncolytic process after linoserpaturev administration, had improved survival.</w:t>
      </w:r>
    </w:p>
    <w:p>
      <w:pPr>
        <w:spacing w:after="0" w:line="7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February 2024, we announced that the FDA granted Fast Track Designation for linoserpaturev for the treatment of patients with recurrent HGG to improve overall survival. In May 2024, we also announced that the FDA granted Orphan Drug Designation for linoserpaturev for the treatment of recurrent HGG.</w:t>
      </w:r>
    </w:p>
    <w:p>
      <w:pPr>
        <w:spacing w:after="0" w:line="6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November 2024, during the Society for Immunotherapy of Cancer (SITC) Annual Meeting, we presented data demonstrating the antitumor activity of linoserpaturev in preclinical models of melanoma, a tumor characterized by high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1" w:name="page112"/>
    <w:bookmarkEnd w:id="111"/>
    <w:p>
      <w:pPr>
        <w:ind w:right="600"/>
        <w:spacing w:after="0" w:line="267" w:lineRule="auto"/>
        <w:rPr>
          <w:sz w:val="20"/>
          <w:szCs w:val="20"/>
          <w:color w:val="auto"/>
        </w:rPr>
      </w:pPr>
      <w:r>
        <w:rPr>
          <w:rFonts w:ascii="Arial" w:cs="Arial" w:eastAsia="Arial" w:hAnsi="Arial"/>
          <w:sz w:val="17"/>
          <w:szCs w:val="17"/>
          <w:color w:val="auto"/>
        </w:rPr>
        <w:t>Nestin expression, frequent loss-of-function in CDKN2A, and alterations in the Ras-Raf signaling pathway. This data supports the potential to expand the evaluation of linoserpaturev into tumors beyond recurrent HGG, creating a potential pipeline in a product.</w:t>
      </w:r>
    </w:p>
    <w:p>
      <w:pPr>
        <w:spacing w:after="0" w:line="9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conducting an extension of the clinical trial (arm C), in which patients with recurrent glioblastoma receive a repeat dosing regimen of linoserpaturev (up to six injections over four months). Clinical data from arm C will help evaluate whether multiple injections could further improve survival. This clinical trial extension is supported by the Break Through Cancer foundation. In October 2024, at the 16th Annual International Oncolytic Virotherapy Conference (IOVC), we presented initial clinical and biomarker data from Arm C of the linoserpaturev trial. The principal investigator reported improved survival compared to historical controls in patients who received multiple injections of linoserpaturev. Post-treatment longitudinal biopsies showed a near absence of tumor cells with dense lymphocyte infiltration, particularly in patients with post-treatment MRI enhancement, consistent with radiologic pseudo-progression. These findings were reported in a Science Translational Medicine manuscript published in October 2025, which followed two patients from Arm C through 97 serial tumor biopsies. Serial brain biopsy samples showed extensive immune-mediated remodeling of the tumor microenvironment after linoserpaturev administration, characterized by dense lymphocyte infiltration and extensive tumor necrosis (death). One patient achieved a complete pathological response, with clearance of tumor cells from post-treatment biopsies. In contrast, MRI scans for both patients showed apparent tumor enlargement (pseudo-progression), underscoring that conventional imaging criteria may underestimate linoserpaturev’s immunologic activity. These results illustrate the limitations of conventional imaging in evaluating the response to viral immunotherapy in glioblastoma and highlight the importance of overall survival data, supported by histology, in this indication.</w:t>
      </w:r>
    </w:p>
    <w:p>
      <w:pPr>
        <w:spacing w:after="0" w:line="7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October 2025, we also announced updated OS data for Arm A and Arm B as of August 15, 2025. The updated mOS was 11.8 months for arm A (n=41) (CI: 8.3–14.9) and 12.0 months for arm B (n=9) (CI: 10.0–NA), respectively, after a single injection of linoserpaturev. One patient from arm A and one patient from arm B were still alive after prolonged follow-up (59.2 and 42.4 months, respectively, after linoserpaturev administration). At the time of data cutoff, 9 patients in arm C had received multiple administrations of linoserpaturev. At the 1×10⁸ plaque-forming unit (PFU) dose, 3 patients received 4 injections, 1 patient received 5 injections, and 2 patients received 6 injections. At the 1×10⁷ PFU dose, 1 patient received 4 injections, and 2 patients received 5 injections. Median follow-up was 8.9 months. Four out of 9 patients were alive at the time of data cutoff (range 3.1-28.2 months after initiation of linoserpaturev treatment). Five patients had died, of which 3 died more than one year after initiation of linoserpaturev treatment (range 5.5-21.8 months).</w:t>
      </w:r>
    </w:p>
    <w:p>
      <w:pPr>
        <w:spacing w:after="0" w:line="77"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We have recently completed enrollment in arm C, and expect to present mature mOS data and an update on long-term survivors in the fourth quarter of 2026.</w:t>
      </w:r>
    </w:p>
    <w:p>
      <w:pPr>
        <w:spacing w:after="0" w:line="5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January 2026, we received clearance for an IND that will support enabling work for a potential future randomized controlled phase 2 dose regimen finding study of linoserpaturev in recurrent glioblastoma.</w:t>
      </w:r>
    </w:p>
    <w:p>
      <w:pPr>
        <w:spacing w:after="0" w:line="51"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We have also designed additional novel viral immunotherapy candidates using our proprietary enLIGHTEN™ Discovery Platform, a systematic, iterative HSV-based discovery platform leveraging human biology and advanced analytics to create new viral immunotherapy candidates for solid tumors.</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enabling the design of potential combination therapeutics to overcome tumor resistance especially in cancers resistant to immune checkpoint inhibitor treatment.</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88"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In October 2024, during the 16th Annual IOVC, we presented data on a novel biological multimodal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the third preclinical candidate, encoding IL-12 and IL-15. Data included the ability of this asset to induce expansion and activation of natural killer and CD8+ T cells, resulting in significant inhibition of tumor growth and tumor regression in two different tumor models.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p>
      <w:pPr>
        <w:ind w:right="300"/>
        <w:spacing w:after="0" w:line="267" w:lineRule="auto"/>
        <w:rPr>
          <w:sz w:val="20"/>
          <w:szCs w:val="20"/>
          <w:color w:val="auto"/>
        </w:rPr>
      </w:pPr>
      <w:r>
        <w:rPr>
          <w:rFonts w:ascii="Arial" w:cs="Arial" w:eastAsia="Arial" w:hAnsi="Arial"/>
          <w:sz w:val="17"/>
          <w:szCs w:val="17"/>
          <w:color w:val="auto"/>
        </w:rPr>
        <w:t>We currently own development and commercialization rights for all our programs in major markets, including the United States, Europe and Asia, allowing us to control development and seek approval in these areas as we prepare our commercialization efforts.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Corporate</w:t>
      </w:r>
    </w:p>
    <w:p>
      <w:pPr>
        <w:spacing w:after="0" w:line="10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linoserpaturev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August 5, 2022, we filed a shelf registration statement on Form S-3 (as amended to date, the 2022 Shelf) with the U.S. Securities and Exchange Commission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ATM Program). The 2022 Shelf was declared effective by the SEC on August 12, 2022 and expired on August 12, 2025. As of August 12, 2025 we had sold and issued 3,923,829 shares of common stock under the 2022 ATM Program, with total net proceeds of $20.9 million.</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December 16, 2024,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(the 2024 Follow-On Offering). We received approximately $85.9 million in net proceeds from the 2024 Follow-On Offering after deducting underwriting discounts and commissions and offering expenses. During the twelve months ended December 31, 2025, 3,328,064 shares of common stock were issued upon the exercise of the pre-funded warrants. As of December 31, 2025, all pre-funded warrants were exercised.</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On June 25, 2025, we issued and sold 3,221,395 shares of common stock at a price per share of $4.67 to purchasers including existing healthcare-focused institutional investors, executive officers, and directors of the Company in a registered direct offering for aggregate gross proceeds of approximately $15.0 million, before deducting offering expenses payable by us (the Registered Direct Offering). We received approximately $14.3 million in net proceeds from the Registered Direct Offering after deducting offering expenses.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On August 14, 2025, we filed a shelf registration statement on Form S-3 (the 2025 Shelf) with the SEC, which covers the offering, issuance, and sale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by us of up to an aggregate of $300.0 million of our common stock, preferred stock, debt securities, warrants and/or units of any combination</w:t>
      </w:r>
    </w:p>
    <w:p>
      <w:pPr>
        <w:spacing w:after="0" w:line="232" w:lineRule="auto"/>
        <w:rPr>
          <w:sz w:val="20"/>
          <w:szCs w:val="20"/>
          <w:color w:val="auto"/>
        </w:rPr>
      </w:pPr>
      <w:r>
        <w:rPr>
          <w:rFonts w:ascii="Arial" w:cs="Arial" w:eastAsia="Arial" w:hAnsi="Arial"/>
          <w:sz w:val="17"/>
          <w:szCs w:val="17"/>
          <w:color w:val="auto"/>
        </w:rPr>
        <w:t>thereof. We simultaneously entered into a sales agreement with Jefferies LLC, as sales agent, to provide for the issuance and sale by us of up to</w:t>
      </w:r>
    </w:p>
    <w:p>
      <w:pPr>
        <w:spacing w:after="0" w:line="232" w:lineRule="auto"/>
        <w:rPr>
          <w:sz w:val="20"/>
          <w:szCs w:val="20"/>
          <w:color w:val="auto"/>
        </w:rPr>
      </w:pPr>
      <w:r>
        <w:rPr>
          <w:rFonts w:ascii="Arial" w:cs="Arial" w:eastAsia="Arial" w:hAnsi="Arial"/>
          <w:sz w:val="17"/>
          <w:szCs w:val="17"/>
          <w:color w:val="auto"/>
        </w:rPr>
        <w:t>$50.0 million of our common stock from time to time in “at-the-market” offerings under the 2025 Shelf (the 2025 ATM Program). The 2025 Shelf was</w:t>
      </w:r>
    </w:p>
    <w:p>
      <w:pPr>
        <w:spacing w:after="0" w:line="232" w:lineRule="auto"/>
        <w:rPr>
          <w:sz w:val="20"/>
          <w:szCs w:val="20"/>
          <w:color w:val="auto"/>
        </w:rPr>
      </w:pPr>
      <w:r>
        <w:rPr>
          <w:rFonts w:ascii="Arial" w:cs="Arial" w:eastAsia="Arial" w:hAnsi="Arial"/>
          <w:sz w:val="17"/>
          <w:szCs w:val="17"/>
          <w:color w:val="auto"/>
        </w:rPr>
        <w:t>declared effective by the SEC on August 22, 2025. As of December 31, 2025 and through March 5, 2026, we have not sold any shares of common</w:t>
      </w:r>
    </w:p>
    <w:p>
      <w:pPr>
        <w:spacing w:after="0"/>
        <w:rPr>
          <w:sz w:val="20"/>
          <w:szCs w:val="20"/>
          <w:color w:val="auto"/>
        </w:rPr>
      </w:pPr>
      <w:r>
        <w:rPr>
          <w:rFonts w:ascii="Arial" w:cs="Arial" w:eastAsia="Arial" w:hAnsi="Arial"/>
          <w:sz w:val="17"/>
          <w:szCs w:val="17"/>
          <w:color w:val="auto"/>
        </w:rPr>
        <w:t>stock under the 2025 ATM Program.</w:t>
      </w:r>
    </w:p>
    <w:p>
      <w:pPr>
        <w:spacing w:after="0" w:line="86" w:lineRule="exact"/>
        <w:rPr>
          <w:sz w:val="20"/>
          <w:szCs w:val="20"/>
          <w:color w:val="auto"/>
        </w:rPr>
      </w:pPr>
    </w:p>
    <w:p>
      <w:pPr>
        <w:jc w:val="both"/>
        <w:ind w:right="460"/>
        <w:spacing w:after="0" w:line="244" w:lineRule="auto"/>
        <w:rPr>
          <w:sz w:val="20"/>
          <w:szCs w:val="20"/>
          <w:color w:val="auto"/>
        </w:rPr>
      </w:pPr>
      <w:r>
        <w:rPr>
          <w:rFonts w:ascii="Arial" w:cs="Arial" w:eastAsia="Arial" w:hAnsi="Arial"/>
          <w:sz w:val="17"/>
          <w:szCs w:val="17"/>
          <w:color w:val="auto"/>
        </w:rPr>
        <w:t>On February 23, 2026, we issued and sold 18,348,624 shares of common stock at a price to the public of $5.45 per share for aggregate gross proceeds of approximately $100 million (the 2026 Follow-On Offering). We received approximately $93.5 million in net proceeds from the 2026 Follow-On Offering after deducting underwriting discounts and commissions and offering expenses. We also granted the underwriters a 30-day option to purchase up to 2,752,293 additional shares of common stock at the public offering price, less the underwriting discount.</w:t>
      </w:r>
    </w:p>
    <w:p>
      <w:pPr>
        <w:spacing w:after="0" w:line="69"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Our cash and cash equivalents were $119.7 million as of December 31, 2025. We believe our existing cash and cash equivalents, together with the net proceeds from the 2026 Follow-On Offering, will enable us to fund our operating expenses and capital expenditure requirements into the first quarter of 2028.</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w:t>
      </w:r>
    </w:p>
    <w:p>
      <w:pPr>
        <w:spacing w:after="0" w:line="102" w:lineRule="exact"/>
        <w:rPr>
          <w:sz w:val="20"/>
          <w:szCs w:val="20"/>
          <w:color w:val="auto"/>
        </w:rPr>
      </w:pPr>
    </w:p>
    <w:p>
      <w:pPr>
        <w:ind w:right="780"/>
        <w:spacing w:after="0" w:line="267" w:lineRule="auto"/>
        <w:rPr>
          <w:sz w:val="20"/>
          <w:szCs w:val="20"/>
          <w:color w:val="auto"/>
        </w:rPr>
      </w:pPr>
      <w:r>
        <w:rPr>
          <w:rFonts w:ascii="Arial" w:cs="Arial" w:eastAsia="Arial" w:hAnsi="Arial"/>
          <w:sz w:val="17"/>
          <w:szCs w:val="17"/>
          <w:color w:val="auto"/>
        </w:rPr>
        <w:t>We are a party to a number of license, royalty and collaboration agreements under which we license patents, patent applications and other intellectual property to and from third parties.</w:t>
      </w:r>
    </w:p>
    <w:p>
      <w:pPr>
        <w:spacing w:after="0" w:line="5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 xml:space="preserve">RTW. </w:t>
      </w:r>
      <w:r>
        <w:rPr>
          <w:rFonts w:ascii="Arial" w:cs="Arial" w:eastAsia="Arial" w:hAnsi="Arial"/>
          <w:sz w:val="17"/>
          <w:szCs w:val="17"/>
          <w:color w:val="auto"/>
        </w:rPr>
        <w:t>On February 19, 2026, we entered into a purchase and sale agreement (the RTW Purchase Agreement) with funds managed by RTW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LP (RTW). Under the terms of the RTW Purchase Agreement, RTW has agreed to pay us $100 million (the RTW Purchase Price) upon the marketing approval of aglatimagene for the treatment of intermediate-risk and high-risk localized prostate cancer by the FDA in exchange for a tiered royalty on future net sales of aglatimagene in the United States. RTW will be entitled to a 4.67% royalty on the portion of annual net sales in the United States that is less than or equal to $1 billion, and a 1.33% royalty on the portion of annual net sales in the United States, exceeding $1 billion. The 4.67% tier will increase to 6.67% if annual net sales do not achieve certain specified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3" w:name="page114"/>
    <w:bookmarkEnd w:id="113"/>
    <w:p>
      <w:pPr>
        <w:ind w:right="200"/>
        <w:spacing w:after="0" w:line="267" w:lineRule="auto"/>
        <w:rPr>
          <w:sz w:val="20"/>
          <w:szCs w:val="20"/>
          <w:color w:val="auto"/>
        </w:rPr>
      </w:pPr>
      <w:r>
        <w:rPr>
          <w:rFonts w:ascii="Arial" w:cs="Arial" w:eastAsia="Arial" w:hAnsi="Arial"/>
          <w:sz w:val="17"/>
          <w:szCs w:val="17"/>
          <w:color w:val="auto"/>
        </w:rPr>
        <w:t>levels (the Ratchet), subject to a cure opportunity by us (provided that such Ratchet and cure opportunity may each subsequently occur more than once).</w:t>
      </w:r>
    </w:p>
    <w:p>
      <w:pPr>
        <w:spacing w:after="0" w:line="5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royalty payments become payable following the first commercial sale of aglatimagene in the United States and end upon RTW’s receipt of $250 million in royalty payments (the RTW Royalty Cap). If we undergo a change of control with, or sell aglatimagene and all of the aglatimagene rights to, a third party, the RTW Purchase Agreement provides the Company and RTW with an option for us to pay certain specified amounts to terminate the RTW Purchase Agreement, depending upon the timing for such transaction, up to the RTW Royalty Cap (the Buy-Out Option). If either party exercises the Buy-Out Option, the RTW Purchase Agreement will automatically terminate upon payment of the specified amount.</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transaction is subject to certain closing conditions, including that FDA approval must occur by a specified date, conditions related to our indebtedness and other customary closing conditions. The RTW Purchase Agreement also contains customary representations, warranties and indemnities on the part of us and RTW and customary covenants on the part of us, including around our indebtedness as well as licensing and other activities related to aglatimagene and its rights.</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b w:val="1"/>
          <w:bCs w:val="1"/>
          <w:i w:val="1"/>
          <w:iCs w:val="1"/>
          <w:color w:val="auto"/>
        </w:rPr>
        <w:t xml:space="preserve">Periphagen.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i w:val="1"/>
          <w:iCs w:val="1"/>
          <w:color w:val="auto"/>
        </w:rPr>
        <w:t xml:space="preserve">Mass General Brigham (MGB). </w:t>
      </w:r>
      <w:r>
        <w:rPr>
          <w:rFonts w:ascii="Arial" w:cs="Arial" w:eastAsia="Arial" w:hAnsi="Arial"/>
          <w:sz w:val="17"/>
          <w:szCs w:val="17"/>
          <w:color w:val="auto"/>
        </w:rPr>
        <w:t>On January 20, 2018, we entered into an exclusive option agreement (the Option Agreement) with MGB.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Option Agreement, we obtained the exclusive right from MGB to negotiate a world-wide, royalty-bearing license to develop and commercialize products covered by certain MGB patents, including those patents covering linoserpaturev,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6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76"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b w:val="1"/>
          <w:bCs w:val="1"/>
          <w:i w:val="1"/>
          <w:iCs w:val="1"/>
          <w:color w:val="auto"/>
        </w:rPr>
        <w:t xml:space="preserve">Ventagen. </w:t>
      </w:r>
      <w:r>
        <w:rPr>
          <w:rFonts w:ascii="Arial" w:cs="Arial" w:eastAsia="Arial" w:hAnsi="Arial"/>
          <w:sz w:val="17"/>
          <w:szCs w:val="17"/>
          <w:color w:val="auto"/>
        </w:rPr>
        <w:t>On March 1, 2014, we entered into an exclusive license agreement ( the Ventagen Agreement) with Ventagen, a related party.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4" w:name="page115"/>
    <w:bookmarkEnd w:id="114"/>
    <w:p>
      <w:pPr>
        <w:spacing w:after="0" w:line="241" w:lineRule="auto"/>
        <w:rPr>
          <w:sz w:val="20"/>
          <w:szCs w:val="20"/>
          <w:color w:val="auto"/>
        </w:rPr>
      </w:pPr>
      <w:r>
        <w:rPr>
          <w:rFonts w:ascii="Arial" w:cs="Arial" w:eastAsia="Arial" w:hAnsi="Arial"/>
          <w:sz w:val="17"/>
          <w:szCs w:val="17"/>
          <w:color w:val="auto"/>
        </w:rPr>
        <w:t>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02"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 aglatimagene and linoserpaturev. We expense research and development costs as incurred. These include the following:</w:t>
      </w:r>
    </w:p>
    <w:p>
      <w:pPr>
        <w:spacing w:after="0" w:line="51" w:lineRule="exact"/>
        <w:rPr>
          <w:sz w:val="20"/>
          <w:szCs w:val="20"/>
          <w:color w:val="auto"/>
        </w:rPr>
      </w:pPr>
    </w:p>
    <w:p>
      <w:pPr>
        <w:ind w:left="760" w:right="74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1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14" w:lineRule="exact"/>
        <w:rPr>
          <w:rFonts w:ascii="Times New Roman" w:cs="Times New Roman" w:eastAsia="Times New Roman" w:hAnsi="Times New Roman"/>
          <w:sz w:val="17"/>
          <w:szCs w:val="17"/>
          <w:color w:val="auto"/>
        </w:rPr>
      </w:pPr>
    </w:p>
    <w:p>
      <w:pPr>
        <w:ind w:left="760" w:right="22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5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7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aglatimagene and linoserpaturev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aglatimagene and linoserpaturev and any other product candidate we may develop will depend on a variety of factors, including:</w:t>
      </w:r>
    </w:p>
    <w:p>
      <w:pPr>
        <w:spacing w:after="0" w:line="74" w:lineRule="exact"/>
        <w:rPr>
          <w:sz w:val="20"/>
          <w:szCs w:val="20"/>
          <w:color w:val="auto"/>
        </w:rPr>
      </w:pPr>
    </w:p>
    <w:p>
      <w:pPr>
        <w:ind w:left="5480" w:right="5460" w:hanging="5098"/>
        <w:spacing w:after="0" w:line="488" w:lineRule="auto"/>
        <w:tabs>
          <w:tab w:leader="none" w:pos="755"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scope, rate of progress, expense and results of clinical trials;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15" w:name="page116"/>
    <w:bookmarkEnd w:id="115"/>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14" w:lineRule="exact"/>
        <w:rPr>
          <w:rFonts w:ascii="Times New Roman" w:cs="Times New Roman" w:eastAsia="Times New Roman" w:hAnsi="Times New Roman"/>
          <w:sz w:val="17"/>
          <w:szCs w:val="17"/>
          <w:color w:val="auto"/>
        </w:rPr>
      </w:pPr>
    </w:p>
    <w:p>
      <w:pPr>
        <w:ind w:left="760" w:right="1000" w:hanging="378"/>
        <w:spacing w:after="0" w:line="266" w:lineRule="auto"/>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14" w:lineRule="exact"/>
        <w:rPr>
          <w:rFonts w:ascii="Times New Roman" w:cs="Times New Roman" w:eastAsia="Times New Roman" w:hAnsi="Times New Roman"/>
          <w:sz w:val="17"/>
          <w:szCs w:val="17"/>
          <w:color w:val="auto"/>
        </w:rPr>
      </w:pPr>
    </w:p>
    <w:p>
      <w:pPr>
        <w:ind w:left="760" w:right="60" w:hanging="378"/>
        <w:spacing w:after="0" w:line="266" w:lineRule="auto"/>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51" w:lineRule="exact"/>
        <w:rPr>
          <w:rFonts w:ascii="Times New Roman" w:cs="Times New Roman" w:eastAsia="Times New Roman" w:hAnsi="Times New Roman"/>
          <w:sz w:val="17"/>
          <w:szCs w:val="17"/>
          <w:color w:val="auto"/>
        </w:rPr>
      </w:pPr>
    </w:p>
    <w:p>
      <w:pPr>
        <w:ind w:left="760" w:right="360" w:hanging="378"/>
        <w:spacing w:after="0" w:line="266" w:lineRule="auto"/>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contract development and manufacturing organizations (CDMOs) for the development, clinical manufacture and commercial manufacture of our product candidates aglatimagene and linoserpaturev;</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14" w:lineRule="exact"/>
        <w:rPr>
          <w:rFonts w:ascii="Times New Roman" w:cs="Times New Roman" w:eastAsia="Times New Roman" w:hAnsi="Times New Roman"/>
          <w:sz w:val="17"/>
          <w:szCs w:val="17"/>
          <w:color w:val="auto"/>
        </w:rPr>
      </w:pPr>
    </w:p>
    <w:p>
      <w:pPr>
        <w:ind w:left="760" w:right="380" w:hanging="378"/>
        <w:spacing w:after="0" w:line="266" w:lineRule="auto"/>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14" w:lineRule="exact"/>
        <w:rPr>
          <w:rFonts w:ascii="Times New Roman" w:cs="Times New Roman" w:eastAsia="Times New Roman" w:hAnsi="Times New Roman"/>
          <w:sz w:val="17"/>
          <w:szCs w:val="17"/>
          <w:color w:val="auto"/>
        </w:rPr>
      </w:pPr>
    </w:p>
    <w:p>
      <w:pPr>
        <w:ind w:left="760" w:right="40" w:hanging="378"/>
        <w:spacing w:after="0" w:line="249" w:lineRule="auto"/>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ongoing geopolitical conflicts and related global economic sanctions, or tariffs or other trade restrictions;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14" w:lineRule="exact"/>
        <w:rPr>
          <w:rFonts w:ascii="Times New Roman" w:cs="Times New Roman" w:eastAsia="Times New Roman" w:hAnsi="Times New Roman"/>
          <w:sz w:val="17"/>
          <w:szCs w:val="17"/>
          <w:color w:val="auto"/>
        </w:rPr>
      </w:pPr>
    </w:p>
    <w:p>
      <w:pPr>
        <w:ind w:left="760" w:right="200" w:hanging="378"/>
        <w:spacing w:after="0" w:line="266" w:lineRule="auto"/>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4"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commercial readiness costs;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26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6" w:name="page117"/>
    <w:bookmarkEnd w:id="116"/>
    <w:p>
      <w:pPr>
        <w:ind w:right="200"/>
        <w:spacing w:after="0" w:line="267" w:lineRule="auto"/>
        <w:rPr>
          <w:sz w:val="20"/>
          <w:szCs w:val="20"/>
          <w:color w:val="auto"/>
        </w:rPr>
      </w:pPr>
      <w:r>
        <w:rPr>
          <w:rFonts w:ascii="Arial" w:cs="Arial" w:eastAsia="Arial" w:hAnsi="Arial"/>
          <w:sz w:val="17"/>
          <w:szCs w:val="17"/>
          <w:color w:val="auto"/>
        </w:rPr>
        <w:t>accounting, audit, legal, regulatory, and tax-related services associated with maintaining compliance with exchange listing and SEC requirements; director and officer insurance costs; and investor and public relations costs.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Income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Grant income consists of amounts received under a grant from the Massachusetts Life Sciences Center.</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primarily consists of amounts earned on investment of cash equivalents.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Interest expense primarily consists of interest expense on our debt under our Loan and Security Agreement with Trinity and our Loan Agreement with SVB.</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Liabilities</w:t>
      </w:r>
    </w:p>
    <w:p>
      <w:pPr>
        <w:spacing w:after="0" w:line="10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On October 14, 2025, the Company entered into an amendment (the Warrant Amendment) with holders, including affiliates of Paul Manning and Chris Martell, who are directors of the Company, of the Series B Warrants and the Conditional Series B Warrants. Pursuant to the Warrant Amendment, the holders agreed (i) to extend the expiration date of the Series B Warrants and the Conditional Series B Warrants from November 2025 to September 2027; (ii) to irrevocably release the Company and its directors, officers and affiliates (collectively, the Releasees) from any and all claims that the holders may have against the Releasees related to any alleged breach of or wrongful act under that certain Series B Preferred Stock Purchase Agreement dated November 13, 2018 by and between the Company and PBM ADV Holdings, LLC (the Purchase Agreement) and the issuance of shares of the Company’s Series B preferred stock or existing warrants under the Purchase Agreement; (iii) to not, during the six months following the Warrant Amendment, (x) transfer or dispose of any shares of Common Stock or any securities convertible into or exercisable or exchangeable for Common Stock, or (y) enter into any swap or other arrangement that transfers to another any of the economic consequences of ownership of such securities, subject to certain exceptions set forth in the Warrant Amendment; and (iv) that, if requested by the underwriters in any equity financing transaction undertaken by the Company prior to September 30, 2027, to execute a standard lock-up agreement in connection with such equity financing.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w:t>
      </w:r>
    </w:p>
    <w:p>
      <w:pPr>
        <w:spacing w:after="0" w:line="8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connection with the October 14, 2025 Trinity LSA we issued warrants to the Lenders to purchase up to 254,642 shares of our common stock, $0.01 pay value, at an exercise price of $5.89 per share. In connection with the drawdown of any Tranche under the Trinity LSA, the Company is required to issue to the Lenders warrants (the Lender Warrants) to purchase shares of the Company’s common stock, $0.01 par value per share. The exercise price for the Lender Warrants is equal to $5.89 per share. The number of shares of common stock for which each Lender Warrant is exercisable is equal to 3.0% of the applicable drawn down amount, divided by the exercise price. The Lender Warrants shall have a term of ten years from the date of issuance and shall permit cashless net exercise, all in accordance with their terms. Certain of those warrants are recorded as a liability on our balance sheet. The warrants recorded as a liability are remeasured to their fair value at each reporting date with changes in the fair value recognized as a component of other income (expense), net in the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is determined using a hybrid Monte Carlo simulation and Black-Scholes methodology, which incorporates assumptions and estimates to value the common stock warrants. Key inputs, estimates, and assumptions impacting the fair value measurement include the Company stock price, risk-free interest rate, expected dividend yield, volatility, remaining</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17" w:name="page118"/>
    <w:bookmarkEnd w:id="117"/>
    <w:p>
      <w:pPr>
        <w:ind w:right="580"/>
        <w:spacing w:after="0" w:line="267" w:lineRule="auto"/>
        <w:rPr>
          <w:sz w:val="20"/>
          <w:szCs w:val="20"/>
          <w:color w:val="auto"/>
        </w:rPr>
      </w:pPr>
      <w:r>
        <w:rPr>
          <w:rFonts w:ascii="Arial" w:cs="Arial" w:eastAsia="Arial" w:hAnsi="Arial"/>
          <w:sz w:val="17"/>
          <w:szCs w:val="17"/>
          <w:color w:val="auto"/>
        </w:rPr>
        <w:t>contractual term of the warrants, timing of milestone achievements, and expected stock price increases and decreases in success and failure scenarios related to the milestones.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of December 31, 2025, we had federal net operating loss carryforwards (NOLs) of approximately $141.1 million and state NOLs of approximately $131.2 million which may be available to offset future taxable income. Our federal NOLs include $8.8 million available to reduce future taxable income through 2037 and approximately $132.3 million of NOLs that do not expire and are available to reduce future taxable income indefinitely. The state NOLs are available to offset future taxable income through 2045. As of December 31, 2025, we also had federal and state research and development tax credit carryforwards of $5.7 million and $2.6 million, respectively, which are available to offset federal and state tax liabilities through 2045 and 2040, respectively.</w:t>
      </w:r>
    </w:p>
    <w:p>
      <w:pPr>
        <w:spacing w:after="0" w:line="74" w:lineRule="exact"/>
        <w:rPr>
          <w:sz w:val="20"/>
          <w:szCs w:val="20"/>
          <w:color w:val="auto"/>
        </w:rPr>
      </w:pPr>
    </w:p>
    <w:p>
      <w:pPr>
        <w:ind w:right="580"/>
        <w:spacing w:after="0" w:line="249"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w:t>
      </w:r>
    </w:p>
    <w:p>
      <w:pPr>
        <w:spacing w:after="0" w:line="6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December 31, 2025.</w:t>
      </w:r>
    </w:p>
    <w:p>
      <w:pPr>
        <w:spacing w:after="0" w:line="67"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2025 and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Operating expenses:</w:t>
            </w:r>
          </w:p>
        </w:tc>
        <w:tc>
          <w:tcPr>
            <w:tcW w:w="26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180"/>
              <w:spacing w:after="0" w:line="189" w:lineRule="exact"/>
              <w:rPr>
                <w:sz w:val="20"/>
                <w:szCs w:val="20"/>
                <w:color w:val="auto"/>
              </w:rPr>
            </w:pPr>
            <w:r>
              <w:rPr>
                <w:rFonts w:ascii="Arial" w:cs="Arial" w:eastAsia="Arial" w:hAnsi="Arial"/>
                <w:sz w:val="17"/>
                <w:szCs w:val="17"/>
                <w:color w:val="auto"/>
              </w:rPr>
              <w:t>Research and development</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30,496</w:t>
            </w:r>
          </w:p>
        </w:tc>
        <w:tc>
          <w:tcPr>
            <w:tcW w:w="160" w:type="dxa"/>
            <w:vAlign w:val="bottom"/>
          </w:tcPr>
          <w:p>
            <w:pPr>
              <w:spacing w:after="0"/>
              <w:rPr>
                <w:sz w:val="16"/>
                <w:szCs w:val="16"/>
                <w:color w:val="auto"/>
              </w:rPr>
            </w:pPr>
          </w:p>
        </w:tc>
        <w:tc>
          <w:tcPr>
            <w:tcW w:w="4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19,314</w:t>
            </w:r>
          </w:p>
        </w:tc>
        <w:tc>
          <w:tcPr>
            <w:tcW w:w="160" w:type="dxa"/>
            <w:vAlign w:val="bottom"/>
          </w:tcPr>
          <w:p>
            <w:pPr>
              <w:spacing w:after="0"/>
              <w:rPr>
                <w:sz w:val="16"/>
                <w:szCs w:val="16"/>
                <w:color w:val="auto"/>
              </w:rPr>
            </w:pPr>
          </w:p>
        </w:tc>
        <w:tc>
          <w:tcPr>
            <w:tcW w:w="3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11,182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Borders>
              <w:bottom w:val="single" w:sz="8" w:color="CFF0FC"/>
            </w:tcBorders>
            <w:shd w:val="clear" w:color="auto" w:fill="CFF0FC"/>
          </w:tcPr>
          <w:p>
            <w:pPr>
              <w:ind w:left="180"/>
              <w:spacing w:after="0" w:line="189" w:lineRule="exact"/>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17,770</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14,057</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3,713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40" w:type="dxa"/>
            <w:vAlign w:val="bottom"/>
          </w:tcPr>
          <w:p>
            <w:pPr>
              <w:ind w:left="340"/>
              <w:spacing w:after="0" w:line="183" w:lineRule="exact"/>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48,266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33,371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14,895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Loss from operations</w:t>
            </w:r>
          </w:p>
        </w:tc>
        <w:tc>
          <w:tcPr>
            <w:tcW w:w="2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(48,266)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(33,371)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(14,895)</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Grant income</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89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Interest income</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3,915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1,086</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2,829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(2,119)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Change in fair value of warrant liabilities</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8,199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(20,802)</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29,001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Pr>
          <w:p>
            <w:pPr>
              <w:spacing w:after="0" w:line="183" w:lineRule="exact"/>
              <w:rPr>
                <w:sz w:val="20"/>
                <w:szCs w:val="20"/>
                <w:color w:val="auto"/>
              </w:rPr>
            </w:pPr>
            <w:r>
              <w:rPr>
                <w:rFonts w:ascii="Arial" w:cs="Arial" w:eastAsia="Arial" w:hAnsi="Arial"/>
                <w:sz w:val="17"/>
                <w:szCs w:val="17"/>
                <w:color w:val="auto"/>
              </w:rPr>
              <w:t>Net loss</w:t>
            </w:r>
          </w:p>
        </w:tc>
        <w:tc>
          <w:tcPr>
            <w:tcW w:w="260" w:type="dxa"/>
            <w:vAlign w:val="bottom"/>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(38,182)</w:t>
            </w:r>
          </w:p>
        </w:tc>
        <w:tc>
          <w:tcPr>
            <w:tcW w:w="40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(55,177)</w:t>
            </w:r>
          </w:p>
        </w:tc>
        <w:tc>
          <w:tcPr>
            <w:tcW w:w="32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7"/>
                <w:szCs w:val="17"/>
                <w:color w:val="auto"/>
              </w:rPr>
              <w:t>16,995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-899795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-899795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-162560</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2025 and 2024</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2025 and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66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(DECREASE)</w:t>
            </w:r>
          </w:p>
        </w:tc>
      </w:tr>
      <w:tr>
        <w:trPr>
          <w:trHeight w:val="183"/>
        </w:trPr>
        <w:tc>
          <w:tcPr>
            <w:tcW w:w="662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Clinical development</w:t>
            </w:r>
          </w:p>
        </w:tc>
        <w:tc>
          <w:tcPr>
            <w:tcW w:w="260" w:type="dxa"/>
            <w:vAlign w:val="bottom"/>
            <w:shd w:val="clear" w:color="auto" w:fill="CFF0FC"/>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14,738</w:t>
            </w:r>
          </w:p>
        </w:tc>
        <w:tc>
          <w:tcPr>
            <w:tcW w:w="12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7"/>
                <w:szCs w:val="17"/>
                <w:color w:val="auto"/>
              </w:rPr>
              <w:t>5,196</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9,542</w:t>
            </w:r>
          </w:p>
        </w:tc>
      </w:tr>
      <w:tr>
        <w:trPr>
          <w:trHeight w:val="189"/>
        </w:trPr>
        <w:tc>
          <w:tcPr>
            <w:tcW w:w="6620" w:type="dxa"/>
            <w:vAlign w:val="bottom"/>
          </w:tcPr>
          <w:p>
            <w:pPr>
              <w:spacing w:after="0" w:line="189" w:lineRule="exact"/>
              <w:rPr>
                <w:sz w:val="20"/>
                <w:szCs w:val="20"/>
                <w:color w:val="auto"/>
              </w:rPr>
            </w:pPr>
            <w:r>
              <w:rPr>
                <w:rFonts w:ascii="Arial" w:cs="Arial" w:eastAsia="Arial" w:hAnsi="Arial"/>
                <w:sz w:val="17"/>
                <w:szCs w:val="17"/>
                <w:color w:val="auto"/>
              </w:rPr>
              <w:t>Employee-related</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12,308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11,669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639</w:t>
            </w:r>
          </w:p>
        </w:tc>
      </w:tr>
      <w:tr>
        <w:trPr>
          <w:trHeight w:val="189"/>
        </w:trPr>
        <w:tc>
          <w:tcPr>
            <w:tcW w:w="66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Depreciation, impairment, and loss on sale and disposals of fixed assets</w:t>
            </w:r>
          </w:p>
        </w:tc>
        <w:tc>
          <w:tcPr>
            <w:tcW w:w="2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1,230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1,020</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210</w:t>
            </w:r>
          </w:p>
        </w:tc>
      </w:tr>
      <w:tr>
        <w:trPr>
          <w:trHeight w:val="189"/>
        </w:trPr>
        <w:tc>
          <w:tcPr>
            <w:tcW w:w="6620" w:type="dxa"/>
            <w:vAlign w:val="bottom"/>
          </w:tcPr>
          <w:p>
            <w:pPr>
              <w:spacing w:after="0" w:line="189" w:lineRule="exact"/>
              <w:rPr>
                <w:sz w:val="20"/>
                <w:szCs w:val="20"/>
                <w:color w:val="auto"/>
              </w:rPr>
            </w:pPr>
            <w:r>
              <w:rPr>
                <w:rFonts w:ascii="Arial" w:cs="Arial" w:eastAsia="Arial" w:hAnsi="Arial"/>
                <w:sz w:val="17"/>
                <w:szCs w:val="17"/>
                <w:color w:val="auto"/>
              </w:rPr>
              <w:t>Occupancy</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649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546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103</w:t>
            </w:r>
          </w:p>
        </w:tc>
      </w:tr>
      <w:tr>
        <w:trPr>
          <w:trHeight w:val="189"/>
        </w:trPr>
        <w:tc>
          <w:tcPr>
            <w:tcW w:w="66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Pre-clinical research</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634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384</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250</w:t>
            </w:r>
          </w:p>
        </w:tc>
      </w:tr>
      <w:tr>
        <w:trPr>
          <w:trHeight w:val="189"/>
        </w:trPr>
        <w:tc>
          <w:tcPr>
            <w:tcW w:w="6620" w:type="dxa"/>
            <w:vAlign w:val="bottom"/>
          </w:tcPr>
          <w:p>
            <w:pPr>
              <w:spacing w:after="0" w:line="189" w:lineRule="exact"/>
              <w:rPr>
                <w:sz w:val="20"/>
                <w:szCs w:val="20"/>
                <w:color w:val="auto"/>
              </w:rPr>
            </w:pPr>
            <w:r>
              <w:rPr>
                <w:rFonts w:ascii="Arial" w:cs="Arial" w:eastAsia="Arial" w:hAnsi="Arial"/>
                <w:sz w:val="17"/>
                <w:szCs w:val="17"/>
                <w:color w:val="auto"/>
              </w:rPr>
              <w:t>Recruiting</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247</w:t>
            </w:r>
          </w:p>
        </w:tc>
      </w:tr>
      <w:tr>
        <w:trPr>
          <w:trHeight w:val="189"/>
        </w:trPr>
        <w:tc>
          <w:tcPr>
            <w:tcW w:w="66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690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499</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191</w:t>
            </w:r>
          </w:p>
        </w:tc>
      </w:tr>
      <w:tr>
        <w:trPr>
          <w:trHeight w:val="20"/>
        </w:trPr>
        <w:tc>
          <w:tcPr>
            <w:tcW w:w="6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6620" w:type="dxa"/>
            <w:vAlign w:val="bottom"/>
          </w:tcPr>
          <w:p>
            <w:pPr>
              <w:spacing w:after="0"/>
              <w:rPr>
                <w:sz w:val="15"/>
                <w:szCs w:val="15"/>
                <w:color w:val="auto"/>
              </w:rPr>
            </w:pPr>
          </w:p>
        </w:tc>
        <w:tc>
          <w:tcPr>
            <w:tcW w:w="260" w:type="dxa"/>
            <w:vAlign w:val="bottom"/>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30,496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line="183" w:lineRule="exact"/>
              <w:rPr>
                <w:sz w:val="20"/>
                <w:szCs w:val="20"/>
                <w:color w:val="auto"/>
              </w:rPr>
            </w:pPr>
            <w:r>
              <w:rPr>
                <w:rFonts w:ascii="Arial" w:cs="Arial" w:eastAsia="Arial" w:hAnsi="Arial"/>
                <w:sz w:val="17"/>
                <w:szCs w:val="17"/>
                <w:color w:val="auto"/>
              </w:rPr>
              <w:t>19,314</w:t>
            </w:r>
          </w:p>
        </w:tc>
        <w:tc>
          <w:tcPr>
            <w:tcW w:w="30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11,182</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-162560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Research and development expenses increased $11.2 million from $19.3 million for the year ended December 31, 2024 to $30.5 million for the year ended December 31, 2025. The increase was primarily attributable to a $9.5 million increase in clinical development costs driven by increased manufacturing, clinical trial and regulatory costs for aglatimagene programs and a $0.6 million increase in employee-related expenses.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years ended December 31, 2025 and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3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(DECREASE)</w:t>
            </w:r>
          </w:p>
        </w:tc>
      </w:tr>
      <w:tr>
        <w:trPr>
          <w:trHeight w:val="183"/>
        </w:trPr>
        <w:tc>
          <w:tcPr>
            <w:tcW w:w="39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Employee-related</w:t>
            </w:r>
          </w:p>
        </w:tc>
        <w:tc>
          <w:tcPr>
            <w:tcW w:w="2740" w:type="dxa"/>
            <w:vAlign w:val="bottom"/>
            <w:gridSpan w:val="2"/>
            <w:shd w:val="clear" w:color="auto" w:fill="CFF0FC"/>
          </w:tcPr>
          <w:p>
            <w:pPr>
              <w:jc w:val="right"/>
              <w:ind w:right="1088"/>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7,624</w:t>
            </w:r>
          </w:p>
        </w:tc>
        <w:tc>
          <w:tcPr>
            <w:tcW w:w="1360" w:type="dxa"/>
            <w:vAlign w:val="bottom"/>
            <w:gridSpan w:val="2"/>
            <w:shd w:val="clear" w:color="auto" w:fill="CFF0FC"/>
          </w:tcPr>
          <w:p>
            <w:pPr>
              <w:jc w:val="right"/>
              <w:ind w:right="948"/>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6,831</w:t>
            </w:r>
          </w:p>
        </w:tc>
        <w:tc>
          <w:tcPr>
            <w:tcW w:w="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793</w:t>
            </w:r>
          </w:p>
        </w:tc>
        <w:tc>
          <w:tcPr>
            <w:tcW w:w="100" w:type="dxa"/>
            <w:vAlign w:val="bottom"/>
            <w:shd w:val="clear" w:color="auto" w:fill="CFF0FC"/>
          </w:tcPr>
          <w:p>
            <w:pPr>
              <w:spacing w:after="0"/>
              <w:rPr>
                <w:sz w:val="15"/>
                <w:szCs w:val="15"/>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Professional and consulting fees</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5,609</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5,263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346</w:t>
            </w:r>
          </w:p>
        </w:tc>
        <w:tc>
          <w:tcPr>
            <w:tcW w:w="100" w:type="dxa"/>
            <w:vAlign w:val="bottom"/>
          </w:tcPr>
          <w:p>
            <w:pPr>
              <w:spacing w:after="0"/>
              <w:rPr>
                <w:sz w:val="16"/>
                <w:szCs w:val="16"/>
                <w:color w:val="auto"/>
              </w:rPr>
            </w:pPr>
          </w:p>
        </w:tc>
      </w:tr>
      <w:tr>
        <w:trPr>
          <w:trHeight w:val="189"/>
        </w:trPr>
        <w:tc>
          <w:tcPr>
            <w:tcW w:w="39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Commercial readiness</w:t>
            </w:r>
          </w:p>
        </w:tc>
        <w:tc>
          <w:tcPr>
            <w:tcW w:w="14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2,689</w:t>
            </w: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2,689</w:t>
            </w:r>
          </w:p>
        </w:tc>
        <w:tc>
          <w:tcPr>
            <w:tcW w:w="100" w:type="dxa"/>
            <w:vAlign w:val="bottom"/>
            <w:shd w:val="clear" w:color="auto" w:fill="CFF0FC"/>
          </w:tcPr>
          <w:p>
            <w:pPr>
              <w:spacing w:after="0"/>
              <w:rPr>
                <w:sz w:val="16"/>
                <w:szCs w:val="16"/>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Insurance</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988</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1,188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(200)</w:t>
            </w:r>
          </w:p>
        </w:tc>
      </w:tr>
      <w:tr>
        <w:trPr>
          <w:trHeight w:val="189"/>
        </w:trPr>
        <w:tc>
          <w:tcPr>
            <w:tcW w:w="39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Occupancy</w:t>
            </w:r>
          </w:p>
        </w:tc>
        <w:tc>
          <w:tcPr>
            <w:tcW w:w="14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194</w:t>
            </w: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192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6"/>
                <w:szCs w:val="16"/>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Information technology costs</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138</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125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100" w:type="dxa"/>
            <w:vAlign w:val="bottom"/>
          </w:tcPr>
          <w:p>
            <w:pPr>
              <w:spacing w:after="0"/>
              <w:rPr>
                <w:sz w:val="16"/>
                <w:szCs w:val="16"/>
                <w:color w:val="auto"/>
              </w:rPr>
            </w:pPr>
          </w:p>
        </w:tc>
      </w:tr>
      <w:tr>
        <w:trPr>
          <w:trHeight w:val="189"/>
        </w:trPr>
        <w:tc>
          <w:tcPr>
            <w:tcW w:w="39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Recruiting</w:t>
            </w:r>
          </w:p>
        </w:tc>
        <w:tc>
          <w:tcPr>
            <w:tcW w:w="14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w:t>
            </w: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w:t>
            </w:r>
          </w:p>
        </w:tc>
        <w:tc>
          <w:tcPr>
            <w:tcW w:w="100" w:type="dxa"/>
            <w:vAlign w:val="bottom"/>
            <w:shd w:val="clear" w:color="auto" w:fill="CFF0FC"/>
          </w:tcPr>
          <w:p>
            <w:pPr>
              <w:spacing w:after="0"/>
              <w:rPr>
                <w:sz w:val="16"/>
                <w:szCs w:val="16"/>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14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508</w:t>
            </w:r>
          </w:p>
        </w:tc>
        <w:tc>
          <w:tcPr>
            <w:tcW w:w="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458</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50</w:t>
            </w:r>
          </w:p>
        </w:tc>
        <w:tc>
          <w:tcPr>
            <w:tcW w:w="100" w:type="dxa"/>
            <w:vAlign w:val="bottom"/>
          </w:tcPr>
          <w:p>
            <w:pPr>
              <w:spacing w:after="0"/>
              <w:rPr>
                <w:sz w:val="16"/>
                <w:szCs w:val="16"/>
                <w:color w:val="auto"/>
              </w:rPr>
            </w:pPr>
          </w:p>
        </w:tc>
      </w:tr>
      <w:tr>
        <w:trPr>
          <w:trHeight w:val="222"/>
        </w:trPr>
        <w:tc>
          <w:tcPr>
            <w:tcW w:w="3940" w:type="dxa"/>
            <w:vAlign w:val="bottom"/>
            <w:tcBorders>
              <w:bottom w:val="single" w:sz="8" w:color="auto"/>
            </w:tcBorders>
            <w:shd w:val="clear" w:color="auto" w:fill="CFF0FC"/>
          </w:tcPr>
          <w:p>
            <w:pPr>
              <w:spacing w:after="0"/>
              <w:rPr>
                <w:sz w:val="19"/>
                <w:szCs w:val="19"/>
                <w:color w:val="auto"/>
              </w:rPr>
            </w:pPr>
          </w:p>
        </w:tc>
        <w:tc>
          <w:tcPr>
            <w:tcW w:w="2740" w:type="dxa"/>
            <w:vAlign w:val="bottom"/>
            <w:tcBorders>
              <w:bottom w:val="single" w:sz="8" w:color="auto"/>
            </w:tcBorders>
            <w:gridSpan w:val="2"/>
            <w:shd w:val="clear" w:color="auto" w:fill="CFF0FC"/>
          </w:tcPr>
          <w:p>
            <w:pPr>
              <w:jc w:val="right"/>
              <w:ind w:right="1088"/>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17,770</w:t>
            </w:r>
          </w:p>
        </w:tc>
        <w:tc>
          <w:tcPr>
            <w:tcW w:w="1360" w:type="dxa"/>
            <w:vAlign w:val="bottom"/>
            <w:tcBorders>
              <w:bottom w:val="single" w:sz="8" w:color="auto"/>
            </w:tcBorders>
            <w:gridSpan w:val="2"/>
            <w:shd w:val="clear" w:color="auto" w:fill="CFF0FC"/>
          </w:tcPr>
          <w:p>
            <w:pPr>
              <w:jc w:val="right"/>
              <w:ind w:right="948"/>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14,057</w:t>
            </w:r>
          </w:p>
        </w:tc>
        <w:tc>
          <w:tcPr>
            <w:tcW w:w="440" w:type="dxa"/>
            <w:vAlign w:val="bottom"/>
            <w:tcBorders>
              <w:bottom w:val="single" w:sz="8" w:color="auto"/>
            </w:tcBorders>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3,713</w:t>
            </w:r>
          </w:p>
        </w:tc>
        <w:tc>
          <w:tcPr>
            <w:tcW w:w="100" w:type="dxa"/>
            <w:vAlign w:val="bottom"/>
            <w:tcBorders>
              <w:bottom w:val="single" w:sz="8" w:color="auto"/>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-33655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-16510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-33655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-16510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General and administrative expenses increased $3.7 million from $14.1 million for the year ended December 31, 2024 to $17.8 million for the year ended December 31, 2025. The increase was primarily attributable to a $2.7 million increase in commercial readiness costs, a $0.8 million increase in employee-related expenses, and a $0.3 million increase in professional and consulting fees.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Income</w:t>
      </w:r>
    </w:p>
    <w:p>
      <w:pPr>
        <w:spacing w:after="0" w:line="10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There was $88,800 of grant income for the year ended December 31, 2025, compared to zero for the year ended December 31, 2024. Grant income for the year ended December 31, 2025 relates to the recognition of income from a grant from the Massachusetts Life Sciences Center.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02"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color w:val="auto"/>
        </w:rPr>
        <w:t>Interest income was $3.9 million for the year ended December 31, 2025, compared to $1.1 million for the year ended December 31, 2024, and primarily represents earnings on our cash equivalents. The increase in interest income is the result of interest being generated on a higher cash equivalents balance for the year ended December 31, 2025 compared to the year ended December 31, 2024.</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Interest expense was $2.1 million for each of the years ended December 31, 2025 and 2024, and represents interest expense on our outstanding debt obligations.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i w:val="1"/>
          <w:iCs w:val="1"/>
          <w:color w:val="auto"/>
        </w:rPr>
        <w:t>Change in Fair Value of Warrant Liabilities</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change in fair value of our warrant liabilities was a decrease in the fair value of $8.2 million for the year ended December 31, 2025, compared to an increase in the fair value of $20.8 million for the year ended December 31, 2024. The change in the fair value of the warrant liabilities is primarily related to the existing Series B Warrant liability and is primarily driven by lower volatility and changes in the underlying value of our stock price, partially offset by term to maturity.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aglatimagene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As of December 31, 2025, we had cash and cash equivalents of $119.7 million. Based on current plans and assumptions, we expect that our existing cash and cash equivalents, together with the net proceeds from the 2026 Follow-On Offering, will be sufficient to fund our current operating plan into the first quarter of 2028. We will require additional capital to commercialize aglatimagene in early localized prostate cancer, to advance the phase 3 trial for aglatimagene in NSCLC, and to advance the development of linoserpaturev beyond the current trials.</w:t>
      </w:r>
    </w:p>
    <w:p>
      <w:pPr>
        <w:spacing w:after="0" w:line="79"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December 31, 2025, we have raised approximately $291.9 million of gross proceeds from such transactions, including $15.9 million of government grants, $66.1 million from the sale of convertible preferred stock, $207.6 million from the sale of our common stock and accompanying pre-funded warrants, and $2.3 million from stock option exercises. Our cash and cash equivalents totaled $119.7 million as of December 31, 2025. We had $47.1 million of debt as of December 31, 2025.</w:t>
      </w:r>
    </w:p>
    <w:p>
      <w:pPr>
        <w:spacing w:after="0" w:line="74"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On February 24, 2022, we entered into a Loan Agreement with SVB pursuant to which SVB agreed to provide term loans to us in an aggregate principal amount of $20.0 million. We borrowed $20.0 million upon entering into the SVB Loan Agreement. The term loan was secured by substantially all of our properties, rights and assets, except for our intellectual property, which is subject to a negative pledge under the SVB Loan Agreement.</w:t>
      </w:r>
    </w:p>
    <w:p>
      <w:pPr>
        <w:spacing w:after="0" w:line="6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term loan bore interest at a floating rate per annum equal to the greater of (A) 5.75% and (B) the prime rate (as published in the money rates section of The Wall Street Journal) plus 2.50%. We were required to make monthly interest payments, and commencing on February 1, 2024, 24 consecutive installments of principal plus monthly payments of accrued interest. The term loan had a maturity date of January 1, 2026. Upon repayment in full of the term loans, we were required to pay a final payment fee equal to 4.50% of the original principal amount of any funded term loan being repaid. The SVB Loan Agreement permitted voluntary prepayment of all, but not less than all, of the SVB term loans, subject to a prepayment premium of 1% to 3% based upon the timing of the prepayment. We used a portion of the proceeds from the First Tranche of the Trinity LSA (defined below) to repay the SVB Loan Agreement in full on October 14, 2025.</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On August 5, 2022, we filed the 2022 Shelf with the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Shelf was declared effective by the SEC on August 12, 2022 and expired on August 12, 2025. As of August 12, 2025, we had sold and issued 3,923,829 shares of common stock under the 2022 ATM Program, with total net proceeds of $20.9 million.</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connection with the 2024 Follow-On Offering,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We received approximately $85.9 million in net proceeds from the 2024 Follow-On Offering after deducting underwriting discounts and commissions and offering expenses. During the twelve months ended December 31, 2025, 3,328,064 shares of common stock were issued upon exercise of the pre-funded warrants. As of December 31, 2025, all pre-funded warrants were exercised.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20" w:name="page121"/>
    <w:bookmarkEnd w:id="120"/>
    <w:p>
      <w:pPr>
        <w:ind w:right="620"/>
        <w:spacing w:after="0" w:line="249" w:lineRule="auto"/>
        <w:rPr>
          <w:sz w:val="20"/>
          <w:szCs w:val="20"/>
          <w:color w:val="auto"/>
        </w:rPr>
      </w:pPr>
      <w:r>
        <w:rPr>
          <w:rFonts w:ascii="Arial" w:cs="Arial" w:eastAsia="Arial" w:hAnsi="Arial"/>
          <w:sz w:val="17"/>
          <w:szCs w:val="17"/>
          <w:color w:val="auto"/>
        </w:rPr>
        <w:t>In connection with the Registered Direct Offering, we issued and sold 3,221,395 shares of common stock at a price per share of $4.67 to the purchasers for aggregate gross proceeds of approximately $15.0 million, before deducting offering expenses payable by us. We received approximately $14.3 million in net proceeds from the Registered Direct Offering after deducting offering expenses.</w:t>
      </w:r>
    </w:p>
    <w:p>
      <w:pPr>
        <w:spacing w:after="0" w:line="67"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On August 14, 2025, we filed the 2025 Shelf with the SEC, which covers the offering, issuance, and sale by us of up to an aggregate of $300.0 million of our common stock, preferred stock, debt securities, warrants and/or units of any combination thereof. We simultaneously entered into a sales agreement with Jefferies LLC, as sales agent, to provide for the issuance and sale by us of up to $50.0 million of our common stock from time to time in “at-the-market” offerings under the 2025 Shelf. The 2025 Shelf was declared effective by the SEC on August 22, 2025. As of December 31, 2025 and through March 5, 2026, we have not sold any shares of common stock under the 2025 ATM Program.</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On October 14, 2025, we entered into a Loan and Security Agreement, as amended by that certain First Amendment to Loan and Security Agreement dated as of March 10, 2026 (the Trinity LSA), with the lenders party thereto (the Lenders) and Trinity Capital Inc., as administrative agent and collateral agent (the Agent).</w:t>
      </w:r>
    </w:p>
    <w:p>
      <w:pPr>
        <w:spacing w:after="0" w:line="6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Under the Trinity LSA, the Lenders agreed to extend debt capital to us, at our request, in the form of a term loan, in tranches totaling an aggregate principal amount of up to $130.0 million as follows: (a) at closing, the aggregate principal amount of $50.0 million (the First Tranche), (b) until May 30, 2027, subject to the achievement of certain regulatory, clinical and operational milestones by March 31, 2027, the aggregate principal amount of $20.0 million (the Second Tranche), (c) following funding of the Second Tranche, until February 29, 2028, subject to the achievement of certain regulatory and operational milestones by December 31, 2027, the aggregate principal amount of $30.0 million (the Third Tranche), and (d) following funding of the Third Tranche, in Lenders’ sole discretion, the aggregate principal amount of $30.0 million (the Fourth Tranche and collectively with the First Tranche, the Second Tranche and the Third Tranche, the Tranches). The obligations of the Lenders to extend such debt capital are subject to certain conditions precedent described in the Trinity LSA. We are required to pay a commitment fee of 1.0% of the amount drawn, plus related documentation and funding fees, in connection with each drawdown. On October 14, 2025 (the Closing Date), we drew down the First Tranche. Our obligations under the facility are secured by a first priority security interest in substantially all of our assets.</w:t>
      </w:r>
    </w:p>
    <w:p>
      <w:pPr>
        <w:spacing w:after="0" w:line="7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All Tranches will mature on October 1, 2030 (the Maturity Date), unless earlier accelerated under the terms of the Trinity LSA. At maturity, we are required to repay the then-outstanding principal amount, together with any accrued and unpaid interest thereon. In addition, at maturity or early termination of the Trinity LSA, we are required to pay the Lenders an additional 4.25% of the amounts drawn down by us under the Trinity LSA.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Interest accrues on the Tranches that we have drawn down at a floating rate per annum, calculated based on a 360-day year, equal to the greater of</w:t>
      </w:r>
    </w:p>
    <w:p>
      <w:pPr>
        <w:spacing w:after="0" w:line="10" w:lineRule="exact"/>
        <w:rPr>
          <w:sz w:val="20"/>
          <w:szCs w:val="20"/>
          <w:color w:val="auto"/>
        </w:rPr>
      </w:pPr>
    </w:p>
    <w:p>
      <w:pPr>
        <w:ind w:right="80" w:firstLine="8"/>
        <w:spacing w:after="0" w:line="238" w:lineRule="auto"/>
        <w:tabs>
          <w:tab w:leader="none" w:pos="256"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sum of (i) The Wall Street Journal Prime Rate and (ii) 3.0%, and (b) 9.75%. For the first 36 months after the Closing Date, we are required to make monthly payments of interest only in arrears. Upon the achievement of a certain commercial milestone by June 30, 2028, the Interest Only Period will be extended by twelve months. In the event of such extension of the Interest Only Period, the duration of the Amortization Period will decrease by the same amount. In any event, the total term of all Tranches shall not exceed 60 months.</w:t>
      </w:r>
    </w:p>
    <w:p>
      <w:pPr>
        <w:spacing w:after="0" w:line="73"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may voluntarily prepay the outstanding loan balance at any time, in whole or in part, subject to the payment of prepayment premiums and payment of the Exit Fee on the principal amount then prepaid.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if prepayment occurs on or before the Maturity Date, the premium shall equal 1.0% of the principal being repaid.</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Trinity LSA contains customary affirmative and negative covenants, including with respect to notice obligations, limitations on new indebtedness, liens, investments and transactions with our affiliates, restrictions on the payment of dividends, maintenance of collateral and accounts and maintenance of insurance. The Trinity LSA also contains financial covenants requiring, if our market capitalization is less than $550 million, we maintain minimum cash and cash equivalents pledged to secure the obligations under the Trinity LSA, less certain accounts payable, of at least (i) beginning from July 1, 2026 through the date, that we have raised at least $93.5 million in unrestricted net cash proceeds from one or more bona fide equity financings and/or upfront proceeds from business development after the Closing Date, 67.5% of all of the aggregate principal amount of outstanding obligations under the Trinity LSA, and (ii) beginning from the earlier of (x) October 1, 2027 and (ii) the date upon which we receive written notice of certain regulatory outcomes, through the date that the we obtain certain regulatory approvals, 75% of the aggregate outstanding principal amount of the obligations under the Trinity LSA.</w:t>
      </w:r>
    </w:p>
    <w:p>
      <w:pPr>
        <w:spacing w:after="0" w:line="7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the drawdown of any Tranche, we are required to issue to the Lenders warrants (the Lender Warrants) to purchase shares of our common stock, $0.01 par value per share. The exercise price for the Lender Warrants shall be equal to $5.89 per share. The number of shares of common stock for which each Lender Warrant is exercisable is equal to 3.0% of the applicable drawn down amount, divided by the exercise price. The Lender Warrants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1" w:name="page122"/>
    <w:bookmarkEnd w:id="121"/>
    <w:p>
      <w:pPr>
        <w:ind w:right="40"/>
        <w:spacing w:after="0" w:line="267" w:lineRule="auto"/>
        <w:rPr>
          <w:sz w:val="20"/>
          <w:szCs w:val="20"/>
          <w:color w:val="auto"/>
        </w:rPr>
      </w:pPr>
      <w:r>
        <w:rPr>
          <w:rFonts w:ascii="Arial" w:cs="Arial" w:eastAsia="Arial" w:hAnsi="Arial"/>
          <w:sz w:val="17"/>
          <w:szCs w:val="17"/>
          <w:color w:val="auto"/>
        </w:rPr>
        <w:t>shall have a term of ten years from the date of issuance and shall permit cashless net exercise, all in accordance with their terms. In connection with the drawdown of the First Tranche, we issued a Lender Warrant to purchase up to 254,642 shares of Common Stock.</w:t>
      </w:r>
    </w:p>
    <w:p>
      <w:pPr>
        <w:spacing w:after="0" w:line="5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of December 31, 2025, we had an accumulated deficit of $230.4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connection with the 2026 Follow-On Offering, we issued and sold 18,348,624 shares of common stock at a price to the public of $5.45 per share for aggregate gross proceeds of approximately $100 million (the 2026 Follow-On Offering). We received approximately $93.5 million in net proceeds from the 2026 Follow-On Offering after deducting underwriting discounts and commissions and offering expenses. We also granted the underwriters a 30-day option to purchase up to 2,752,293 additional shares of common stock at the public offering price, less the underwriting discount.</w:t>
      </w:r>
    </w:p>
    <w:p>
      <w:pPr>
        <w:spacing w:after="0" w:line="6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Net cash used in operating activities</w:t>
            </w:r>
          </w:p>
        </w:tc>
        <w:tc>
          <w:tcPr>
            <w:tcW w:w="960" w:type="dxa"/>
            <w:vAlign w:val="bottom"/>
            <w:gridSpan w:val="2"/>
            <w:shd w:val="clear" w:color="auto" w:fill="CFF0FC"/>
          </w:tcPr>
          <w:p>
            <w:pPr>
              <w:jc w:val="right"/>
              <w:ind w:right="788"/>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(38,311)</w:t>
            </w:r>
          </w:p>
        </w:tc>
        <w:tc>
          <w:tcPr>
            <w:tcW w:w="1080" w:type="dxa"/>
            <w:vAlign w:val="bottom"/>
            <w:gridSpan w:val="2"/>
            <w:shd w:val="clear" w:color="auto" w:fill="CFF0FC"/>
          </w:tcPr>
          <w:p>
            <w:pPr>
              <w:jc w:val="right"/>
              <w:ind w:right="788"/>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w w:val="97"/>
              </w:rPr>
              <w:t>(27,023)</w:t>
            </w:r>
          </w:p>
        </w:tc>
      </w:tr>
      <w:tr>
        <w:trPr>
          <w:trHeight w:val="189"/>
        </w:trPr>
        <w:tc>
          <w:tcPr>
            <w:tcW w:w="7740" w:type="dxa"/>
            <w:vAlign w:val="bottom"/>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(560)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w:t>
            </w:r>
          </w:p>
        </w:tc>
      </w:tr>
      <w:tr>
        <w:trPr>
          <w:trHeight w:val="189"/>
        </w:trPr>
        <w:tc>
          <w:tcPr>
            <w:tcW w:w="77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Net cash provided by financing activities</w:t>
            </w:r>
          </w:p>
        </w:tc>
        <w:tc>
          <w:tcPr>
            <w:tcW w:w="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56,098</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94,280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40" w:type="dxa"/>
            <w:vAlign w:val="bottom"/>
          </w:tcPr>
          <w:p>
            <w:pPr>
              <w:spacing w:after="0" w:line="183" w:lineRule="exact"/>
              <w:rPr>
                <w:sz w:val="20"/>
                <w:szCs w:val="20"/>
                <w:color w:val="auto"/>
              </w:rPr>
            </w:pPr>
            <w:r>
              <w:rPr>
                <w:rFonts w:ascii="Arial" w:cs="Arial" w:eastAsia="Arial" w:hAnsi="Arial"/>
                <w:sz w:val="17"/>
                <w:szCs w:val="17"/>
                <w:color w:val="auto"/>
              </w:rPr>
              <w:t>Net increase in cash, cash equivalents and restricted cash</w:t>
            </w:r>
          </w:p>
        </w:tc>
        <w:tc>
          <w:tcPr>
            <w:tcW w:w="960" w:type="dxa"/>
            <w:vAlign w:val="bottom"/>
            <w:gridSpan w:val="2"/>
          </w:tcPr>
          <w:p>
            <w:pPr>
              <w:jc w:val="right"/>
              <w:ind w:right="788"/>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3" w:lineRule="exact"/>
              <w:rPr>
                <w:sz w:val="20"/>
                <w:szCs w:val="20"/>
                <w:color w:val="auto"/>
              </w:rPr>
            </w:pPr>
            <w:r>
              <w:rPr>
                <w:rFonts w:ascii="Arial" w:cs="Arial" w:eastAsia="Arial" w:hAnsi="Arial"/>
                <w:sz w:val="17"/>
                <w:szCs w:val="17"/>
                <w:color w:val="auto"/>
              </w:rPr>
              <w:t>17,227</w:t>
            </w:r>
          </w:p>
        </w:tc>
        <w:tc>
          <w:tcPr>
            <w:tcW w:w="160" w:type="dxa"/>
            <w:vAlign w:val="bottom"/>
          </w:tcPr>
          <w:p>
            <w:pPr>
              <w:spacing w:after="0"/>
              <w:rPr>
                <w:sz w:val="15"/>
                <w:szCs w:val="15"/>
                <w:color w:val="auto"/>
              </w:rPr>
            </w:pPr>
          </w:p>
        </w:tc>
        <w:tc>
          <w:tcPr>
            <w:tcW w:w="1080" w:type="dxa"/>
            <w:vAlign w:val="bottom"/>
            <w:gridSpan w:val="2"/>
          </w:tcPr>
          <w:p>
            <w:pPr>
              <w:jc w:val="right"/>
              <w:ind w:right="788"/>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67,241</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-290830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for the Years Ended December 31,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Net cash used in operating activities for the year ended December 31, 2025 was $38.3 million, primarily consisting of a net loss of $38.2 million. We had non-cash charges of $2.3 million primarily related to the $8.2 million change in the fair value of our warrant liabilities, partially offset by non-cash stock-based compensation. Net cash used in operating activities was also impacted by $2.2 million in changes in operating assets and liabilities, primarily driven by an increase of $2.3 million in accrued expenses and an increase of $0.8 million in accounts payable. These changes were primarily offset by an increase of $0.5 million in prepaid expenses and other current assets and a decrease of $0.5 million in lease-related liabilities.</w:t>
      </w:r>
    </w:p>
    <w:p>
      <w:pPr>
        <w:spacing w:after="0" w:line="7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Net cash used in operating activities for the year ended December 31, 2024 was $27.0 million, primarily consisting of a net loss of $55.2 million as we incurred expenses associated with our clinical programs and incurred costs associated with operating as a public company. We had non-cash charges of $27.8 million primarily related to the $20.8 million change in the fair value of our warrant liability and non-cash stock-based compensation. Net cash used in operating activities was also impacted by $0.3 million in changes in operating assets and liabilities, primarily driven by an increase of $0.8 million in accrued expenses and a decrease of $0.2 million in prepaid expenses and other current assets. These changes were partially offset by a decrease of $0.5 million in lease-related liabilities and a decrease of $0.2 million in accounts payable.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t>Net cash used in investing activities for the year ended December 31, 2025 was $560,000 and consisted of the purchase of fixed assets.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year ended December 31, 2024 was $16,000 and consisted of the purchase of fixed assets.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Net cash provided by financing activities for the year ended December 31, 2025 was $56.1 million and consisted of $47.9 million of net proceeds from the Trinity term loan, $14.3 million of net proceeds from the issuance of common stock in the Registered Direct Offering, $5.0 million of net proceeds from the issuance of common stock under our 2022 ATM Program, and $0.5 million of proceeds from option exercises, partially offset by $11.7 million of principal payments on our term loan with SVB.</w:t>
      </w:r>
    </w:p>
    <w:p>
      <w:pPr>
        <w:spacing w:after="0" w:line="6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Net cash provided by financing activities for the year ended December 31, 2024 was $94.3 million and consisted of $85.9 million of net proceeds from the issuance of common stock and accompanying pre-funded warrants in the 2024 Follow-On Offering, $15.8 million of net proceeds from the issuance of common stock under the ATM Program and $1.7 million of proceeds from option exercises, partially offset by $9.2 million of principal payments on our term loan with SVB.</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expect our operating expenses to increase substantially in the future in connection with our ongoing activities, particularly as we advance aglatimagene and linoserpaturev through research and development, clinical trials, and develop our manufacturing capabilities, as we research and as we prepare for potential marketing approval and potential commercialization. We also expect to incur additional costs associated with operating as a public company.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02"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aglatimagene and linoserpaturev;</w:t>
      </w:r>
    </w:p>
    <w:p>
      <w:pPr>
        <w:spacing w:after="0" w:line="114" w:lineRule="exact"/>
        <w:rPr>
          <w:rFonts w:ascii="Times New Roman" w:cs="Times New Roman" w:eastAsia="Times New Roman" w:hAnsi="Times New Roman"/>
          <w:sz w:val="17"/>
          <w:szCs w:val="17"/>
          <w:color w:val="auto"/>
        </w:rPr>
      </w:pPr>
    </w:p>
    <w:p>
      <w:pPr>
        <w:ind w:left="760" w:hanging="378"/>
        <w:spacing w:after="0" w:line="249" w:lineRule="auto"/>
        <w:tabs>
          <w:tab w:leader="none" w:pos="7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potential commercial manufacturing of our product candidate aglatimagene and the development, construction and qualification of our clinical manufacturing capabilities, internally or through CDMOs for our product candidate linoserpaturev;</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pursue preparatory activities for potential launch and commercialization for aglatimagene in localized prostate cancer;</w:t>
      </w:r>
    </w:p>
    <w:p>
      <w:pPr>
        <w:spacing w:after="0" w:line="114" w:lineRule="exact"/>
        <w:rPr>
          <w:rFonts w:ascii="Times New Roman" w:cs="Times New Roman" w:eastAsia="Times New Roman" w:hAnsi="Times New Roman"/>
          <w:sz w:val="17"/>
          <w:szCs w:val="17"/>
          <w:color w:val="auto"/>
        </w:rPr>
      </w:pPr>
    </w:p>
    <w:p>
      <w:pPr>
        <w:ind w:left="760" w:right="220" w:hanging="378"/>
        <w:spacing w:after="0" w:line="266" w:lineRule="auto"/>
        <w:tabs>
          <w:tab w:leader="none" w:pos="7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51"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5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believe that our existing cash and cash equivalents as of December 31, 2025, together with the net proceeds from the 2026 Follow-On Offering, will enable us to fund our operating expenses and capital expense requirements into the first quarter of 2028. We have based this estimate on assumptions that may prove to be incorrect, and we could utilize our available capital resources sooner than we currently expect.</w:t>
      </w:r>
    </w:p>
    <w:p>
      <w:pPr>
        <w:spacing w:after="0" w:line="6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51"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aglatimagene and linoserpaturev;</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14" w:lineRule="exact"/>
        <w:rPr>
          <w:rFonts w:ascii="Times New Roman" w:cs="Times New Roman" w:eastAsia="Times New Roman" w:hAnsi="Times New Roman"/>
          <w:sz w:val="17"/>
          <w:szCs w:val="17"/>
          <w:color w:val="auto"/>
        </w:rPr>
      </w:pPr>
    </w:p>
    <w:p>
      <w:pPr>
        <w:ind w:left="760" w:right="100" w:hanging="378"/>
        <w:spacing w:after="0" w:line="266" w:lineRule="auto"/>
        <w:tabs>
          <w:tab w:leader="none" w:pos="7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23" w:name="page124"/>
    <w:bookmarkEnd w:id="123"/>
    <w:p>
      <w:pPr>
        <w:ind w:left="760" w:hanging="378"/>
        <w:spacing w:after="0"/>
        <w:tabs>
          <w:tab w:leader="none" w:pos="7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114" w:lineRule="exact"/>
        <w:rPr>
          <w:rFonts w:ascii="Times New Roman" w:cs="Times New Roman" w:eastAsia="Times New Roman" w:hAnsi="Times New Roman"/>
          <w:sz w:val="17"/>
          <w:szCs w:val="17"/>
          <w:color w:val="auto"/>
        </w:rPr>
      </w:pPr>
    </w:p>
    <w:p>
      <w:pPr>
        <w:ind w:left="760" w:right="200" w:hanging="378"/>
        <w:spacing w:after="0" w:line="249" w:lineRule="auto"/>
        <w:tabs>
          <w:tab w:leader="none" w:pos="7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14"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51"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Trinity LSA.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0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December 31, 2025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right"/>
              <w:ind w:right="739"/>
              <w:spacing w:after="0" w:line="147"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01"/>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1 TO 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3 TO 5</w:t>
            </w:r>
          </w:p>
        </w:tc>
      </w:tr>
      <w:tr>
        <w:trPr>
          <w:trHeight w:val="171"/>
        </w:trPr>
        <w:tc>
          <w:tcPr>
            <w:tcW w:w="5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Operating lease obligation (1)</w:t>
            </w:r>
          </w:p>
        </w:tc>
        <w:tc>
          <w:tcPr>
            <w:tcW w:w="220" w:type="dxa"/>
            <w:vAlign w:val="bottom"/>
            <w:shd w:val="clear" w:color="auto" w:fill="CFF0FC"/>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2,285</w:t>
            </w:r>
          </w:p>
        </w:tc>
        <w:tc>
          <w:tcPr>
            <w:tcW w:w="4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618</w:t>
            </w:r>
          </w:p>
        </w:tc>
        <w:tc>
          <w:tcPr>
            <w:tcW w:w="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1,241</w:t>
            </w:r>
          </w:p>
        </w:tc>
        <w:tc>
          <w:tcPr>
            <w:tcW w:w="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426</w:t>
            </w:r>
          </w:p>
        </w:tc>
        <w:tc>
          <w:tcPr>
            <w:tcW w:w="10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Loan Agreement with Trinity (2)</w:t>
            </w: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71,177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4,879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13,540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52,758</w:t>
            </w:r>
          </w:p>
        </w:tc>
        <w:tc>
          <w:tcPr>
            <w:tcW w:w="10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Periphagen Note (3)</w:t>
            </w:r>
          </w:p>
        </w:tc>
        <w:tc>
          <w:tcPr>
            <w:tcW w:w="2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1,352</w:t>
            </w:r>
          </w:p>
        </w:tc>
        <w:tc>
          <w:tcPr>
            <w:tcW w:w="2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1,352</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line="183" w:lineRule="exact"/>
              <w:rPr>
                <w:sz w:val="20"/>
                <w:szCs w:val="20"/>
                <w:color w:val="auto"/>
              </w:rPr>
            </w:pPr>
            <w:r>
              <w:rPr>
                <w:rFonts w:ascii="Arial" w:cs="Arial" w:eastAsia="Arial" w:hAnsi="Arial"/>
                <w:sz w:val="17"/>
                <w:szCs w:val="17"/>
                <w:color w:val="auto"/>
              </w:rPr>
              <w:t>Total</w:t>
            </w:r>
          </w:p>
        </w:tc>
        <w:tc>
          <w:tcPr>
            <w:tcW w:w="220" w:type="dxa"/>
            <w:vAlign w:val="bottom"/>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74,814</w:t>
            </w:r>
          </w:p>
        </w:tc>
        <w:tc>
          <w:tcPr>
            <w:tcW w:w="40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7"/>
                <w:szCs w:val="17"/>
                <w:color w:val="auto"/>
              </w:rPr>
              <w:t>5,497</w:t>
            </w:r>
          </w:p>
        </w:tc>
        <w:tc>
          <w:tcPr>
            <w:tcW w:w="4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16,133</w:t>
            </w:r>
          </w:p>
        </w:tc>
        <w:tc>
          <w:tcPr>
            <w:tcW w:w="4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53,184</w:t>
            </w:r>
          </w:p>
        </w:tc>
        <w:tc>
          <w:tcPr>
            <w:tcW w:w="10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-153670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-153670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-153670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1020" w:right="20" w:hanging="503"/>
        <w:spacing w:after="0" w:line="285" w:lineRule="auto"/>
        <w:tabs>
          <w:tab w:leader="none" w:pos="10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future minimum lease payments under our operating lease for office and laboratory space at our Needham, Massachusetts facility. Our facility lease, as amended, extends to August of 2029.</w:t>
      </w:r>
    </w:p>
    <w:p>
      <w:pPr>
        <w:spacing w:after="0" w:line="49" w:lineRule="exact"/>
        <w:rPr>
          <w:rFonts w:ascii="Arial" w:cs="Arial" w:eastAsia="Arial" w:hAnsi="Arial"/>
          <w:sz w:val="14"/>
          <w:szCs w:val="14"/>
          <w:color w:val="auto"/>
        </w:rPr>
      </w:pPr>
    </w:p>
    <w:p>
      <w:pPr>
        <w:ind w:left="1020" w:hanging="503"/>
        <w:spacing w:after="0"/>
        <w:tabs>
          <w:tab w:leader="none" w:pos="10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future principal, interest payments, and the final payment fee on our Loan Agreement with Trinity, which matures on October 1, 2030.</w:t>
      </w:r>
    </w:p>
    <w:p>
      <w:pPr>
        <w:spacing w:after="0" w:line="109" w:lineRule="exact"/>
        <w:rPr>
          <w:rFonts w:ascii="Arial" w:cs="Arial" w:eastAsia="Arial" w:hAnsi="Arial"/>
          <w:sz w:val="14"/>
          <w:szCs w:val="14"/>
          <w:color w:val="auto"/>
        </w:rPr>
      </w:pPr>
    </w:p>
    <w:p>
      <w:pPr>
        <w:ind w:left="1020" w:right="280" w:hanging="503"/>
        <w:spacing w:after="0" w:line="285" w:lineRule="auto"/>
        <w:tabs>
          <w:tab w:leader="none" w:pos="10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a $1.0 million promissory note plus interest under the terms of our asset purchase agreements with Periphagen, Inc. The promissory note is due upon maturity in November 2027.</w:t>
      </w:r>
    </w:p>
    <w:p>
      <w:pPr>
        <w:spacing w:after="0" w:line="64"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See our consolidated financial statements and related footnotes elsewhere in this Annual Report on Form 10-K for additional information on these agreements.</w:t>
      </w:r>
    </w:p>
    <w:p>
      <w:pPr>
        <w:spacing w:after="0" w:line="5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24" w:name="page125"/>
    <w:bookmarkEnd w:id="124"/>
    <w:p>
      <w:pPr>
        <w:ind w:right="240"/>
        <w:spacing w:after="0" w:line="267" w:lineRule="auto"/>
        <w:rPr>
          <w:sz w:val="20"/>
          <w:szCs w:val="20"/>
          <w:color w:val="auto"/>
        </w:rPr>
      </w:pPr>
      <w:r>
        <w:rPr>
          <w:rFonts w:ascii="Arial" w:cs="Arial" w:eastAsia="Arial" w:hAnsi="Arial"/>
          <w:sz w:val="17"/>
          <w:szCs w:val="17"/>
          <w:color w:val="auto"/>
        </w:rPr>
        <w:t>incurred, including noncancelable obligations of our service providers, up to the date of cancelation. These payments are not included in the table above as the amount and timing of such payments are not known.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generally accepted accounting principles (GAAP). The preparation of our consolidated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76"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included elsewhere in this Annual Report on Form 10-K, we believe that the following accounting policies are those most significant to the judgments and estimates used in the preparation of our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Research and Development Expenses</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Most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 the following:</w:t>
      </w:r>
    </w:p>
    <w:p>
      <w:pPr>
        <w:spacing w:after="0" w:line="76" w:lineRule="exact"/>
        <w:rPr>
          <w:sz w:val="20"/>
          <w:szCs w:val="20"/>
          <w:color w:val="auto"/>
        </w:rPr>
      </w:pPr>
    </w:p>
    <w:p>
      <w:pPr>
        <w:ind w:left="760" w:hanging="378"/>
        <w:spacing w:after="0"/>
        <w:tabs>
          <w:tab w:leader="none" w:pos="76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clinical trial sites where patients are being treated with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consultants providing services related to process development, regulatory and other services;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CDMOs who are manufacturing commercial-scale quantities of our product candidates.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Actual services performed may vary from our estimates, resulting in adjustments to research and development costs or inventories in future periods.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estimates that result in material changes to our accruals could materially affect our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Fair Value of Warrants</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connection with the Series B convertible preferred stock issuance in November 2018, we issued warrants to purchase shares of common stock of which certain warrants are shown as a liability on the balance sheet. The fair value of the warrants was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prior to the IPO, risk-free interest rate, expected dividend yield, expected volatility of the price of the underlying preferred stock, and the remaining contractual term of the warrants. The most significant assumption in the model impacting the fair value of the common stock warrants is the fair value of our common stock as of each remeasurement date. Prior to the IPO, we determined the fair value per share of the underlying common stock by taking into consideration the most recent sales of preferred stock, results obtained from third-party valuations and additional factors that were deemed relevant.</w:t>
      </w:r>
    </w:p>
    <w:p>
      <w:pPr>
        <w:spacing w:after="0" w:line="7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connection with the drawdown of any Tranche under the Trinity LSA entered into in October 2025, we are required to issue to the Lenders warrants to purchase shares of common stock of which certain warrants are shown as a liability on the balance sheet. The fair value of the warrants was determined based on significant inputs not observable in the market. The fair value of the warrants is determined based on significant inputs not observable in the market. The fair value of the warrants is determined using a hybrid Monte Carlo simulation and Black-Scholes methodology, which</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25" w:name="page126"/>
    <w:bookmarkEnd w:id="125"/>
    <w:p>
      <w:pPr>
        <w:spacing w:after="0" w:line="241" w:lineRule="auto"/>
        <w:rPr>
          <w:sz w:val="20"/>
          <w:szCs w:val="20"/>
          <w:color w:val="auto"/>
        </w:rPr>
      </w:pPr>
      <w:r>
        <w:rPr>
          <w:rFonts w:ascii="Arial" w:cs="Arial" w:eastAsia="Arial" w:hAnsi="Arial"/>
          <w:sz w:val="17"/>
          <w:szCs w:val="17"/>
          <w:color w:val="auto"/>
        </w:rPr>
        <w:t>incorporates assumptions and estimates to value the common stock warrants. Key inputs, estimates, and assumptions impacting the fair value measurement include the Company stock price, risk-free interest rate, expected dividend yield, volatility, remaining contractual term of the warrants, timing of milestone achievements, and expected stock price increases and decreases in success and failure scenarios related to the milestones. The most significant assumptions in the model impacting the fair value of the common stock warrants is the volatility of the Company’s common stock, and expected stock price increases or decreases on the respective milestone dates.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0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measure stock options and other stock-based awards granted to our employees, directors, consultants, advisors based on the fair value on the date of the grant. We recognize compensation expense over the requisite service period, which is generally the vesting period of the respective award. We recognize forfeitures as they occur. For stock-based awards granted to non-employees, compensation expense is recognized over the vesting period which approximates the period over which services are rendered by such non-employees.</w:t>
      </w:r>
    </w:p>
    <w:p>
      <w:pPr>
        <w:spacing w:after="0" w:line="6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estimate the fair value of each stock option grant on the date of grant using the Black-Scholes option-pricing model, which uses as inputs the fair value of our common stock and assumptions we make for the expected volatility of our common stock, the expected term of our stock options, the risk-free interest rate for a period that approximates the expected term of our stock options, and our expected dividend yield.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description of recent accounting pronouncements that may potentially impact our financial position, results of operations, or cash flows is disclosed in Note 2 to our consolidated financial statements included elsewhere in this Annual Report on Form 10-K.</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0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w:t>
      </w:r>
    </w:p>
    <w:p>
      <w:pPr>
        <w:spacing w:after="0" w:line="1" w:lineRule="exact"/>
        <w:rPr>
          <w:sz w:val="20"/>
          <w:szCs w:val="20"/>
          <w:color w:val="auto"/>
        </w:rPr>
      </w:pPr>
    </w:p>
    <w:p>
      <w:pPr>
        <w:ind w:right="80" w:firstLine="8"/>
        <w:spacing w:after="0" w:line="248" w:lineRule="auto"/>
        <w:tabs>
          <w:tab w:leader="none" w:pos="256"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0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0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Our consolidated financial statements, together with the report of our independent registered public accounting firm, appear beginning on page F-1 of this Annual Report for the year ended December 31, 2025.</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10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2025.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02"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020" w:right="580" w:hanging="503"/>
        <w:spacing w:after="0" w:line="266" w:lineRule="auto"/>
        <w:tabs>
          <w:tab w:leader="none" w:pos="102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 company’s assets;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65"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5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Under the supervision of and with the participation of our principal executive officer and principal financial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27" w:name="page128"/>
    <w:bookmarkEnd w:id="127"/>
    <w:p>
      <w:pPr>
        <w:spacing w:after="0" w:line="249" w:lineRule="auto"/>
        <w:rPr>
          <w:sz w:val="20"/>
          <w:szCs w:val="20"/>
          <w:color w:val="auto"/>
        </w:rPr>
      </w:pPr>
      <w:r>
        <w:rPr>
          <w:rFonts w:ascii="Arial" w:cs="Arial" w:eastAsia="Arial" w:hAnsi="Arial"/>
          <w:sz w:val="17"/>
          <w:szCs w:val="17"/>
          <w:color w:val="auto"/>
        </w:rPr>
        <w:t>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spacing w:after="0" w:line="6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2" w:lineRule="exact"/>
        <w:rPr>
          <w:sz w:val="20"/>
          <w:szCs w:val="20"/>
          <w:color w:val="auto"/>
        </w:rPr>
      </w:pPr>
    </w:p>
    <w:p>
      <w:pPr>
        <w:jc w:val="both"/>
        <w:ind w:right="400"/>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three months ended December 31, 2025 that has materially affected, or is reasonably likely to materially affect, our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0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During the three months ended December 31, 2025,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March 10, 2026, we entered into that certain First Amendment to Loan and Security Agreement among the Company and Trinity Capital Inc. (the First Amendment to Trinity LSA). The First Amendment to Trinity LSA amended our financial covenant such that the period in which we are required, if our market capitalization is less than $550 million, to maintain minimum cash and cash equivalents of 67.5% of all of the aggregate principal amount of outstanding obligations under the Trinity LSA shall be through the date that we have raised at least $93.5 million in unrestricted net cash proceeds from one or more bona fide equity financings and/or upfront proceeds from business development after the Closing Date (as defined in the Trinity LSA). The First Amendment to Trinity LSA also makes corresponding amendments and additions to defined terms.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8" w:name="page129"/>
    <w:bookmarkEnd w:id="128"/>
    <w:p>
      <w:pPr>
        <w:ind w:left="5300"/>
        <w:spacing w:after="0"/>
        <w:rPr>
          <w:sz w:val="20"/>
          <w:szCs w:val="20"/>
          <w:color w:val="auto"/>
        </w:rPr>
      </w:pPr>
      <w:r>
        <w:rPr>
          <w:rFonts w:ascii="Arial" w:cs="Arial" w:eastAsia="Arial" w:hAnsi="Arial"/>
          <w:sz w:val="17"/>
          <w:szCs w:val="17"/>
          <w:b w:val="1"/>
          <w:bCs w:val="1"/>
          <w:color w:val="auto"/>
        </w:rPr>
        <w:t>PART III</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Securities and Exchange Commission (SEC) with respect to our 2026 Annual Meeting of Stockholders and is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0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2026 Annual Meeting of Stockholders and is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0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2026 Annual Meeting of Stockholders and is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0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2026 Annual Meeting of Stockholders and is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public accounting firm is KPMG LLP, Boston, Massachusetts, PCAOB Auditor ID 185.</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2026 Annual Meeting of Stockholders and is incorporated herein by reference.</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17"/>
          <w:szCs w:val="17"/>
          <w:b w:val="1"/>
          <w:bCs w:val="1"/>
          <w:color w:val="auto"/>
        </w:rPr>
        <w:t>PART IV</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0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For a list of the financial statements included herein, see Index to the Consolidated Financial Statements on page F-1 of this Annual Report on Form 10-K, incorporated into this Item by reference.</w:t>
      </w:r>
    </w:p>
    <w:p>
      <w:pPr>
        <w:spacing w:after="0" w:line="51"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35"/>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6"/>
        </w:trPr>
        <w:tc>
          <w:tcPr>
            <w:tcW w:w="1260" w:type="dxa"/>
            <w:vAlign w:val="bottom"/>
          </w:tcPr>
          <w:p>
            <w:pPr>
              <w:spacing w:after="0" w:line="155" w:lineRule="exact"/>
              <w:rPr>
                <w:sz w:val="20"/>
                <w:szCs w:val="20"/>
                <w:color w:val="auto"/>
              </w:rPr>
            </w:pPr>
            <w:r>
              <w:rPr>
                <w:rFonts w:ascii="Arial" w:cs="Arial" w:eastAsia="Arial" w:hAnsi="Arial"/>
                <w:sz w:val="17"/>
                <w:szCs w:val="17"/>
                <w:color w:val="auto"/>
              </w:rPr>
              <w:t>3.1</w:t>
            </w:r>
          </w:p>
        </w:tc>
        <w:tc>
          <w:tcPr>
            <w:tcW w:w="240" w:type="dxa"/>
            <w:vAlign w:val="bottom"/>
          </w:tcPr>
          <w:p>
            <w:pPr>
              <w:spacing w:after="0"/>
              <w:rPr>
                <w:sz w:val="13"/>
                <w:szCs w:val="13"/>
                <w:color w:val="auto"/>
              </w:rPr>
            </w:pPr>
          </w:p>
        </w:tc>
        <w:tc>
          <w:tcPr>
            <w:tcW w:w="9800" w:type="dxa"/>
            <w:vAlign w:val="bottom"/>
            <w:gridSpan w:val="43"/>
          </w:tcPr>
          <w:p>
            <w:pPr>
              <w:spacing w:after="0" w:line="155" w:lineRule="exact"/>
              <w:rPr>
                <w:rFonts w:ascii="Arial" w:cs="Arial" w:eastAsia="Arial" w:hAnsi="Arial"/>
                <w:sz w:val="17"/>
                <w:szCs w:val="17"/>
                <w:color w:val="0000FF"/>
              </w:rPr>
            </w:pPr>
            <w:hyperlink r:id="rId174">
              <w:r>
                <w:rPr>
                  <w:rFonts w:ascii="Arial" w:cs="Arial" w:eastAsia="Arial" w:hAnsi="Arial"/>
                  <w:sz w:val="17"/>
                  <w:szCs w:val="17"/>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60" w:type="dxa"/>
            <w:vAlign w:val="bottom"/>
            <w:tcBorders>
              <w:top w:val="single" w:sz="8" w:color="0000FF"/>
            </w:tcBorders>
            <w:gridSpan w:val="36"/>
          </w:tcPr>
          <w:p>
            <w:pPr>
              <w:spacing w:after="0" w:line="169" w:lineRule="exact"/>
              <w:rPr>
                <w:rFonts w:ascii="Arial" w:cs="Arial" w:eastAsia="Arial" w:hAnsi="Arial"/>
                <w:sz w:val="17"/>
                <w:szCs w:val="17"/>
                <w:color w:val="0000FF"/>
              </w:rPr>
            </w:pPr>
            <w:hyperlink r:id="rId174">
              <w:r>
                <w:rPr>
                  <w:rFonts w:ascii="Arial" w:cs="Arial" w:eastAsia="Arial" w:hAnsi="Arial"/>
                  <w:sz w:val="17"/>
                  <w:szCs w:val="17"/>
                  <w:color w:val="0000FF"/>
                </w:rPr>
                <w:t>Registrant’s Current Report on Form 8-K filed with the SEC on July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line="169" w:lineRule="exact"/>
              <w:rPr>
                <w:sz w:val="20"/>
                <w:szCs w:val="20"/>
                <w:color w:val="auto"/>
              </w:rPr>
            </w:pPr>
            <w:r>
              <w:rPr>
                <w:rFonts w:ascii="Arial" w:cs="Arial" w:eastAsia="Arial" w:hAnsi="Arial"/>
                <w:sz w:val="17"/>
                <w:szCs w:val="17"/>
                <w:color w:val="auto"/>
              </w:rPr>
              <w:t>3.2</w:t>
            </w:r>
          </w:p>
        </w:tc>
        <w:tc>
          <w:tcPr>
            <w:tcW w:w="240" w:type="dxa"/>
            <w:vAlign w:val="bottom"/>
          </w:tcPr>
          <w:p>
            <w:pPr>
              <w:spacing w:after="0"/>
              <w:rPr>
                <w:sz w:val="14"/>
                <w:szCs w:val="14"/>
                <w:color w:val="auto"/>
              </w:rPr>
            </w:pPr>
          </w:p>
        </w:tc>
        <w:tc>
          <w:tcPr>
            <w:tcW w:w="5820" w:type="dxa"/>
            <w:vAlign w:val="bottom"/>
            <w:tcBorders>
              <w:top w:val="single" w:sz="8" w:color="0000FF"/>
            </w:tcBorders>
            <w:gridSpan w:val="13"/>
          </w:tcPr>
          <w:p>
            <w:pPr>
              <w:spacing w:after="0" w:line="169" w:lineRule="exact"/>
              <w:rPr>
                <w:rFonts w:ascii="Arial" w:cs="Arial" w:eastAsia="Arial" w:hAnsi="Arial"/>
                <w:sz w:val="17"/>
                <w:szCs w:val="17"/>
                <w:color w:val="0000FF"/>
                <w:w w:val="99"/>
              </w:rPr>
            </w:pPr>
            <w:hyperlink r:id="rId175">
              <w:r>
                <w:rPr>
                  <w:rFonts w:ascii="Arial" w:cs="Arial" w:eastAsia="Arial" w:hAnsi="Arial"/>
                  <w:sz w:val="17"/>
                  <w:szCs w:val="17"/>
                  <w:color w:val="0000FF"/>
                  <w:w w:val="99"/>
                </w:rPr>
                <w:t>Amended and Restated Bylaws of Candel Therapeutics, Inc. (incorporated by</w:t>
              </w:r>
            </w:hyperlink>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gridSpan w:val="27"/>
          </w:tcPr>
          <w:p>
            <w:pPr>
              <w:ind w:left="20"/>
              <w:spacing w:after="0" w:line="169" w:lineRule="exact"/>
              <w:rPr>
                <w:rFonts w:ascii="Arial" w:cs="Arial" w:eastAsia="Arial" w:hAnsi="Arial"/>
                <w:sz w:val="17"/>
                <w:szCs w:val="17"/>
                <w:color w:val="0000FF"/>
              </w:rPr>
            </w:pPr>
            <w:hyperlink r:id="rId175">
              <w:r>
                <w:rPr>
                  <w:rFonts w:ascii="Arial" w:cs="Arial" w:eastAsia="Arial" w:hAnsi="Arial"/>
                  <w:sz w:val="17"/>
                  <w:szCs w:val="17"/>
                  <w:color w:val="0000FF"/>
                </w:rPr>
                <w:t>reference to Exhibit 3.2 to the Registrant’s Current</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w w:val="99"/>
              </w:rPr>
            </w:pPr>
            <w:hyperlink r:id="rId175">
              <w:r>
                <w:rPr>
                  <w:rFonts w:ascii="Arial" w:cs="Arial" w:eastAsia="Arial" w:hAnsi="Arial"/>
                  <w:sz w:val="17"/>
                  <w:szCs w:val="17"/>
                  <w:color w:val="0000FF"/>
                  <w:w w:val="99"/>
                </w:rPr>
                <w:t>Report on Form 8-K filed with the SEC on July 30,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50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43"/>
          </w:tcPr>
          <w:p>
            <w:pPr>
              <w:spacing w:after="0" w:line="169" w:lineRule="exact"/>
              <w:rPr>
                <w:rFonts w:ascii="Arial" w:cs="Arial" w:eastAsia="Arial" w:hAnsi="Arial"/>
                <w:sz w:val="17"/>
                <w:szCs w:val="17"/>
                <w:color w:val="0000FF"/>
              </w:rPr>
            </w:pPr>
            <w:hyperlink r:id="rId176">
              <w:r>
                <w:rPr>
                  <w:rFonts w:ascii="Arial" w:cs="Arial" w:eastAsia="Arial" w:hAnsi="Arial"/>
                  <w:sz w:val="17"/>
                  <w:szCs w:val="17"/>
                  <w:color w:val="0000FF"/>
                </w:rPr>
                <w:t>Amendment to the Amended and Restated Bylaws of Candel Therapeutics, Inc. (incorporated by reference to Exhibit 3.1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5"/>
          </w:tcPr>
          <w:p>
            <w:pPr>
              <w:spacing w:after="0" w:line="169" w:lineRule="exact"/>
              <w:rPr>
                <w:rFonts w:ascii="Arial" w:cs="Arial" w:eastAsia="Arial" w:hAnsi="Arial"/>
                <w:sz w:val="17"/>
                <w:szCs w:val="17"/>
                <w:color w:val="0000FF"/>
              </w:rPr>
            </w:pPr>
            <w:hyperlink r:id="rId176">
              <w:r>
                <w:rPr>
                  <w:rFonts w:ascii="Arial" w:cs="Arial" w:eastAsia="Arial" w:hAnsi="Arial"/>
                  <w:sz w:val="17"/>
                  <w:szCs w:val="17"/>
                  <w:color w:val="0000FF"/>
                </w:rPr>
                <w:t>Registrant's Current Report on Form 8-K filed with the SEC on May 30, 2024)</w:t>
              </w:r>
            </w:hyperlink>
          </w:p>
        </w:tc>
        <w:tc>
          <w:tcPr>
            <w:tcW w:w="20" w:type="dxa"/>
            <w:vAlign w:val="bottom"/>
            <w:tcBorders>
              <w:top w:val="single" w:sz="8" w:color="0000FF"/>
              <w:bottom w:val="single" w:sz="8" w:color="0000EE"/>
            </w:tcBorders>
          </w:tcPr>
          <w:p>
            <w:pPr>
              <w:spacing w:after="0"/>
              <w:rPr>
                <w:sz w:val="14"/>
                <w:szCs w:val="14"/>
                <w:color w:val="auto"/>
              </w:rPr>
            </w:pPr>
          </w:p>
        </w:tc>
        <w:tc>
          <w:tcPr>
            <w:tcW w:w="376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880" w:type="dxa"/>
            <w:vAlign w:val="bottom"/>
            <w:gridSpan w:val="16"/>
          </w:tcPr>
          <w:p>
            <w:pPr>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Specimen Common Stock Certificate (incorporated by reference to Exhibit 4.1</w:t>
              </w:r>
            </w:hyperlink>
          </w:p>
        </w:tc>
        <w:tc>
          <w:tcPr>
            <w:tcW w:w="3920" w:type="dxa"/>
            <w:vAlign w:val="bottom"/>
            <w:gridSpan w:val="27"/>
          </w:tcPr>
          <w:p>
            <w:pPr>
              <w:jc w:val="right"/>
              <w:ind w:right="480"/>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to the Registrant’s Registration Statement 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rPr>
                <w:sz w:val="14"/>
                <w:szCs w:val="14"/>
                <w:color w:val="auto"/>
              </w:rPr>
            </w:pPr>
          </w:p>
        </w:tc>
        <w:tc>
          <w:tcPr>
            <w:tcW w:w="9380" w:type="dxa"/>
            <w:vAlign w:val="bottom"/>
            <w:tcBorders>
              <w:top w:val="single" w:sz="8" w:color="0000FF"/>
            </w:tcBorders>
            <w:gridSpan w:val="29"/>
          </w:tcPr>
          <w:p>
            <w:pPr>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Form S-1/A (File No. 333- 257444) filed with the SEC on July 16, 2021)</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380" w:type="dxa"/>
            <w:vAlign w:val="bottom"/>
            <w:tcBorders>
              <w:top w:val="single" w:sz="8" w:color="0000FF"/>
            </w:tcBorders>
            <w:gridSpan w:val="12"/>
          </w:tcPr>
          <w:p>
            <w:pPr>
              <w:spacing w:after="0" w:line="169" w:lineRule="exact"/>
              <w:rPr>
                <w:rFonts w:ascii="Arial" w:cs="Arial" w:eastAsia="Arial" w:hAnsi="Arial"/>
                <w:sz w:val="17"/>
                <w:szCs w:val="17"/>
                <w:color w:val="0000FF"/>
                <w:w w:val="99"/>
              </w:rPr>
            </w:pPr>
            <w:hyperlink r:id="rId178">
              <w:r>
                <w:rPr>
                  <w:rFonts w:ascii="Arial" w:cs="Arial" w:eastAsia="Arial" w:hAnsi="Arial"/>
                  <w:sz w:val="17"/>
                  <w:szCs w:val="17"/>
                  <w:color w:val="0000FF"/>
                  <w:w w:val="99"/>
                </w:rPr>
                <w:t>Description of Securities (incorporated by reference to Exhibit 4.2 to the</w:t>
              </w:r>
            </w:hyperlink>
          </w:p>
        </w:tc>
        <w:tc>
          <w:tcPr>
            <w:tcW w:w="4420" w:type="dxa"/>
            <w:vAlign w:val="bottom"/>
            <w:gridSpan w:val="31"/>
          </w:tcPr>
          <w:p>
            <w:pPr>
              <w:ind w:left="60"/>
              <w:spacing w:after="0" w:line="169" w:lineRule="exact"/>
              <w:rPr>
                <w:rFonts w:ascii="Arial" w:cs="Arial" w:eastAsia="Arial" w:hAnsi="Arial"/>
                <w:sz w:val="17"/>
                <w:szCs w:val="17"/>
                <w:color w:val="0000FF"/>
              </w:rPr>
            </w:pPr>
            <w:hyperlink r:id="rId178">
              <w:r>
                <w:rPr>
                  <w:rFonts w:ascii="Arial" w:cs="Arial" w:eastAsia="Arial" w:hAnsi="Arial"/>
                  <w:sz w:val="17"/>
                  <w:szCs w:val="17"/>
                  <w:color w:val="0000FF"/>
                </w:rPr>
                <w:t>Registrant’s Form 10-K filed with the SEC on March 13,</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4.3</w:t>
            </w:r>
          </w:p>
        </w:tc>
        <w:tc>
          <w:tcPr>
            <w:tcW w:w="240" w:type="dxa"/>
            <w:vAlign w:val="bottom"/>
          </w:tcPr>
          <w:p>
            <w:pPr>
              <w:spacing w:after="0"/>
              <w:rPr>
                <w:sz w:val="14"/>
                <w:szCs w:val="14"/>
                <w:color w:val="auto"/>
              </w:rPr>
            </w:pPr>
          </w:p>
        </w:tc>
        <w:tc>
          <w:tcPr>
            <w:tcW w:w="440" w:type="dxa"/>
            <w:vAlign w:val="bottom"/>
            <w:tcBorders>
              <w:top w:val="single" w:sz="8" w:color="0000FF"/>
            </w:tcBorders>
          </w:tcPr>
          <w:p>
            <w:pPr>
              <w:spacing w:after="0" w:line="169" w:lineRule="exact"/>
              <w:rPr>
                <w:rFonts w:ascii="Arial" w:cs="Arial" w:eastAsia="Arial" w:hAnsi="Arial"/>
                <w:sz w:val="17"/>
                <w:szCs w:val="17"/>
                <w:color w:val="0000FF"/>
                <w:w w:val="91"/>
              </w:rPr>
            </w:pPr>
            <w:hyperlink r:id="rId178">
              <w:r>
                <w:rPr>
                  <w:rFonts w:ascii="Arial" w:cs="Arial" w:eastAsia="Arial" w:hAnsi="Arial"/>
                  <w:sz w:val="17"/>
                  <w:szCs w:val="17"/>
                  <w:color w:val="0000FF"/>
                  <w:w w:val="91"/>
                </w:rPr>
                <w:t>2025)</w:t>
              </w:r>
            </w:hyperlink>
          </w:p>
        </w:tc>
        <w:tc>
          <w:tcPr>
            <w:tcW w:w="64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43"/>
          </w:tcPr>
          <w:p>
            <w:pPr>
              <w:spacing w:after="0" w:line="169" w:lineRule="exact"/>
              <w:rPr>
                <w:rFonts w:ascii="Arial" w:cs="Arial" w:eastAsia="Arial" w:hAnsi="Arial"/>
                <w:sz w:val="17"/>
                <w:szCs w:val="17"/>
                <w:color w:val="0000FF"/>
              </w:rPr>
            </w:pPr>
            <w:hyperlink r:id="rId179">
              <w:r>
                <w:rPr>
                  <w:rFonts w:ascii="Arial" w:cs="Arial" w:eastAsia="Arial" w:hAnsi="Arial"/>
                  <w:sz w:val="17"/>
                  <w:szCs w:val="17"/>
                  <w:color w:val="0000FF"/>
                </w:rPr>
                <w:t>Investors’ Rights Agreement (incorporated by reference to Exhibit 4.2 to the Registrant’s Registration Statement on Form S-1/A</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4.4</w:t>
            </w:r>
          </w:p>
        </w:tc>
        <w:tc>
          <w:tcPr>
            <w:tcW w:w="240" w:type="dxa"/>
            <w:vAlign w:val="bottom"/>
          </w:tcPr>
          <w:p>
            <w:pPr>
              <w:spacing w:after="0"/>
              <w:rPr>
                <w:sz w:val="14"/>
                <w:szCs w:val="14"/>
                <w:color w:val="auto"/>
              </w:rPr>
            </w:pPr>
          </w:p>
        </w:tc>
        <w:tc>
          <w:tcPr>
            <w:tcW w:w="9680" w:type="dxa"/>
            <w:vAlign w:val="bottom"/>
            <w:tcBorders>
              <w:top w:val="single" w:sz="8" w:color="0000FF"/>
            </w:tcBorders>
            <w:gridSpan w:val="37"/>
          </w:tcPr>
          <w:p>
            <w:pPr>
              <w:spacing w:after="0" w:line="169" w:lineRule="exact"/>
              <w:rPr>
                <w:rFonts w:ascii="Arial" w:cs="Arial" w:eastAsia="Arial" w:hAnsi="Arial"/>
                <w:sz w:val="17"/>
                <w:szCs w:val="17"/>
                <w:color w:val="0000FF"/>
              </w:rPr>
            </w:pPr>
            <w:hyperlink r:id="rId179">
              <w:r>
                <w:rPr>
                  <w:rFonts w:ascii="Arial" w:cs="Arial" w:eastAsia="Arial" w:hAnsi="Arial"/>
                  <w:sz w:val="17"/>
                  <w:szCs w:val="17"/>
                  <w:color w:val="0000FF"/>
                </w:rPr>
                <w:t>(File No. 333- 257444) filed with the SEC on June 25,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520" w:type="dxa"/>
            <w:vAlign w:val="bottom"/>
            <w:tcBorders>
              <w:top w:val="single" w:sz="8" w:color="0000FF"/>
            </w:tcBorders>
            <w:gridSpan w:val="9"/>
          </w:tcPr>
          <w:p>
            <w:pPr>
              <w:spacing w:after="0" w:line="169" w:lineRule="exact"/>
              <w:rPr>
                <w:rFonts w:ascii="Arial" w:cs="Arial" w:eastAsia="Arial" w:hAnsi="Arial"/>
                <w:sz w:val="17"/>
                <w:szCs w:val="17"/>
                <w:color w:val="0000FF"/>
                <w:w w:val="99"/>
              </w:rPr>
            </w:pPr>
            <w:hyperlink r:id="rId180">
              <w:r>
                <w:rPr>
                  <w:rFonts w:ascii="Arial" w:cs="Arial" w:eastAsia="Arial" w:hAnsi="Arial"/>
                  <w:sz w:val="17"/>
                  <w:szCs w:val="17"/>
                  <w:color w:val="0000FF"/>
                  <w:w w:val="99"/>
                </w:rPr>
                <w:t>Form of November 2018 Unconditional Warrant to Purchase</w:t>
              </w:r>
            </w:hyperlink>
          </w:p>
        </w:tc>
        <w:tc>
          <w:tcPr>
            <w:tcW w:w="20" w:type="dxa"/>
            <w:vAlign w:val="bottom"/>
            <w:tcBorders>
              <w:top w:val="single" w:sz="8" w:color="0000EE"/>
            </w:tcBorders>
          </w:tcPr>
          <w:p>
            <w:pPr>
              <w:spacing w:after="0"/>
              <w:rPr>
                <w:sz w:val="14"/>
                <w:szCs w:val="14"/>
                <w:color w:val="auto"/>
              </w:rPr>
            </w:pPr>
          </w:p>
        </w:tc>
        <w:tc>
          <w:tcPr>
            <w:tcW w:w="5260" w:type="dxa"/>
            <w:vAlign w:val="bottom"/>
            <w:gridSpan w:val="33"/>
          </w:tcPr>
          <w:p>
            <w:pPr>
              <w:jc w:val="right"/>
              <w:ind w:right="480"/>
              <w:spacing w:after="0" w:line="169" w:lineRule="exact"/>
              <w:rPr>
                <w:rFonts w:ascii="Arial" w:cs="Arial" w:eastAsia="Arial" w:hAnsi="Arial"/>
                <w:sz w:val="17"/>
                <w:szCs w:val="17"/>
                <w:color w:val="0000FF"/>
              </w:rPr>
            </w:pPr>
            <w:hyperlink r:id="rId180">
              <w:r>
                <w:rPr>
                  <w:rFonts w:ascii="Arial" w:cs="Arial" w:eastAsia="Arial" w:hAnsi="Arial"/>
                  <w:sz w:val="17"/>
                  <w:szCs w:val="17"/>
                  <w:color w:val="0000FF"/>
                </w:rPr>
                <w:t>Common Stock (incorporated by reference to Exhibit 4.3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20"/>
          </w:tcPr>
          <w:p>
            <w:pPr>
              <w:spacing w:after="0" w:line="169" w:lineRule="exact"/>
              <w:rPr>
                <w:rFonts w:ascii="Arial" w:cs="Arial" w:eastAsia="Arial" w:hAnsi="Arial"/>
                <w:sz w:val="17"/>
                <w:szCs w:val="17"/>
                <w:color w:val="0000FF"/>
              </w:rPr>
            </w:pPr>
            <w:hyperlink r:id="rId180">
              <w:r>
                <w:rPr>
                  <w:rFonts w:ascii="Arial" w:cs="Arial" w:eastAsia="Arial" w:hAnsi="Arial"/>
                  <w:sz w:val="17"/>
                  <w:szCs w:val="17"/>
                  <w:color w:val="0000FF"/>
                </w:rPr>
                <w:t>Registrant’s Registration Statement on 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10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380" w:type="dxa"/>
            <w:vAlign w:val="bottom"/>
            <w:gridSpan w:val="21"/>
          </w:tcPr>
          <w:p>
            <w:pPr>
              <w:spacing w:after="0" w:line="169" w:lineRule="exact"/>
              <w:rPr>
                <w:rFonts w:ascii="Arial" w:cs="Arial" w:eastAsia="Arial" w:hAnsi="Arial"/>
                <w:sz w:val="17"/>
                <w:szCs w:val="17"/>
                <w:color w:val="0000FF"/>
              </w:rPr>
            </w:pPr>
            <w:hyperlink r:id="rId181">
              <w:r>
                <w:rPr>
                  <w:rFonts w:ascii="Arial" w:cs="Arial" w:eastAsia="Arial" w:hAnsi="Arial"/>
                  <w:sz w:val="17"/>
                  <w:szCs w:val="17"/>
                  <w:color w:val="0000FF"/>
                </w:rPr>
                <w:t>Form of November 2018 Conditional Warrant to Purchase Common Stock (incorporated by reference to Exhibit</w:t>
              </w:r>
            </w:hyperlink>
          </w:p>
        </w:tc>
        <w:tc>
          <w:tcPr>
            <w:tcW w:w="1420" w:type="dxa"/>
            <w:vAlign w:val="bottom"/>
            <w:gridSpan w:val="22"/>
          </w:tcPr>
          <w:p>
            <w:pPr>
              <w:ind w:left="40"/>
              <w:spacing w:after="0" w:line="169" w:lineRule="exact"/>
              <w:rPr>
                <w:rFonts w:ascii="Arial" w:cs="Arial" w:eastAsia="Arial" w:hAnsi="Arial"/>
                <w:sz w:val="17"/>
                <w:szCs w:val="17"/>
                <w:color w:val="0000FF"/>
              </w:rPr>
            </w:pPr>
            <w:hyperlink r:id="rId181">
              <w:r>
                <w:rPr>
                  <w:rFonts w:ascii="Arial" w:cs="Arial" w:eastAsia="Arial" w:hAnsi="Arial"/>
                  <w:sz w:val="17"/>
                  <w:szCs w:val="17"/>
                  <w:color w:val="0000FF"/>
                </w:rPr>
                <w:t>4.4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14"/>
                <w:szCs w:val="14"/>
                <w:color w:val="auto"/>
              </w:rPr>
            </w:pPr>
          </w:p>
        </w:tc>
        <w:tc>
          <w:tcPr>
            <w:tcW w:w="9180" w:type="dxa"/>
            <w:vAlign w:val="bottom"/>
            <w:tcBorders>
              <w:top w:val="single" w:sz="8" w:color="0000FF"/>
            </w:tcBorders>
            <w:gridSpan w:val="26"/>
          </w:tcPr>
          <w:p>
            <w:pPr>
              <w:spacing w:after="0" w:line="169" w:lineRule="exact"/>
              <w:rPr>
                <w:rFonts w:ascii="Arial" w:cs="Arial" w:eastAsia="Arial" w:hAnsi="Arial"/>
                <w:sz w:val="17"/>
                <w:szCs w:val="17"/>
                <w:color w:val="0000FF"/>
              </w:rPr>
            </w:pPr>
            <w:hyperlink r:id="rId181">
              <w:r>
                <w:rPr>
                  <w:rFonts w:ascii="Arial" w:cs="Arial" w:eastAsia="Arial" w:hAnsi="Arial"/>
                  <w:sz w:val="17"/>
                  <w:szCs w:val="17"/>
                  <w:color w:val="0000FF"/>
                </w:rPr>
                <w:t>Registrant’s Registration Statement on Form S-1/A (File No. 333- 257444) filed with the SEC on July 16, 2021)</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360" w:type="dxa"/>
            <w:vAlign w:val="bottom"/>
            <w:tcBorders>
              <w:top w:val="single" w:sz="8" w:color="0000FF"/>
            </w:tcBorders>
            <w:gridSpan w:val="20"/>
          </w:tcPr>
          <w:p>
            <w:pPr>
              <w:spacing w:after="0" w:line="169" w:lineRule="exact"/>
              <w:rPr>
                <w:rFonts w:ascii="Arial" w:cs="Arial" w:eastAsia="Arial" w:hAnsi="Arial"/>
                <w:sz w:val="17"/>
                <w:szCs w:val="17"/>
                <w:color w:val="0000FF"/>
              </w:rPr>
            </w:pPr>
            <w:hyperlink r:id="rId182">
              <w:r>
                <w:rPr>
                  <w:rFonts w:ascii="Arial" w:cs="Arial" w:eastAsia="Arial" w:hAnsi="Arial"/>
                  <w:sz w:val="17"/>
                  <w:szCs w:val="17"/>
                  <w:color w:val="0000FF"/>
                </w:rPr>
                <w:t>Form of Warrant to Purchase Series A Convertible Preferred Stock (incorporated by reference to Exhibit 4.5 to</w:t>
              </w:r>
            </w:hyperlink>
          </w:p>
        </w:tc>
        <w:tc>
          <w:tcPr>
            <w:tcW w:w="1440" w:type="dxa"/>
            <w:vAlign w:val="bottom"/>
            <w:gridSpan w:val="23"/>
          </w:tcPr>
          <w:p>
            <w:pPr>
              <w:spacing w:after="0" w:line="169" w:lineRule="exact"/>
              <w:rPr>
                <w:rFonts w:ascii="Arial" w:cs="Arial" w:eastAsia="Arial" w:hAnsi="Arial"/>
                <w:sz w:val="17"/>
                <w:szCs w:val="17"/>
                <w:color w:val="0000FF"/>
              </w:rPr>
            </w:pPr>
            <w:hyperlink r:id="rId182">
              <w:r>
                <w:rPr>
                  <w:rFonts w:ascii="Arial" w:cs="Arial" w:eastAsia="Arial" w:hAnsi="Arial"/>
                  <w:sz w:val="17"/>
                  <w:szCs w:val="17"/>
                  <w:color w:val="0000FF"/>
                </w:rPr>
                <w:t>the Registrant’s</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4"/>
                <w:szCs w:val="14"/>
                <w:color w:val="auto"/>
              </w:rPr>
            </w:pPr>
          </w:p>
        </w:tc>
        <w:tc>
          <w:tcPr>
            <w:tcW w:w="960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182">
              <w:r>
                <w:rPr>
                  <w:rFonts w:ascii="Arial" w:cs="Arial" w:eastAsia="Arial" w:hAnsi="Arial"/>
                  <w:sz w:val="17"/>
                  <w:szCs w:val="17"/>
                  <w:color w:val="0000FF"/>
                </w:rPr>
                <w:t>Registration Statement on Form S-1/A (File No. 333- 257444) filed with the SEC on June 25, 2021)</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60" w:type="dxa"/>
            <w:vAlign w:val="bottom"/>
            <w:tcBorders>
              <w:top w:val="single" w:sz="8" w:color="0000FF"/>
            </w:tcBorders>
            <w:gridSpan w:val="18"/>
          </w:tcPr>
          <w:p>
            <w:pPr>
              <w:spacing w:after="0" w:line="169" w:lineRule="exact"/>
              <w:rPr>
                <w:rFonts w:ascii="Arial" w:cs="Arial" w:eastAsia="Arial" w:hAnsi="Arial"/>
                <w:sz w:val="17"/>
                <w:szCs w:val="17"/>
                <w:color w:val="0000FF"/>
                <w:w w:val="99"/>
              </w:rPr>
            </w:pPr>
            <w:hyperlink r:id="rId183">
              <w:r>
                <w:rPr>
                  <w:rFonts w:ascii="Arial" w:cs="Arial" w:eastAsia="Arial" w:hAnsi="Arial"/>
                  <w:sz w:val="17"/>
                  <w:szCs w:val="17"/>
                  <w:color w:val="0000FF"/>
                  <w:w w:val="99"/>
                </w:rPr>
                <w:t>Form of Lender Warrant (incorporated by reference to Exhibit 4.1 to the Registrant’s Current Report</w:t>
              </w:r>
            </w:hyperlink>
          </w:p>
        </w:tc>
        <w:tc>
          <w:tcPr>
            <w:tcW w:w="20" w:type="dxa"/>
            <w:vAlign w:val="bottom"/>
            <w:tcBorders>
              <w:top w:val="single" w:sz="8" w:color="0000EE"/>
            </w:tcBorders>
          </w:tcPr>
          <w:p>
            <w:pPr>
              <w:spacing w:after="0"/>
              <w:rPr>
                <w:sz w:val="14"/>
                <w:szCs w:val="14"/>
                <w:color w:val="auto"/>
              </w:rPr>
            </w:pPr>
          </w:p>
        </w:tc>
        <w:tc>
          <w:tcPr>
            <w:tcW w:w="2320" w:type="dxa"/>
            <w:vAlign w:val="bottom"/>
            <w:gridSpan w:val="24"/>
          </w:tcPr>
          <w:p>
            <w:pPr>
              <w:ind w:left="80"/>
              <w:spacing w:after="0" w:line="169" w:lineRule="exact"/>
              <w:rPr>
                <w:rFonts w:ascii="Arial" w:cs="Arial" w:eastAsia="Arial" w:hAnsi="Arial"/>
                <w:sz w:val="17"/>
                <w:szCs w:val="17"/>
                <w:color w:val="0000FF"/>
              </w:rPr>
            </w:pPr>
            <w:hyperlink r:id="rId183">
              <w:r>
                <w:rPr>
                  <w:rFonts w:ascii="Arial" w:cs="Arial" w:eastAsia="Arial" w:hAnsi="Arial"/>
                  <w:sz w:val="17"/>
                  <w:szCs w:val="17"/>
                  <w:color w:val="0000FF"/>
                </w:rPr>
                <w:t>on Form 8-K filed with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10.1#</w:t>
            </w:r>
          </w:p>
        </w:tc>
        <w:tc>
          <w:tcPr>
            <w:tcW w:w="240" w:type="dxa"/>
            <w:vAlign w:val="bottom"/>
          </w:tcPr>
          <w:p>
            <w:pPr>
              <w:spacing w:after="0"/>
              <w:rPr>
                <w:sz w:val="14"/>
                <w:szCs w:val="14"/>
                <w:color w:val="auto"/>
              </w:rPr>
            </w:pPr>
          </w:p>
        </w:tc>
        <w:tc>
          <w:tcPr>
            <w:tcW w:w="9540" w:type="dxa"/>
            <w:vAlign w:val="bottom"/>
            <w:tcBorders>
              <w:top w:val="single" w:sz="8" w:color="0000FF"/>
            </w:tcBorders>
            <w:gridSpan w:val="31"/>
          </w:tcPr>
          <w:p>
            <w:pPr>
              <w:spacing w:after="0" w:line="169" w:lineRule="exact"/>
              <w:rPr>
                <w:rFonts w:ascii="Arial" w:cs="Arial" w:eastAsia="Arial" w:hAnsi="Arial"/>
                <w:sz w:val="17"/>
                <w:szCs w:val="17"/>
                <w:color w:val="0000FF"/>
              </w:rPr>
            </w:pPr>
            <w:hyperlink r:id="rId183">
              <w:r>
                <w:rPr>
                  <w:rFonts w:ascii="Arial" w:cs="Arial" w:eastAsia="Arial" w:hAnsi="Arial"/>
                  <w:sz w:val="17"/>
                  <w:szCs w:val="17"/>
                  <w:color w:val="0000FF"/>
                </w:rPr>
                <w:t>SEC on October 14, 2025)</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43"/>
          </w:tcPr>
          <w:p>
            <w:pPr>
              <w:spacing w:after="0" w:line="169" w:lineRule="exact"/>
              <w:rPr>
                <w:rFonts w:ascii="Arial" w:cs="Arial" w:eastAsia="Arial" w:hAnsi="Arial"/>
                <w:sz w:val="17"/>
                <w:szCs w:val="17"/>
                <w:color w:val="0000FF"/>
              </w:rPr>
            </w:pPr>
            <w:hyperlink r:id="rId184">
              <w:r>
                <w:rPr>
                  <w:rFonts w:ascii="Arial" w:cs="Arial" w:eastAsia="Arial" w:hAnsi="Arial"/>
                  <w:sz w:val="17"/>
                  <w:szCs w:val="17"/>
                  <w:color w:val="0000FF"/>
                </w:rPr>
                <w:t>2015 Stock Plan, as amended, and forms of award agreements thereunder (incorporated by reference to Exhibit 10.1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10.2#</w:t>
            </w:r>
          </w:p>
        </w:tc>
        <w:tc>
          <w:tcPr>
            <w:tcW w:w="2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20"/>
          </w:tcPr>
          <w:p>
            <w:pPr>
              <w:spacing w:after="0" w:line="169" w:lineRule="exact"/>
              <w:rPr>
                <w:rFonts w:ascii="Arial" w:cs="Arial" w:eastAsia="Arial" w:hAnsi="Arial"/>
                <w:sz w:val="17"/>
                <w:szCs w:val="17"/>
                <w:color w:val="0000FF"/>
              </w:rPr>
            </w:pPr>
            <w:hyperlink r:id="rId184">
              <w:r>
                <w:rPr>
                  <w:rFonts w:ascii="Arial" w:cs="Arial" w:eastAsia="Arial" w:hAnsi="Arial"/>
                  <w:sz w:val="17"/>
                  <w:szCs w:val="17"/>
                  <w:color w:val="0000FF"/>
                </w:rPr>
                <w:t>Registrant’s Registration Statement on 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98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43"/>
          </w:tcPr>
          <w:p>
            <w:pPr>
              <w:spacing w:after="0" w:line="169" w:lineRule="exact"/>
              <w:rPr>
                <w:rFonts w:ascii="Arial" w:cs="Arial" w:eastAsia="Arial" w:hAnsi="Arial"/>
                <w:sz w:val="17"/>
                <w:szCs w:val="17"/>
                <w:color w:val="0000FF"/>
              </w:rPr>
            </w:pPr>
            <w:hyperlink r:id="rId185">
              <w:r>
                <w:rPr>
                  <w:rFonts w:ascii="Arial" w:cs="Arial" w:eastAsia="Arial" w:hAnsi="Arial"/>
                  <w:sz w:val="17"/>
                  <w:szCs w:val="17"/>
                  <w:color w:val="0000FF"/>
                </w:rPr>
                <w:t>2021 Stock Option and Incentive Plan and forms of award agreements thereunder (incorporated by reference to Exhibit 10.2 to</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14"/>
                <w:szCs w:val="14"/>
                <w:color w:val="auto"/>
              </w:rPr>
            </w:pPr>
          </w:p>
        </w:tc>
        <w:tc>
          <w:tcPr>
            <w:tcW w:w="8640" w:type="dxa"/>
            <w:vAlign w:val="bottom"/>
            <w:tcBorders>
              <w:top w:val="single" w:sz="8" w:color="0000FF"/>
              <w:bottom w:val="single" w:sz="8" w:color="0000FF"/>
            </w:tcBorders>
            <w:gridSpan w:val="22"/>
          </w:tcPr>
          <w:p>
            <w:pPr>
              <w:spacing w:after="0" w:line="169" w:lineRule="exact"/>
              <w:rPr>
                <w:rFonts w:ascii="Arial" w:cs="Arial" w:eastAsia="Arial" w:hAnsi="Arial"/>
                <w:sz w:val="17"/>
                <w:szCs w:val="17"/>
                <w:color w:val="0000FF"/>
              </w:rPr>
            </w:pPr>
            <w:hyperlink r:id="rId185">
              <w:r>
                <w:rPr>
                  <w:rFonts w:ascii="Arial" w:cs="Arial" w:eastAsia="Arial" w:hAnsi="Arial"/>
                  <w:sz w:val="17"/>
                  <w:szCs w:val="17"/>
                  <w:color w:val="0000FF"/>
                </w:rPr>
                <w:t>the Registrant’s Registration Statement on 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960" w:type="dxa"/>
            <w:vAlign w:val="bottom"/>
            <w:tcBorders>
              <w:top w:val="single" w:sz="8" w:color="0000FF"/>
            </w:tcBorders>
            <w:gridSpan w:val="11"/>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43"/>
          </w:tcPr>
          <w:p>
            <w:pPr>
              <w:spacing w:after="0" w:line="169" w:lineRule="exact"/>
              <w:rPr>
                <w:rFonts w:ascii="Arial" w:cs="Arial" w:eastAsia="Arial" w:hAnsi="Arial"/>
                <w:sz w:val="17"/>
                <w:szCs w:val="17"/>
                <w:color w:val="0000FF"/>
              </w:rPr>
            </w:pPr>
            <w:hyperlink r:id="rId186">
              <w:r>
                <w:rPr>
                  <w:rFonts w:ascii="Arial" w:cs="Arial" w:eastAsia="Arial" w:hAnsi="Arial"/>
                  <w:sz w:val="17"/>
                  <w:szCs w:val="17"/>
                  <w:color w:val="0000FF"/>
                </w:rPr>
                <w:t>Senior Executive Cash Incentive Bonus Plan (incorporated by reference to Exhibit 10.3 to the Registrant’s Registration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10.4#</w:t>
            </w:r>
          </w:p>
        </w:tc>
        <w:tc>
          <w:tcPr>
            <w:tcW w:w="240" w:type="dxa"/>
            <w:vAlign w:val="bottom"/>
          </w:tcPr>
          <w:p>
            <w:pPr>
              <w:spacing w:after="0"/>
              <w:rPr>
                <w:sz w:val="14"/>
                <w:szCs w:val="14"/>
                <w:color w:val="auto"/>
              </w:rPr>
            </w:pPr>
          </w:p>
        </w:tc>
        <w:tc>
          <w:tcPr>
            <w:tcW w:w="8980" w:type="dxa"/>
            <w:vAlign w:val="bottom"/>
            <w:tcBorders>
              <w:top w:val="single" w:sz="8" w:color="0000FF"/>
            </w:tcBorders>
            <w:gridSpan w:val="24"/>
          </w:tcPr>
          <w:p>
            <w:pPr>
              <w:spacing w:after="0" w:line="169" w:lineRule="exact"/>
              <w:rPr>
                <w:rFonts w:ascii="Arial" w:cs="Arial" w:eastAsia="Arial" w:hAnsi="Arial"/>
                <w:sz w:val="17"/>
                <w:szCs w:val="17"/>
                <w:color w:val="0000FF"/>
              </w:rPr>
            </w:pPr>
            <w:hyperlink r:id="rId186">
              <w:r>
                <w:rPr>
                  <w:rFonts w:ascii="Arial" w:cs="Arial" w:eastAsia="Arial" w:hAnsi="Arial"/>
                  <w:sz w:val="17"/>
                  <w:szCs w:val="17"/>
                  <w:color w:val="0000FF"/>
                </w:rPr>
                <w:t>Statement on Form S-1/A (File No. 333- 257444) filed with the SEC on July 16, 2021)</w:t>
              </w:r>
            </w:hyperlink>
          </w:p>
        </w:tc>
        <w:tc>
          <w:tcPr>
            <w:tcW w:w="1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2"/>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1680" w:type="dxa"/>
            <w:vAlign w:val="bottom"/>
            <w:tcBorders>
              <w:right w:val="single" w:sz="8" w:color="0000EE"/>
            </w:tcBorders>
            <w:gridSpan w:val="6"/>
            <w:shd w:val="clear" w:color="auto" w:fill="0000FF"/>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43"/>
          </w:tcPr>
          <w:p>
            <w:pPr>
              <w:spacing w:after="0" w:line="169" w:lineRule="exact"/>
              <w:rPr>
                <w:rFonts w:ascii="Arial" w:cs="Arial" w:eastAsia="Arial" w:hAnsi="Arial"/>
                <w:sz w:val="17"/>
                <w:szCs w:val="17"/>
                <w:color w:val="0000FF"/>
              </w:rPr>
            </w:pPr>
            <w:hyperlink r:id="rId187">
              <w:r>
                <w:rPr>
                  <w:rFonts w:ascii="Arial" w:cs="Arial" w:eastAsia="Arial" w:hAnsi="Arial"/>
                  <w:sz w:val="17"/>
                  <w:szCs w:val="17"/>
                  <w:color w:val="0000FF"/>
                </w:rPr>
                <w:t>Employee Stock Purchase Plan (incorporated by reference to Exhibit 10.4 to the Registrant’s Registration Statement on Form S-</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10.5#</w:t>
            </w:r>
          </w:p>
        </w:tc>
        <w:tc>
          <w:tcPr>
            <w:tcW w:w="240" w:type="dxa"/>
            <w:vAlign w:val="bottom"/>
          </w:tcPr>
          <w:p>
            <w:pPr>
              <w:spacing w:after="0"/>
              <w:rPr>
                <w:sz w:val="14"/>
                <w:szCs w:val="14"/>
                <w:color w:val="auto"/>
              </w:rPr>
            </w:pPr>
          </w:p>
        </w:tc>
        <w:tc>
          <w:tcPr>
            <w:tcW w:w="9740" w:type="dxa"/>
            <w:vAlign w:val="bottom"/>
            <w:tcBorders>
              <w:top w:val="single" w:sz="8" w:color="0000FF"/>
            </w:tcBorders>
            <w:gridSpan w:val="40"/>
          </w:tcPr>
          <w:p>
            <w:pPr>
              <w:spacing w:after="0" w:line="169" w:lineRule="exact"/>
              <w:rPr>
                <w:rFonts w:ascii="Arial" w:cs="Arial" w:eastAsia="Arial" w:hAnsi="Arial"/>
                <w:sz w:val="17"/>
                <w:szCs w:val="17"/>
                <w:color w:val="0000FF"/>
              </w:rPr>
            </w:pPr>
            <w:hyperlink r:id="rId187">
              <w:r>
                <w:rPr>
                  <w:rFonts w:ascii="Arial" w:cs="Arial" w:eastAsia="Arial" w:hAnsi="Arial"/>
                  <w:sz w:val="17"/>
                  <w:szCs w:val="17"/>
                  <w:color w:val="0000FF"/>
                </w:rPr>
                <w:t>1/A (File No. 333- 257444) filed with the SEC on July 16,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gridSpan w:val="5"/>
            <w:shd w:val="clear" w:color="auto" w:fill="0000FF"/>
          </w:tcPr>
          <w:p>
            <w:pPr>
              <w:spacing w:after="0" w:line="20" w:lineRule="exact"/>
              <w:rPr>
                <w:sz w:val="1"/>
                <w:szCs w:val="1"/>
                <w:color w:val="auto"/>
              </w:rPr>
            </w:pPr>
          </w:p>
        </w:tc>
        <w:tc>
          <w:tcPr>
            <w:tcW w:w="4380" w:type="dxa"/>
            <w:vAlign w:val="bottom"/>
            <w:gridSpan w:val="1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43"/>
          </w:tcPr>
          <w:p>
            <w:pPr>
              <w:spacing w:after="0" w:line="169" w:lineRule="exact"/>
              <w:rPr>
                <w:rFonts w:ascii="Arial" w:cs="Arial" w:eastAsia="Arial" w:hAnsi="Arial"/>
                <w:sz w:val="17"/>
                <w:szCs w:val="17"/>
                <w:color w:val="0000FF"/>
              </w:rPr>
            </w:pPr>
            <w:hyperlink r:id="rId188">
              <w:r>
                <w:rPr>
                  <w:rFonts w:ascii="Arial" w:cs="Arial" w:eastAsia="Arial" w:hAnsi="Arial"/>
                  <w:sz w:val="17"/>
                  <w:szCs w:val="17"/>
                  <w:color w:val="0000FF"/>
                </w:rPr>
                <w:t>Employment Agreement by and between Advantagene, Inc. d/b/a Candel Therapeutics and Paul Peter Tak, M.D., Ph.D. dated</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60" w:type="dxa"/>
            <w:vAlign w:val="bottom"/>
            <w:tcBorders>
              <w:top w:val="single" w:sz="8" w:color="0000FF"/>
              <w:bottom w:val="single" w:sz="8" w:color="0000FF"/>
            </w:tcBorders>
            <w:gridSpan w:val="32"/>
          </w:tcPr>
          <w:p>
            <w:pPr>
              <w:spacing w:after="0" w:line="169" w:lineRule="exact"/>
              <w:rPr>
                <w:rFonts w:ascii="Arial" w:cs="Arial" w:eastAsia="Arial" w:hAnsi="Arial"/>
                <w:sz w:val="17"/>
                <w:szCs w:val="17"/>
                <w:color w:val="0000FF"/>
                <w:w w:val="99"/>
              </w:rPr>
            </w:pPr>
            <w:hyperlink r:id="rId188">
              <w:r>
                <w:rPr>
                  <w:rFonts w:ascii="Arial" w:cs="Arial" w:eastAsia="Arial" w:hAnsi="Arial"/>
                  <w:sz w:val="17"/>
                  <w:szCs w:val="17"/>
                  <w:color w:val="0000FF"/>
                  <w:w w:val="99"/>
                </w:rPr>
                <w:t>September 12, 2020 (incorporated by reference to Exhibit 10.5.1 to the Registrant’s Registration Statement on Form S-1/A (File</w:t>
              </w:r>
            </w:hyperlink>
          </w:p>
        </w:tc>
        <w:tc>
          <w:tcPr>
            <w:tcW w:w="140" w:type="dxa"/>
            <w:vAlign w:val="bottom"/>
            <w:tcBorders>
              <w:bottom w:val="single" w:sz="8" w:color="0000FF"/>
            </w:tcBorders>
            <w:gridSpan w:val="6"/>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10.6#</w:t>
            </w:r>
          </w:p>
        </w:tc>
        <w:tc>
          <w:tcPr>
            <w:tcW w:w="240" w:type="dxa"/>
            <w:vAlign w:val="bottom"/>
          </w:tcPr>
          <w:p>
            <w:pPr>
              <w:spacing w:after="0"/>
              <w:rPr>
                <w:sz w:val="14"/>
                <w:szCs w:val="14"/>
                <w:color w:val="auto"/>
              </w:rPr>
            </w:pPr>
          </w:p>
        </w:tc>
        <w:tc>
          <w:tcPr>
            <w:tcW w:w="4080" w:type="dxa"/>
            <w:vAlign w:val="bottom"/>
            <w:tcBorders>
              <w:bottom w:val="single" w:sz="8" w:color="0000FF"/>
            </w:tcBorders>
            <w:gridSpan w:val="5"/>
          </w:tcPr>
          <w:p>
            <w:pPr>
              <w:spacing w:after="0" w:line="169" w:lineRule="exact"/>
              <w:rPr>
                <w:rFonts w:ascii="Arial" w:cs="Arial" w:eastAsia="Arial" w:hAnsi="Arial"/>
                <w:sz w:val="17"/>
                <w:szCs w:val="17"/>
                <w:color w:val="0000FF"/>
                <w:w w:val="99"/>
              </w:rPr>
            </w:pPr>
            <w:hyperlink r:id="rId188">
              <w:r>
                <w:rPr>
                  <w:rFonts w:ascii="Arial" w:cs="Arial" w:eastAsia="Arial" w:hAnsi="Arial"/>
                  <w:sz w:val="17"/>
                  <w:szCs w:val="17"/>
                  <w:color w:val="0000FF"/>
                  <w:w w:val="99"/>
                </w:rPr>
                <w:t>No. 333- 257444) filed with the SEC on July 16, 2021)</w:t>
              </w:r>
            </w:hyperlink>
          </w:p>
        </w:tc>
        <w:tc>
          <w:tcPr>
            <w:tcW w:w="20" w:type="dxa"/>
            <w:vAlign w:val="bottom"/>
            <w:tcBorders>
              <w:bottom w:val="single" w:sz="8" w:color="0000EE"/>
            </w:tcBorders>
          </w:tcPr>
          <w:p>
            <w:pPr>
              <w:spacing w:after="0"/>
              <w:rPr>
                <w:sz w:val="14"/>
                <w:szCs w:val="14"/>
                <w:color w:val="auto"/>
              </w:rPr>
            </w:pPr>
          </w:p>
        </w:tc>
        <w:tc>
          <w:tcPr>
            <w:tcW w:w="5620" w:type="dxa"/>
            <w:vAlign w:val="bottom"/>
            <w:gridSpan w:val="3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100" w:type="dxa"/>
            <w:vAlign w:val="bottom"/>
            <w:gridSpan w:val="6"/>
          </w:tcPr>
          <w:p>
            <w:pPr>
              <w:spacing w:after="0" w:line="169" w:lineRule="exact"/>
              <w:rPr>
                <w:rFonts w:ascii="Arial" w:cs="Arial" w:eastAsia="Arial" w:hAnsi="Arial"/>
                <w:sz w:val="17"/>
                <w:szCs w:val="17"/>
                <w:color w:val="0000FF"/>
              </w:rPr>
            </w:pPr>
            <w:hyperlink r:id="rId189">
              <w:r>
                <w:rPr>
                  <w:rFonts w:ascii="Arial" w:cs="Arial" w:eastAsia="Arial" w:hAnsi="Arial"/>
                  <w:sz w:val="17"/>
                  <w:szCs w:val="17"/>
                  <w:color w:val="0000FF"/>
                </w:rPr>
                <w:t>Form of Indemnification Agreement (incorporated by</w:t>
              </w:r>
            </w:hyperlink>
          </w:p>
        </w:tc>
        <w:tc>
          <w:tcPr>
            <w:tcW w:w="5700" w:type="dxa"/>
            <w:vAlign w:val="bottom"/>
            <w:gridSpan w:val="37"/>
          </w:tcPr>
          <w:p>
            <w:pPr>
              <w:spacing w:after="0" w:line="169" w:lineRule="exact"/>
              <w:rPr>
                <w:rFonts w:ascii="Arial" w:cs="Arial" w:eastAsia="Arial" w:hAnsi="Arial"/>
                <w:sz w:val="17"/>
                <w:szCs w:val="17"/>
                <w:color w:val="0000FF"/>
              </w:rPr>
            </w:pPr>
            <w:hyperlink r:id="rId189">
              <w:r>
                <w:rPr>
                  <w:rFonts w:ascii="Arial" w:cs="Arial" w:eastAsia="Arial" w:hAnsi="Arial"/>
                  <w:sz w:val="17"/>
                  <w:szCs w:val="17"/>
                  <w:color w:val="0000FF"/>
                </w:rPr>
                <w:t>reference to Exhibit 10.6 to the Registrant’s Registration Statement 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10.7</w:t>
            </w:r>
          </w:p>
        </w:tc>
        <w:tc>
          <w:tcPr>
            <w:tcW w:w="240" w:type="dxa"/>
            <w:vAlign w:val="bottom"/>
          </w:tcPr>
          <w:p>
            <w:pPr>
              <w:spacing w:after="0"/>
              <w:rPr>
                <w:sz w:val="14"/>
                <w:szCs w:val="14"/>
                <w:color w:val="auto"/>
              </w:rPr>
            </w:pPr>
          </w:p>
        </w:tc>
        <w:tc>
          <w:tcPr>
            <w:tcW w:w="9340" w:type="dxa"/>
            <w:vAlign w:val="bottom"/>
            <w:tcBorders>
              <w:top w:val="single" w:sz="8" w:color="0000FF"/>
            </w:tcBorders>
            <w:gridSpan w:val="27"/>
          </w:tcPr>
          <w:p>
            <w:pPr>
              <w:spacing w:after="0" w:line="169" w:lineRule="exact"/>
              <w:rPr>
                <w:rFonts w:ascii="Arial" w:cs="Arial" w:eastAsia="Arial" w:hAnsi="Arial"/>
                <w:sz w:val="17"/>
                <w:szCs w:val="17"/>
                <w:color w:val="0000FF"/>
              </w:rPr>
            </w:pPr>
            <w:hyperlink r:id="rId189">
              <w:r>
                <w:rPr>
                  <w:rFonts w:ascii="Arial" w:cs="Arial" w:eastAsia="Arial" w:hAnsi="Arial"/>
                  <w:sz w:val="17"/>
                  <w:szCs w:val="17"/>
                  <w:color w:val="0000FF"/>
                </w:rPr>
                <w:t>Form S-1/A (File No. 333- 257444) filed with the SEC on July 16, 2021)</w:t>
              </w:r>
            </w:hyperlink>
          </w:p>
        </w:tc>
        <w:tc>
          <w:tcPr>
            <w:tcW w:w="60" w:type="dxa"/>
            <w:vAlign w:val="bottom"/>
            <w:gridSpan w:val="3"/>
          </w:tcPr>
          <w:p>
            <w:pPr>
              <w:spacing w:after="0"/>
              <w:rPr>
                <w:sz w:val="14"/>
                <w:szCs w:val="14"/>
                <w:color w:val="auto"/>
              </w:rPr>
            </w:pPr>
          </w:p>
        </w:tc>
        <w:tc>
          <w:tcPr>
            <w:tcW w:w="30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380" w:type="dxa"/>
            <w:vAlign w:val="bottom"/>
            <w:tcBorders>
              <w:top w:val="single" w:sz="8" w:color="0000FF"/>
            </w:tcBorders>
            <w:gridSpan w:val="12"/>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Exclusive License Agreement by and between Advantagene, Inc. and</w:t>
              </w:r>
            </w:hyperlink>
          </w:p>
        </w:tc>
        <w:tc>
          <w:tcPr>
            <w:tcW w:w="4420" w:type="dxa"/>
            <w:vAlign w:val="bottom"/>
            <w:gridSpan w:val="31"/>
          </w:tcPr>
          <w:p>
            <w:pPr>
              <w:jc w:val="right"/>
              <w:ind w:right="480"/>
              <w:spacing w:after="0" w:line="169" w:lineRule="exact"/>
              <w:rPr>
                <w:rFonts w:ascii="Arial" w:cs="Arial" w:eastAsia="Arial" w:hAnsi="Arial"/>
                <w:sz w:val="17"/>
                <w:szCs w:val="17"/>
                <w:color w:val="0000FF"/>
                <w:w w:val="97"/>
              </w:rPr>
            </w:pPr>
            <w:hyperlink r:id="rId190">
              <w:r>
                <w:rPr>
                  <w:rFonts w:ascii="Arial" w:cs="Arial" w:eastAsia="Arial" w:hAnsi="Arial"/>
                  <w:sz w:val="17"/>
                  <w:szCs w:val="17"/>
                  <w:color w:val="0000FF"/>
                  <w:w w:val="97"/>
                </w:rPr>
                <w:t>Ventagen, LLC dated March 1, 2014 (incorporated by</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0" w:type="dxa"/>
            <w:vAlign w:val="bottom"/>
            <w:tcBorders>
              <w:top w:val="single" w:sz="8" w:color="0000FF"/>
            </w:tcBorders>
            <w:gridSpan w:val="30"/>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reference to Exhibit 10.7 to the Registrant’s Registration Statement on Form S-1/A (File No. 333- 257444) filed with the SEC</w:t>
              </w:r>
            </w:hyperlink>
          </w:p>
        </w:tc>
        <w:tc>
          <w:tcPr>
            <w:tcW w:w="400" w:type="dxa"/>
            <w:vAlign w:val="bottom"/>
            <w:gridSpan w:val="13"/>
          </w:tcPr>
          <w:p>
            <w:pPr>
              <w:ind w:left="20"/>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spacing w:after="0"/>
              <w:rPr>
                <w:sz w:val="20"/>
                <w:szCs w:val="20"/>
                <w:color w:val="auto"/>
              </w:rPr>
            </w:pPr>
            <w:r>
              <w:rPr>
                <w:rFonts w:ascii="Arial" w:cs="Arial" w:eastAsia="Arial" w:hAnsi="Arial"/>
                <w:sz w:val="17"/>
                <w:szCs w:val="17"/>
                <w:color w:val="auto"/>
              </w:rPr>
              <w:t>10.8</w:t>
            </w:r>
          </w:p>
        </w:tc>
        <w:tc>
          <w:tcPr>
            <w:tcW w:w="240" w:type="dxa"/>
            <w:vAlign w:val="bottom"/>
          </w:tcPr>
          <w:p>
            <w:pPr>
              <w:spacing w:after="0"/>
              <w:rPr>
                <w:sz w:val="14"/>
                <w:szCs w:val="14"/>
                <w:color w:val="auto"/>
              </w:rPr>
            </w:pPr>
          </w:p>
        </w:tc>
        <w:tc>
          <w:tcPr>
            <w:tcW w:w="9700" w:type="dxa"/>
            <w:vAlign w:val="bottom"/>
            <w:tcBorders>
              <w:top w:val="single" w:sz="8" w:color="0000FF"/>
            </w:tcBorders>
            <w:gridSpan w:val="38"/>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July 16, 2021)</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400" w:type="dxa"/>
            <w:vAlign w:val="bottom"/>
            <w:gridSpan w:val="21"/>
          </w:tcPr>
          <w:p>
            <w:pPr>
              <w:spacing w:after="0" w:line="20" w:lineRule="exact"/>
              <w:rPr>
                <w:sz w:val="1"/>
                <w:szCs w:val="1"/>
                <w:color w:val="auto"/>
              </w:rPr>
            </w:pPr>
          </w:p>
        </w:tc>
        <w:tc>
          <w:tcPr>
            <w:tcW w:w="60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160" w:type="dxa"/>
            <w:vAlign w:val="bottom"/>
            <w:tcBorders>
              <w:bottom w:val="single" w:sz="8" w:color="0000FF"/>
            </w:tcBorders>
            <w:gridSpan w:val="25"/>
          </w:tcPr>
          <w:p>
            <w:pPr>
              <w:spacing w:after="0" w:line="169" w:lineRule="exact"/>
              <w:rPr>
                <w:rFonts w:ascii="Arial" w:cs="Arial" w:eastAsia="Arial" w:hAnsi="Arial"/>
                <w:sz w:val="17"/>
                <w:szCs w:val="17"/>
                <w:color w:val="0000FF"/>
              </w:rPr>
            </w:pPr>
            <w:hyperlink r:id="rId191">
              <w:r>
                <w:rPr>
                  <w:rFonts w:ascii="Arial" w:cs="Arial" w:eastAsia="Arial" w:hAnsi="Arial"/>
                  <w:sz w:val="17"/>
                  <w:szCs w:val="17"/>
                  <w:color w:val="0000FF"/>
                </w:rPr>
                <w:t>Exclusive License Agreement by and between Advantagene, Inc., d/b/a Candel Therapeutics and Periphagen, Inc. dated</w:t>
              </w:r>
            </w:hyperlink>
          </w:p>
        </w:tc>
        <w:tc>
          <w:tcPr>
            <w:tcW w:w="64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43"/>
          </w:tcPr>
          <w:p>
            <w:pPr>
              <w:spacing w:after="0" w:line="169" w:lineRule="exact"/>
              <w:rPr>
                <w:rFonts w:ascii="Arial" w:cs="Arial" w:eastAsia="Arial" w:hAnsi="Arial"/>
                <w:sz w:val="17"/>
                <w:szCs w:val="17"/>
                <w:color w:val="0000FF"/>
              </w:rPr>
            </w:pPr>
            <w:hyperlink r:id="rId191">
              <w:r>
                <w:rPr>
                  <w:rFonts w:ascii="Arial" w:cs="Arial" w:eastAsia="Arial" w:hAnsi="Arial"/>
                  <w:sz w:val="17"/>
                  <w:szCs w:val="17"/>
                  <w:color w:val="0000FF"/>
                </w:rPr>
                <w:t>December 9, 2019 (incorporated by reference to Exhibit 10.8 to the Registrant’s Registration Statement on Form S-1/A (File No.</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60" w:type="dxa"/>
            <w:vAlign w:val="bottom"/>
            <w:tcBorders>
              <w:top w:val="single" w:sz="8" w:color="0000FF"/>
            </w:tcBorders>
            <w:gridSpan w:val="41"/>
          </w:tcPr>
          <w:p>
            <w:pPr>
              <w:spacing w:after="0" w:line="169" w:lineRule="exact"/>
              <w:rPr>
                <w:rFonts w:ascii="Arial" w:cs="Arial" w:eastAsia="Arial" w:hAnsi="Arial"/>
                <w:sz w:val="17"/>
                <w:szCs w:val="17"/>
                <w:color w:val="0000FF"/>
              </w:rPr>
            </w:pPr>
            <w:hyperlink r:id="rId191">
              <w:r>
                <w:rPr>
                  <w:rFonts w:ascii="Arial" w:cs="Arial" w:eastAsia="Arial" w:hAnsi="Arial"/>
                  <w:sz w:val="17"/>
                  <w:szCs w:val="17"/>
                  <w:color w:val="0000FF"/>
                </w:rPr>
                <w:t>333- 257444) filed with the SEC on July 16, 2021)</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tcBorders>
              <w:top w:val="single" w:sz="8" w:color="0000FF"/>
            </w:tcBorders>
            <w:gridSpan w:val="4"/>
          </w:tcPr>
          <w:p>
            <w:pPr>
              <w:spacing w:after="0"/>
              <w:rPr>
                <w:sz w:val="24"/>
                <w:szCs w:val="24"/>
                <w:color w:val="auto"/>
              </w:rPr>
            </w:pPr>
          </w:p>
        </w:tc>
        <w:tc>
          <w:tcPr>
            <w:tcW w:w="760" w:type="dxa"/>
            <w:vAlign w:val="bottom"/>
            <w:gridSpan w:val="5"/>
          </w:tcPr>
          <w:p>
            <w:pPr>
              <w:jc w:val="right"/>
              <w:ind w:right="188"/>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Arial" w:cs="Arial" w:eastAsia="Arial" w:hAnsi="Arial"/>
                <w:sz w:val="17"/>
                <w:szCs w:val="17"/>
                <w:color w:val="auto"/>
              </w:rPr>
              <w:t>10.9</w:t>
            </w:r>
          </w:p>
        </w:tc>
        <w:tc>
          <w:tcPr>
            <w:tcW w:w="9760" w:type="dxa"/>
            <w:vAlign w:val="bottom"/>
            <w:gridSpan w:val="50"/>
          </w:tcPr>
          <w:p>
            <w:pPr>
              <w:spacing w:after="0"/>
              <w:rPr>
                <w:rFonts w:ascii="Arial" w:cs="Arial" w:eastAsia="Arial" w:hAnsi="Arial"/>
                <w:sz w:val="17"/>
                <w:szCs w:val="17"/>
                <w:color w:val="0000FF"/>
              </w:rPr>
            </w:pPr>
            <w:hyperlink r:id="rId194">
              <w:r>
                <w:rPr>
                  <w:rFonts w:ascii="Arial" w:cs="Arial" w:eastAsia="Arial" w:hAnsi="Arial"/>
                  <w:sz w:val="17"/>
                  <w:szCs w:val="17"/>
                  <w:color w:val="0000FF"/>
                </w:rPr>
                <w:t>Exclusive Patent License Agreement by and between Advantagene, Inc. and Mass General Brigham (formerly known as The</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460" w:type="dxa"/>
            <w:vAlign w:val="bottom"/>
            <w:tcBorders>
              <w:top w:val="single" w:sz="8" w:color="0000FF"/>
              <w:bottom w:val="single" w:sz="8" w:color="0000FF"/>
            </w:tcBorders>
            <w:gridSpan w:val="36"/>
          </w:tcPr>
          <w:p>
            <w:pPr>
              <w:spacing w:after="0" w:line="169" w:lineRule="exact"/>
              <w:rPr>
                <w:rFonts w:ascii="Arial" w:cs="Arial" w:eastAsia="Arial" w:hAnsi="Arial"/>
                <w:sz w:val="17"/>
                <w:szCs w:val="17"/>
                <w:color w:val="0000FF"/>
                <w:w w:val="99"/>
              </w:rPr>
            </w:pPr>
            <w:hyperlink r:id="rId194">
              <w:r>
                <w:rPr>
                  <w:rFonts w:ascii="Arial" w:cs="Arial" w:eastAsia="Arial" w:hAnsi="Arial"/>
                  <w:sz w:val="17"/>
                  <w:szCs w:val="17"/>
                  <w:color w:val="0000FF"/>
                  <w:w w:val="99"/>
                </w:rPr>
                <w:t>Brigham and Women’s Hospital, Inc.) dated September 15, 2020 (incorporated by reference to Exhibit 10.9 to the Registrant’s</w:t>
              </w:r>
            </w:hyperlink>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10.10</w:t>
            </w:r>
          </w:p>
        </w:tc>
        <w:tc>
          <w:tcPr>
            <w:tcW w:w="9540" w:type="dxa"/>
            <w:vAlign w:val="bottom"/>
            <w:gridSpan w:val="39"/>
          </w:tcPr>
          <w:p>
            <w:pPr>
              <w:spacing w:after="0" w:line="169" w:lineRule="exact"/>
              <w:rPr>
                <w:rFonts w:ascii="Arial" w:cs="Arial" w:eastAsia="Arial" w:hAnsi="Arial"/>
                <w:sz w:val="17"/>
                <w:szCs w:val="17"/>
                <w:color w:val="0000FF"/>
              </w:rPr>
            </w:pPr>
            <w:hyperlink r:id="rId194">
              <w:r>
                <w:rPr>
                  <w:rFonts w:ascii="Arial" w:cs="Arial" w:eastAsia="Arial" w:hAnsi="Arial"/>
                  <w:sz w:val="17"/>
                  <w:szCs w:val="17"/>
                  <w:color w:val="0000FF"/>
                </w:rPr>
                <w:t>Registration Statement on Form S-1/A (File No. 333- 257444) filed with the SEC on July 16,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7400" w:type="dxa"/>
            <w:vAlign w:val="bottom"/>
            <w:tcBorders>
              <w:top w:val="single" w:sz="8" w:color="0000FF"/>
            </w:tcBorders>
            <w:gridSpan w:val="22"/>
          </w:tcPr>
          <w:p>
            <w:pPr>
              <w:spacing w:after="0" w:line="169" w:lineRule="exact"/>
              <w:rPr>
                <w:rFonts w:ascii="Arial" w:cs="Arial" w:eastAsia="Arial" w:hAnsi="Arial"/>
                <w:sz w:val="17"/>
                <w:szCs w:val="17"/>
                <w:color w:val="0000FF"/>
                <w:w w:val="98"/>
              </w:rPr>
            </w:pPr>
            <w:hyperlink r:id="rId195">
              <w:r>
                <w:rPr>
                  <w:rFonts w:ascii="Arial" w:cs="Arial" w:eastAsia="Arial" w:hAnsi="Arial"/>
                  <w:sz w:val="17"/>
                  <w:szCs w:val="17"/>
                  <w:color w:val="0000FF"/>
                  <w:w w:val="98"/>
                </w:rPr>
                <w:t>Lease of Premises at 117 Kendrick Street, Needham, Massachusetts by and between 117 Kendrick</w:t>
              </w:r>
            </w:hyperlink>
          </w:p>
        </w:tc>
        <w:tc>
          <w:tcPr>
            <w:tcW w:w="20" w:type="dxa"/>
            <w:vAlign w:val="bottom"/>
            <w:tcBorders>
              <w:top w:val="single" w:sz="8" w:color="0000EE"/>
            </w:tcBorders>
          </w:tcPr>
          <w:p>
            <w:pPr>
              <w:spacing w:after="0"/>
              <w:rPr>
                <w:sz w:val="14"/>
                <w:szCs w:val="14"/>
                <w:color w:val="auto"/>
              </w:rPr>
            </w:pPr>
          </w:p>
        </w:tc>
        <w:tc>
          <w:tcPr>
            <w:tcW w:w="2340" w:type="dxa"/>
            <w:vAlign w:val="bottom"/>
            <w:gridSpan w:val="27"/>
          </w:tcPr>
          <w:p>
            <w:pPr>
              <w:ind w:left="140"/>
              <w:spacing w:after="0" w:line="169" w:lineRule="exact"/>
              <w:rPr>
                <w:rFonts w:ascii="Arial" w:cs="Arial" w:eastAsia="Arial" w:hAnsi="Arial"/>
                <w:sz w:val="17"/>
                <w:szCs w:val="17"/>
                <w:color w:val="0000FF"/>
              </w:rPr>
            </w:pPr>
            <w:hyperlink r:id="rId195">
              <w:r>
                <w:rPr>
                  <w:rFonts w:ascii="Arial" w:cs="Arial" w:eastAsia="Arial" w:hAnsi="Arial"/>
                  <w:sz w:val="17"/>
                  <w:szCs w:val="17"/>
                  <w:color w:val="0000FF"/>
                </w:rPr>
                <w:t>DE, LLC and the Registrant</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700" w:type="dxa"/>
            <w:vAlign w:val="bottom"/>
            <w:tcBorders>
              <w:top w:val="single" w:sz="8" w:color="0000FF"/>
            </w:tcBorders>
            <w:gridSpan w:val="47"/>
          </w:tcPr>
          <w:p>
            <w:pPr>
              <w:spacing w:after="0" w:line="169" w:lineRule="exact"/>
              <w:rPr>
                <w:rFonts w:ascii="Arial" w:cs="Arial" w:eastAsia="Arial" w:hAnsi="Arial"/>
                <w:sz w:val="17"/>
                <w:szCs w:val="17"/>
                <w:color w:val="0000FF"/>
              </w:rPr>
            </w:pPr>
            <w:hyperlink r:id="rId195">
              <w:r>
                <w:rPr>
                  <w:rFonts w:ascii="Arial" w:cs="Arial" w:eastAsia="Arial" w:hAnsi="Arial"/>
                  <w:sz w:val="17"/>
                  <w:szCs w:val="17"/>
                  <w:color w:val="0000FF"/>
                </w:rPr>
                <w:t>dated as of February 4, 2019 (incorporated by reference to Exhibit 10.10 to the Registrant’s Registration Statement on Form 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10.11#</w:t>
            </w:r>
          </w:p>
        </w:tc>
        <w:tc>
          <w:tcPr>
            <w:tcW w:w="9580" w:type="dxa"/>
            <w:vAlign w:val="bottom"/>
            <w:tcBorders>
              <w:top w:val="single" w:sz="8" w:color="0000FF"/>
            </w:tcBorders>
            <w:gridSpan w:val="41"/>
          </w:tcPr>
          <w:p>
            <w:pPr>
              <w:spacing w:after="0" w:line="169" w:lineRule="exact"/>
              <w:rPr>
                <w:rFonts w:ascii="Arial" w:cs="Arial" w:eastAsia="Arial" w:hAnsi="Arial"/>
                <w:sz w:val="17"/>
                <w:szCs w:val="17"/>
                <w:color w:val="0000FF"/>
              </w:rPr>
            </w:pPr>
            <w:hyperlink r:id="rId195">
              <w:r>
                <w:rPr>
                  <w:rFonts w:ascii="Arial" w:cs="Arial" w:eastAsia="Arial" w:hAnsi="Arial"/>
                  <w:sz w:val="17"/>
                  <w:szCs w:val="17"/>
                  <w:color w:val="0000FF"/>
                </w:rPr>
                <w:t>1/A (File No. 333- 257444) filed with the SEC on July 16,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4760" w:type="dxa"/>
            <w:vAlign w:val="bottom"/>
            <w:tcBorders>
              <w:top w:val="single" w:sz="8" w:color="0000FF"/>
              <w:bottom w:val="single" w:sz="8" w:color="0000FF"/>
            </w:tcBorders>
            <w:gridSpan w:val="14"/>
          </w:tcPr>
          <w:p>
            <w:pPr>
              <w:spacing w:after="0" w:line="169" w:lineRule="exact"/>
              <w:rPr>
                <w:rFonts w:ascii="Arial" w:cs="Arial" w:eastAsia="Arial" w:hAnsi="Arial"/>
                <w:sz w:val="17"/>
                <w:szCs w:val="17"/>
                <w:color w:val="0000FF"/>
              </w:rPr>
            </w:pPr>
            <w:hyperlink r:id="rId196">
              <w:r>
                <w:rPr>
                  <w:rFonts w:ascii="Arial" w:cs="Arial" w:eastAsia="Arial" w:hAnsi="Arial"/>
                  <w:sz w:val="17"/>
                  <w:szCs w:val="17"/>
                  <w:color w:val="0000FF"/>
                </w:rPr>
                <w:t>Employment Agreement by and between Candel Therapeutics,</w:t>
              </w:r>
            </w:hyperlink>
          </w:p>
        </w:tc>
        <w:tc>
          <w:tcPr>
            <w:tcW w:w="3960" w:type="dxa"/>
            <w:vAlign w:val="bottom"/>
            <w:tcBorders>
              <w:bottom w:val="single" w:sz="8" w:color="0000FF"/>
            </w:tcBorders>
            <w:gridSpan w:val="12"/>
          </w:tcPr>
          <w:p>
            <w:pPr>
              <w:ind w:left="40"/>
              <w:spacing w:after="0" w:line="169" w:lineRule="exact"/>
              <w:rPr>
                <w:rFonts w:ascii="Arial" w:cs="Arial" w:eastAsia="Arial" w:hAnsi="Arial"/>
                <w:sz w:val="17"/>
                <w:szCs w:val="17"/>
                <w:color w:val="0000FF"/>
              </w:rPr>
            </w:pPr>
            <w:hyperlink r:id="rId196">
              <w:r>
                <w:rPr>
                  <w:rFonts w:ascii="Arial" w:cs="Arial" w:eastAsia="Arial" w:hAnsi="Arial"/>
                  <w:sz w:val="17"/>
                  <w:szCs w:val="17"/>
                  <w:color w:val="0000FF"/>
                </w:rPr>
                <w:t>Inc. and Francesca Barone dated February 3, 2022</w:t>
              </w:r>
            </w:hyperlink>
          </w:p>
        </w:tc>
        <w:tc>
          <w:tcPr>
            <w:tcW w:w="104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760" w:type="dxa"/>
            <w:vAlign w:val="bottom"/>
            <w:gridSpan w:val="50"/>
          </w:tcPr>
          <w:p>
            <w:pPr>
              <w:spacing w:after="0" w:line="169" w:lineRule="exact"/>
              <w:rPr>
                <w:rFonts w:ascii="Arial" w:cs="Arial" w:eastAsia="Arial" w:hAnsi="Arial"/>
                <w:sz w:val="17"/>
                <w:szCs w:val="17"/>
                <w:color w:val="0000FF"/>
              </w:rPr>
            </w:pPr>
            <w:hyperlink r:id="rId196">
              <w:r>
                <w:rPr>
                  <w:rFonts w:ascii="Arial" w:cs="Arial" w:eastAsia="Arial" w:hAnsi="Arial"/>
                  <w:sz w:val="17"/>
                  <w:szCs w:val="17"/>
                  <w:color w:val="0000FF"/>
                </w:rPr>
                <w:t>(incorporated by reference to Exhibit 10.12 to the Registrant's Annual Report on Form 10-K filed with the SEC on March 29,</w:t>
              </w:r>
            </w:hyperlink>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10.12#</w:t>
            </w:r>
          </w:p>
        </w:tc>
        <w:tc>
          <w:tcPr>
            <w:tcW w:w="440" w:type="dxa"/>
            <w:vAlign w:val="bottom"/>
            <w:tcBorders>
              <w:top w:val="single" w:sz="8" w:color="0000FF"/>
            </w:tcBorders>
          </w:tcPr>
          <w:p>
            <w:pPr>
              <w:spacing w:after="0" w:line="169" w:lineRule="exact"/>
              <w:rPr>
                <w:rFonts w:ascii="Arial" w:cs="Arial" w:eastAsia="Arial" w:hAnsi="Arial"/>
                <w:sz w:val="17"/>
                <w:szCs w:val="17"/>
                <w:color w:val="0000FF"/>
                <w:w w:val="91"/>
              </w:rPr>
            </w:pPr>
            <w:hyperlink r:id="rId196">
              <w:r>
                <w:rPr>
                  <w:rFonts w:ascii="Arial" w:cs="Arial" w:eastAsia="Arial" w:hAnsi="Arial"/>
                  <w:sz w:val="17"/>
                  <w:szCs w:val="17"/>
                  <w:color w:val="0000FF"/>
                  <w:w w:val="91"/>
                </w:rPr>
                <w:t>2022)</w:t>
              </w:r>
            </w:hyperlink>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continue"/>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9760" w:type="dxa"/>
            <w:vAlign w:val="bottom"/>
            <w:gridSpan w:val="50"/>
          </w:tcPr>
          <w:p>
            <w:pPr>
              <w:spacing w:after="0" w:line="169" w:lineRule="exact"/>
              <w:rPr>
                <w:rFonts w:ascii="Arial" w:cs="Arial" w:eastAsia="Arial" w:hAnsi="Arial"/>
                <w:sz w:val="17"/>
                <w:szCs w:val="17"/>
                <w:color w:val="0000FF"/>
              </w:rPr>
            </w:pPr>
            <w:hyperlink r:id="rId197">
              <w:r>
                <w:rPr>
                  <w:rFonts w:ascii="Arial" w:cs="Arial" w:eastAsia="Arial" w:hAnsi="Arial"/>
                  <w:sz w:val="17"/>
                  <w:szCs w:val="17"/>
                  <w:color w:val="0000FF"/>
                </w:rPr>
                <w:t>Consulting Agreement by and between Candel Therapeutics, Inc. and Susan Stewart dated October 19, 2021 (incorporated by</w:t>
              </w:r>
            </w:hyperlink>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10.13#</w:t>
            </w:r>
          </w:p>
        </w:tc>
        <w:tc>
          <w:tcPr>
            <w:tcW w:w="8520" w:type="dxa"/>
            <w:vAlign w:val="bottom"/>
            <w:tcBorders>
              <w:top w:val="single" w:sz="8" w:color="0000FF"/>
              <w:bottom w:val="single" w:sz="8" w:color="0000FF"/>
            </w:tcBorders>
            <w:gridSpan w:val="24"/>
          </w:tcPr>
          <w:p>
            <w:pPr>
              <w:spacing w:after="0" w:line="169" w:lineRule="exact"/>
              <w:rPr>
                <w:rFonts w:ascii="Arial" w:cs="Arial" w:eastAsia="Arial" w:hAnsi="Arial"/>
                <w:sz w:val="17"/>
                <w:szCs w:val="17"/>
                <w:color w:val="0000FF"/>
              </w:rPr>
            </w:pPr>
            <w:hyperlink r:id="rId197">
              <w:r>
                <w:rPr>
                  <w:rFonts w:ascii="Arial" w:cs="Arial" w:eastAsia="Arial" w:hAnsi="Arial"/>
                  <w:sz w:val="17"/>
                  <w:szCs w:val="17"/>
                  <w:color w:val="0000FF"/>
                </w:rPr>
                <w:t>reference to Exhibit 10.13 to the Registrant's Annual Report on Form 10-K filed with the SEC on March 29,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108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8540" w:type="dxa"/>
            <w:vAlign w:val="bottom"/>
            <w:gridSpan w:val="25"/>
          </w:tcPr>
          <w:p>
            <w:pPr>
              <w:spacing w:after="0" w:line="169" w:lineRule="exact"/>
              <w:rPr>
                <w:rFonts w:ascii="Arial" w:cs="Arial" w:eastAsia="Arial" w:hAnsi="Arial"/>
                <w:sz w:val="17"/>
                <w:szCs w:val="17"/>
                <w:color w:val="0000FF"/>
              </w:rPr>
            </w:pPr>
            <w:hyperlink r:id="rId198">
              <w:r>
                <w:rPr>
                  <w:rFonts w:ascii="Arial" w:cs="Arial" w:eastAsia="Arial" w:hAnsi="Arial"/>
                  <w:sz w:val="17"/>
                  <w:szCs w:val="17"/>
                  <w:color w:val="0000FF"/>
                </w:rPr>
                <w:t>Employment Agreement by and between Candel Therapeutics, Inc. and Seshu Tyagarajan dated April 14, 2022</w:t>
              </w:r>
            </w:hyperlink>
          </w:p>
        </w:tc>
        <w:tc>
          <w:tcPr>
            <w:tcW w:w="1220" w:type="dxa"/>
            <w:vAlign w:val="bottom"/>
            <w:gridSpan w:val="25"/>
          </w:tcPr>
          <w:p>
            <w:pPr>
              <w:jc w:val="right"/>
              <w:ind w:right="60"/>
              <w:spacing w:after="0" w:line="169" w:lineRule="exact"/>
              <w:rPr>
                <w:rFonts w:ascii="Arial" w:cs="Arial" w:eastAsia="Arial" w:hAnsi="Arial"/>
                <w:sz w:val="17"/>
                <w:szCs w:val="17"/>
                <w:color w:val="0000FF"/>
                <w:w w:val="92"/>
              </w:rPr>
            </w:pPr>
            <w:hyperlink r:id="rId198">
              <w:r>
                <w:rPr>
                  <w:rFonts w:ascii="Arial" w:cs="Arial" w:eastAsia="Arial" w:hAnsi="Arial"/>
                  <w:sz w:val="17"/>
                  <w:szCs w:val="17"/>
                  <w:color w:val="0000FF"/>
                  <w:w w:val="92"/>
                </w:rPr>
                <w:t>(incorporated by</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720" w:type="dxa"/>
            <w:vAlign w:val="bottom"/>
            <w:tcBorders>
              <w:top w:val="single" w:sz="8" w:color="0000FF"/>
            </w:tcBorders>
            <w:gridSpan w:val="48"/>
          </w:tcPr>
          <w:p>
            <w:pPr>
              <w:spacing w:after="0" w:line="169" w:lineRule="exact"/>
              <w:rPr>
                <w:rFonts w:ascii="Arial" w:cs="Arial" w:eastAsia="Arial" w:hAnsi="Arial"/>
                <w:sz w:val="17"/>
                <w:szCs w:val="17"/>
                <w:color w:val="0000FF"/>
              </w:rPr>
            </w:pPr>
            <w:hyperlink r:id="rId198">
              <w:r>
                <w:rPr>
                  <w:rFonts w:ascii="Arial" w:cs="Arial" w:eastAsia="Arial" w:hAnsi="Arial"/>
                  <w:sz w:val="17"/>
                  <w:szCs w:val="17"/>
                  <w:color w:val="0000FF"/>
                </w:rPr>
                <w:t>reference to Exhibit 10.8 to the Registrant’s Quarterly Report on Form 10-Q filed with the SEC on May 12,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line="169" w:lineRule="exact"/>
              <w:rPr>
                <w:sz w:val="20"/>
                <w:szCs w:val="20"/>
                <w:color w:val="auto"/>
              </w:rPr>
            </w:pPr>
            <w:r>
              <w:rPr>
                <w:rFonts w:ascii="Arial" w:cs="Arial" w:eastAsia="Arial" w:hAnsi="Arial"/>
                <w:sz w:val="17"/>
                <w:szCs w:val="17"/>
                <w:color w:val="auto"/>
              </w:rPr>
              <w:t>10.14**</w:t>
            </w:r>
          </w:p>
        </w:tc>
        <w:tc>
          <w:tcPr>
            <w:tcW w:w="8520" w:type="dxa"/>
            <w:vAlign w:val="bottom"/>
            <w:tcBorders>
              <w:top w:val="single" w:sz="8" w:color="0000EE"/>
            </w:tcBorders>
            <w:gridSpan w:val="24"/>
          </w:tcPr>
          <w:p>
            <w:pPr>
              <w:spacing w:after="0" w:line="169" w:lineRule="exact"/>
              <w:rPr>
                <w:rFonts w:ascii="Arial" w:cs="Arial" w:eastAsia="Arial" w:hAnsi="Arial"/>
                <w:sz w:val="17"/>
                <w:szCs w:val="17"/>
                <w:color w:val="0000FF"/>
              </w:rPr>
            </w:pPr>
            <w:hyperlink r:id="rId199">
              <w:r>
                <w:rPr>
                  <w:rFonts w:ascii="Arial" w:cs="Arial" w:eastAsia="Arial" w:hAnsi="Arial"/>
                  <w:sz w:val="17"/>
                  <w:szCs w:val="17"/>
                  <w:color w:val="0000FF"/>
                </w:rPr>
                <w:t>Master Production Services Agreement by and between Candel Therapeutics and SAFC Carlsbad, Inc., effective</w:t>
              </w:r>
            </w:hyperlink>
          </w:p>
        </w:tc>
        <w:tc>
          <w:tcPr>
            <w:tcW w:w="1240" w:type="dxa"/>
            <w:vAlign w:val="bottom"/>
            <w:gridSpan w:val="26"/>
          </w:tcPr>
          <w:p>
            <w:pPr>
              <w:ind w:left="40"/>
              <w:spacing w:after="0" w:line="169" w:lineRule="exact"/>
              <w:rPr>
                <w:rFonts w:ascii="Arial" w:cs="Arial" w:eastAsia="Arial" w:hAnsi="Arial"/>
                <w:sz w:val="17"/>
                <w:szCs w:val="17"/>
                <w:color w:val="0000FF"/>
              </w:rPr>
            </w:pPr>
            <w:hyperlink r:id="rId199">
              <w:r>
                <w:rPr>
                  <w:rFonts w:ascii="Arial" w:cs="Arial" w:eastAsia="Arial" w:hAnsi="Arial"/>
                  <w:sz w:val="17"/>
                  <w:szCs w:val="17"/>
                  <w:color w:val="0000FF"/>
                </w:rPr>
                <w:t>November 3,</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600" w:type="dxa"/>
            <w:vAlign w:val="bottom"/>
            <w:tcBorders>
              <w:top w:val="single" w:sz="8" w:color="0000FF"/>
            </w:tcBorders>
            <w:gridSpan w:val="42"/>
          </w:tcPr>
          <w:p>
            <w:pPr>
              <w:spacing w:after="0" w:line="169" w:lineRule="exact"/>
              <w:rPr>
                <w:rFonts w:ascii="Arial" w:cs="Arial" w:eastAsia="Arial" w:hAnsi="Arial"/>
                <w:sz w:val="17"/>
                <w:szCs w:val="17"/>
                <w:color w:val="0000FF"/>
              </w:rPr>
            </w:pPr>
            <w:hyperlink r:id="rId199">
              <w:r>
                <w:rPr>
                  <w:rFonts w:ascii="Arial" w:cs="Arial" w:eastAsia="Arial" w:hAnsi="Arial"/>
                  <w:sz w:val="17"/>
                  <w:szCs w:val="17"/>
                  <w:color w:val="0000FF"/>
                </w:rPr>
                <w:t>2022 (incorporated by reference to Exhibit 10.16 to the Registrant’s Annual Report on Form 10-K filed with the SEC on March</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10.15**</w:t>
            </w:r>
          </w:p>
        </w:tc>
        <w:tc>
          <w:tcPr>
            <w:tcW w:w="720" w:type="dxa"/>
            <w:vAlign w:val="bottom"/>
            <w:tcBorders>
              <w:top w:val="single" w:sz="8" w:color="0000FF"/>
              <w:bottom w:val="single" w:sz="8" w:color="0000FF"/>
            </w:tcBorders>
            <w:gridSpan w:val="2"/>
          </w:tcPr>
          <w:p>
            <w:pPr>
              <w:spacing w:after="0" w:line="169" w:lineRule="exact"/>
              <w:rPr>
                <w:rFonts w:ascii="Arial" w:cs="Arial" w:eastAsia="Arial" w:hAnsi="Arial"/>
                <w:sz w:val="17"/>
                <w:szCs w:val="17"/>
                <w:color w:val="0000FF"/>
                <w:w w:val="97"/>
              </w:rPr>
            </w:pPr>
            <w:hyperlink r:id="rId199">
              <w:r>
                <w:rPr>
                  <w:rFonts w:ascii="Arial" w:cs="Arial" w:eastAsia="Arial" w:hAnsi="Arial"/>
                  <w:sz w:val="17"/>
                  <w:szCs w:val="17"/>
                  <w:color w:val="0000FF"/>
                  <w:w w:val="97"/>
                </w:rPr>
                <w:t>30, 2023)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740" w:type="dxa"/>
            <w:vAlign w:val="bottom"/>
            <w:tcBorders>
              <w:bottom w:val="single" w:sz="8" w:color="0000FF"/>
            </w:tcBorders>
            <w:gridSpan w:val="3"/>
          </w:tcPr>
          <w:p>
            <w:pPr>
              <w:spacing w:after="0" w:line="169" w:lineRule="exact"/>
              <w:rPr>
                <w:rFonts w:ascii="Arial" w:cs="Arial" w:eastAsia="Arial" w:hAnsi="Arial"/>
                <w:sz w:val="17"/>
                <w:szCs w:val="17"/>
                <w:color w:val="0000FF"/>
                <w:w w:val="78"/>
              </w:rPr>
            </w:pPr>
            <w:hyperlink r:id="rId200">
              <w:r>
                <w:rPr>
                  <w:rFonts w:ascii="Arial" w:cs="Arial" w:eastAsia="Arial" w:hAnsi="Arial"/>
                  <w:sz w:val="17"/>
                  <w:szCs w:val="17"/>
                  <w:color w:val="0000FF"/>
                  <w:w w:val="78"/>
                </w:rPr>
                <w:t>Amendment</w:t>
              </w:r>
            </w:hyperlink>
          </w:p>
        </w:tc>
        <w:tc>
          <w:tcPr>
            <w:tcW w:w="8660" w:type="dxa"/>
            <w:vAlign w:val="bottom"/>
            <w:tcBorders>
              <w:bottom w:val="single" w:sz="8" w:color="0000FF"/>
            </w:tcBorders>
            <w:gridSpan w:val="31"/>
          </w:tcPr>
          <w:p>
            <w:pPr>
              <w:ind w:left="220"/>
              <w:spacing w:after="0" w:line="169" w:lineRule="exact"/>
              <w:rPr>
                <w:rFonts w:ascii="Arial" w:cs="Arial" w:eastAsia="Arial" w:hAnsi="Arial"/>
                <w:sz w:val="17"/>
                <w:szCs w:val="17"/>
                <w:color w:val="0000FF"/>
              </w:rPr>
            </w:pPr>
            <w:hyperlink r:id="rId200">
              <w:r>
                <w:rPr>
                  <w:rFonts w:ascii="Arial" w:cs="Arial" w:eastAsia="Arial" w:hAnsi="Arial"/>
                  <w:sz w:val="17"/>
                  <w:szCs w:val="17"/>
                  <w:color w:val="0000FF"/>
                </w:rPr>
                <w:t>to Exclusive License Agreement by and between Candel Therapeutics, Inc. and Periphagen, Inc. dated June 7,</w:t>
              </w:r>
            </w:hyperlink>
          </w:p>
        </w:tc>
        <w:tc>
          <w:tcPr>
            <w:tcW w:w="36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760" w:type="dxa"/>
            <w:vAlign w:val="bottom"/>
            <w:gridSpan w:val="50"/>
          </w:tcPr>
          <w:p>
            <w:pPr>
              <w:spacing w:after="0" w:line="169" w:lineRule="exact"/>
              <w:rPr>
                <w:rFonts w:ascii="Arial" w:cs="Arial" w:eastAsia="Arial" w:hAnsi="Arial"/>
                <w:sz w:val="17"/>
                <w:szCs w:val="17"/>
                <w:color w:val="0000FF"/>
              </w:rPr>
            </w:pPr>
            <w:hyperlink r:id="rId200">
              <w:r>
                <w:rPr>
                  <w:rFonts w:ascii="Arial" w:cs="Arial" w:eastAsia="Arial" w:hAnsi="Arial"/>
                  <w:sz w:val="17"/>
                  <w:szCs w:val="17"/>
                  <w:color w:val="0000FF"/>
                </w:rPr>
                <w:t>2023 (incorporated by reference to Exhibit 10.1 to the Registrant’s Quarterly Report on Form 10-Q filed with the SEC on August</w:t>
              </w:r>
            </w:hyperlink>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10.16**</w:t>
            </w:r>
          </w:p>
        </w:tc>
        <w:tc>
          <w:tcPr>
            <w:tcW w:w="720" w:type="dxa"/>
            <w:vAlign w:val="bottom"/>
            <w:tcBorders>
              <w:top w:val="single" w:sz="8" w:color="0000FF"/>
              <w:bottom w:val="single" w:sz="8" w:color="0000FF"/>
            </w:tcBorders>
            <w:gridSpan w:val="2"/>
          </w:tcPr>
          <w:p>
            <w:pPr>
              <w:spacing w:after="0" w:line="169" w:lineRule="exact"/>
              <w:rPr>
                <w:rFonts w:ascii="Arial" w:cs="Arial" w:eastAsia="Arial" w:hAnsi="Arial"/>
                <w:sz w:val="17"/>
                <w:szCs w:val="17"/>
                <w:color w:val="0000FF"/>
                <w:w w:val="97"/>
              </w:rPr>
            </w:pPr>
            <w:hyperlink r:id="rId200">
              <w:r>
                <w:rPr>
                  <w:rFonts w:ascii="Arial" w:cs="Arial" w:eastAsia="Arial" w:hAnsi="Arial"/>
                  <w:sz w:val="17"/>
                  <w:szCs w:val="17"/>
                  <w:color w:val="0000FF"/>
                  <w:w w:val="97"/>
                </w:rPr>
                <w:t>10, 2023)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9440" w:type="dxa"/>
            <w:vAlign w:val="bottom"/>
            <w:tcBorders>
              <w:bottom w:val="single" w:sz="8" w:color="0000FF"/>
            </w:tcBorders>
            <w:gridSpan w:val="35"/>
          </w:tcPr>
          <w:p>
            <w:pPr>
              <w:spacing w:after="0" w:line="169" w:lineRule="exact"/>
              <w:rPr>
                <w:rFonts w:ascii="Arial" w:cs="Arial" w:eastAsia="Arial" w:hAnsi="Arial"/>
                <w:sz w:val="17"/>
                <w:szCs w:val="17"/>
                <w:color w:val="0000FF"/>
              </w:rPr>
            </w:pPr>
            <w:hyperlink r:id="rId201">
              <w:r>
                <w:rPr>
                  <w:rFonts w:ascii="Arial" w:cs="Arial" w:eastAsia="Arial" w:hAnsi="Arial"/>
                  <w:sz w:val="17"/>
                  <w:szCs w:val="17"/>
                  <w:color w:val="0000FF"/>
                </w:rPr>
                <w:t>First Amendment to Lease of Premises at 117 Kendrick Street, Needham, Massachusetts by and between 117 Kendrick DE,</w:t>
              </w:r>
            </w:hyperlink>
          </w:p>
        </w:tc>
        <w:tc>
          <w:tcPr>
            <w:tcW w:w="3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760" w:type="dxa"/>
            <w:vAlign w:val="bottom"/>
            <w:gridSpan w:val="50"/>
          </w:tcPr>
          <w:p>
            <w:pPr>
              <w:spacing w:after="0" w:line="169" w:lineRule="exact"/>
              <w:rPr>
                <w:rFonts w:ascii="Arial" w:cs="Arial" w:eastAsia="Arial" w:hAnsi="Arial"/>
                <w:sz w:val="17"/>
                <w:szCs w:val="17"/>
                <w:color w:val="0000FF"/>
              </w:rPr>
            </w:pPr>
            <w:hyperlink r:id="rId201">
              <w:r>
                <w:rPr>
                  <w:rFonts w:ascii="Arial" w:cs="Arial" w:eastAsia="Arial" w:hAnsi="Arial"/>
                  <w:sz w:val="17"/>
                  <w:szCs w:val="17"/>
                  <w:color w:val="0000FF"/>
                </w:rPr>
                <w:t>LLC and the Registrant dated as of August 18, 2025 (incorporated by reference to Exhibit 10.1 to the Registrant’s Current Report</w:t>
              </w:r>
            </w:hyperlink>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10.17**</w:t>
            </w:r>
          </w:p>
        </w:tc>
        <w:tc>
          <w:tcPr>
            <w:tcW w:w="3980" w:type="dxa"/>
            <w:vAlign w:val="bottom"/>
            <w:tcBorders>
              <w:top w:val="single" w:sz="8" w:color="0000FF"/>
              <w:bottom w:val="single" w:sz="8" w:color="0000FF"/>
            </w:tcBorders>
            <w:gridSpan w:val="10"/>
          </w:tcPr>
          <w:p>
            <w:pPr>
              <w:spacing w:after="0" w:line="169" w:lineRule="exact"/>
              <w:rPr>
                <w:rFonts w:ascii="Arial" w:cs="Arial" w:eastAsia="Arial" w:hAnsi="Arial"/>
                <w:sz w:val="17"/>
                <w:szCs w:val="17"/>
                <w:color w:val="0000FF"/>
              </w:rPr>
            </w:pPr>
            <w:hyperlink r:id="rId201">
              <w:r>
                <w:rPr>
                  <w:rFonts w:ascii="Arial" w:cs="Arial" w:eastAsia="Arial" w:hAnsi="Arial"/>
                  <w:sz w:val="17"/>
                  <w:szCs w:val="17"/>
                  <w:color w:val="0000FF"/>
                </w:rPr>
                <w:t>on Form 8-K filed with the SEC on August 21, 2025).</w:t>
              </w:r>
            </w:hyperlink>
          </w:p>
        </w:tc>
        <w:tc>
          <w:tcPr>
            <w:tcW w:w="20" w:type="dxa"/>
            <w:vAlign w:val="bottom"/>
            <w:tcBorders>
              <w:top w:val="single" w:sz="8" w:color="0000FF"/>
              <w:bottom w:val="single" w:sz="8" w:color="0000EE"/>
            </w:tcBorders>
          </w:tcPr>
          <w:p>
            <w:pPr>
              <w:spacing w:after="0"/>
              <w:rPr>
                <w:sz w:val="14"/>
                <w:szCs w:val="14"/>
                <w:color w:val="auto"/>
              </w:rPr>
            </w:pPr>
          </w:p>
        </w:tc>
        <w:tc>
          <w:tcPr>
            <w:tcW w:w="5720" w:type="dxa"/>
            <w:vAlign w:val="bottom"/>
            <w:tcBorders>
              <w:top w:val="single" w:sz="8" w:color="0000FF"/>
            </w:tcBorders>
            <w:gridSpan w:val="3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9760" w:type="dxa"/>
            <w:vAlign w:val="bottom"/>
            <w:gridSpan w:val="50"/>
          </w:tcPr>
          <w:p>
            <w:pPr>
              <w:spacing w:after="0" w:line="169" w:lineRule="exact"/>
              <w:rPr>
                <w:rFonts w:ascii="Arial" w:cs="Arial" w:eastAsia="Arial" w:hAnsi="Arial"/>
                <w:sz w:val="17"/>
                <w:szCs w:val="17"/>
                <w:color w:val="0000FF"/>
              </w:rPr>
            </w:pPr>
            <w:hyperlink r:id="rId202">
              <w:r>
                <w:rPr>
                  <w:rFonts w:ascii="Arial" w:cs="Arial" w:eastAsia="Arial" w:hAnsi="Arial"/>
                  <w:sz w:val="17"/>
                  <w:szCs w:val="17"/>
                  <w:color w:val="0000FF"/>
                </w:rPr>
                <w:t>Loan and Security Agreement, by and among the Registrant, Trinity Capital Inc. and the other parties thereto, dated as of</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180" w:type="dxa"/>
            <w:vAlign w:val="bottom"/>
            <w:tcBorders>
              <w:top w:val="single" w:sz="8" w:color="0000FF"/>
            </w:tcBorders>
            <w:gridSpan w:val="27"/>
          </w:tcPr>
          <w:p>
            <w:pPr>
              <w:spacing w:after="0" w:line="169" w:lineRule="exact"/>
              <w:rPr>
                <w:rFonts w:ascii="Arial" w:cs="Arial" w:eastAsia="Arial" w:hAnsi="Arial"/>
                <w:sz w:val="17"/>
                <w:szCs w:val="17"/>
                <w:color w:val="0000FF"/>
              </w:rPr>
            </w:pPr>
            <w:hyperlink r:id="rId202">
              <w:r>
                <w:rPr>
                  <w:rFonts w:ascii="Arial" w:cs="Arial" w:eastAsia="Arial" w:hAnsi="Arial"/>
                  <w:sz w:val="17"/>
                  <w:szCs w:val="17"/>
                  <w:color w:val="0000FF"/>
                </w:rPr>
                <w:t>October 14, 2025 (incorporated by reference to Exhibit 10.1 to the Registrant’s Current Report on Form 8-K filed with the</w:t>
              </w:r>
            </w:hyperlink>
          </w:p>
        </w:tc>
        <w:tc>
          <w:tcPr>
            <w:tcW w:w="580" w:type="dxa"/>
            <w:vAlign w:val="bottom"/>
            <w:gridSpan w:val="23"/>
          </w:tcPr>
          <w:p>
            <w:pPr>
              <w:jc w:val="right"/>
              <w:ind w:right="40"/>
              <w:spacing w:after="0" w:line="169" w:lineRule="exact"/>
              <w:rPr>
                <w:rFonts w:ascii="Arial" w:cs="Arial" w:eastAsia="Arial" w:hAnsi="Arial"/>
                <w:sz w:val="17"/>
                <w:szCs w:val="17"/>
                <w:color w:val="0000FF"/>
                <w:w w:val="88"/>
              </w:rPr>
            </w:pPr>
            <w:hyperlink r:id="rId202">
              <w:r>
                <w:rPr>
                  <w:rFonts w:ascii="Arial" w:cs="Arial" w:eastAsia="Arial" w:hAnsi="Arial"/>
                  <w:sz w:val="17"/>
                  <w:szCs w:val="17"/>
                  <w:color w:val="0000FF"/>
                  <w:w w:val="88"/>
                </w:rPr>
                <w:t>SEC on</w:t>
              </w:r>
            </w:hyperlink>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10.18</w:t>
            </w:r>
          </w:p>
        </w:tc>
        <w:tc>
          <w:tcPr>
            <w:tcW w:w="142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w w:val="98"/>
              </w:rPr>
            </w:pPr>
            <w:hyperlink r:id="rId202">
              <w:r>
                <w:rPr>
                  <w:rFonts w:ascii="Arial" w:cs="Arial" w:eastAsia="Arial" w:hAnsi="Arial"/>
                  <w:sz w:val="17"/>
                  <w:szCs w:val="17"/>
                  <w:color w:val="0000FF"/>
                  <w:w w:val="98"/>
                </w:rPr>
                <w:t>October 14, 2025).</w:t>
              </w:r>
            </w:hyperlink>
          </w:p>
        </w:tc>
        <w:tc>
          <w:tcPr>
            <w:tcW w:w="20" w:type="dxa"/>
            <w:vAlign w:val="bottom"/>
            <w:tcBorders>
              <w:top w:val="single" w:sz="8" w:color="0000FF"/>
              <w:bottom w:val="single" w:sz="8" w:color="0000EE"/>
            </w:tcBorders>
          </w:tcPr>
          <w:p>
            <w:pPr>
              <w:spacing w:after="0"/>
              <w:rPr>
                <w:sz w:val="14"/>
                <w:szCs w:val="14"/>
                <w:color w:val="auto"/>
              </w:rPr>
            </w:pPr>
          </w:p>
        </w:tc>
        <w:tc>
          <w:tcPr>
            <w:tcW w:w="8300" w:type="dxa"/>
            <w:vAlign w:val="bottom"/>
            <w:tcBorders>
              <w:top w:val="single" w:sz="8" w:color="0000FF"/>
            </w:tcBorders>
            <w:gridSpan w:val="4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1440" w:type="dxa"/>
            <w:vAlign w:val="bottom"/>
            <w:gridSpan w:val="5"/>
          </w:tcPr>
          <w:p>
            <w:pPr>
              <w:spacing w:after="0" w:line="169" w:lineRule="exact"/>
              <w:rPr>
                <w:rFonts w:ascii="Arial" w:cs="Arial" w:eastAsia="Arial" w:hAnsi="Arial"/>
                <w:sz w:val="17"/>
                <w:szCs w:val="17"/>
                <w:color w:val="0000FF"/>
              </w:rPr>
            </w:pPr>
            <w:hyperlink r:id="rId203">
              <w:r>
                <w:rPr>
                  <w:rFonts w:ascii="Arial" w:cs="Arial" w:eastAsia="Arial" w:hAnsi="Arial"/>
                  <w:sz w:val="17"/>
                  <w:szCs w:val="17"/>
                  <w:color w:val="0000FF"/>
                </w:rPr>
                <w:t>Form of Omnibus</w:t>
              </w:r>
            </w:hyperlink>
          </w:p>
        </w:tc>
        <w:tc>
          <w:tcPr>
            <w:tcW w:w="8320" w:type="dxa"/>
            <w:vAlign w:val="bottom"/>
            <w:gridSpan w:val="45"/>
          </w:tcPr>
          <w:p>
            <w:pPr>
              <w:spacing w:after="0" w:line="169" w:lineRule="exact"/>
              <w:rPr>
                <w:rFonts w:ascii="Arial" w:cs="Arial" w:eastAsia="Arial" w:hAnsi="Arial"/>
                <w:sz w:val="17"/>
                <w:szCs w:val="17"/>
                <w:color w:val="0000FF"/>
              </w:rPr>
            </w:pPr>
            <w:hyperlink r:id="rId203">
              <w:r>
                <w:rPr>
                  <w:rFonts w:ascii="Arial" w:cs="Arial" w:eastAsia="Arial" w:hAnsi="Arial"/>
                  <w:sz w:val="17"/>
                  <w:szCs w:val="17"/>
                  <w:color w:val="0000FF"/>
                </w:rPr>
                <w:t>Amendment, Release and Waiver to Warrants to Purchase Common Stock, by and among the Registrant and</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680" w:type="dxa"/>
            <w:vAlign w:val="bottom"/>
            <w:tcBorders>
              <w:top w:val="single" w:sz="8" w:color="0000FF"/>
            </w:tcBorders>
            <w:gridSpan w:val="46"/>
          </w:tcPr>
          <w:p>
            <w:pPr>
              <w:spacing w:after="0" w:line="169" w:lineRule="exact"/>
              <w:rPr>
                <w:rFonts w:ascii="Arial" w:cs="Arial" w:eastAsia="Arial" w:hAnsi="Arial"/>
                <w:sz w:val="17"/>
                <w:szCs w:val="17"/>
                <w:color w:val="0000FF"/>
              </w:rPr>
            </w:pPr>
            <w:hyperlink r:id="rId203">
              <w:r>
                <w:rPr>
                  <w:rFonts w:ascii="Arial" w:cs="Arial" w:eastAsia="Arial" w:hAnsi="Arial"/>
                  <w:sz w:val="17"/>
                  <w:szCs w:val="17"/>
                  <w:color w:val="0000FF"/>
                </w:rPr>
                <w:t>the other parties thereto, dated as of October 14, 2025 (incorporated by reference to Exhibit 10.2 to the Registrant’s Current</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10.19#*</w:t>
            </w:r>
          </w:p>
        </w:tc>
        <w:tc>
          <w:tcPr>
            <w:tcW w:w="938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203">
              <w:r>
                <w:rPr>
                  <w:rFonts w:ascii="Arial" w:cs="Arial" w:eastAsia="Arial" w:hAnsi="Arial"/>
                  <w:sz w:val="17"/>
                  <w:szCs w:val="17"/>
                  <w:color w:val="0000FF"/>
                </w:rPr>
                <w:t>Report on Form 8-K filed with the SEC on October 14, 2025).</w:t>
              </w:r>
            </w:hyperlink>
          </w:p>
        </w:tc>
        <w:tc>
          <w:tcPr>
            <w:tcW w:w="12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continue"/>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9760" w:type="dxa"/>
            <w:vAlign w:val="bottom"/>
            <w:gridSpan w:val="50"/>
          </w:tcPr>
          <w:p>
            <w:pPr>
              <w:spacing w:after="0" w:line="169" w:lineRule="exact"/>
              <w:rPr>
                <w:sz w:val="20"/>
                <w:szCs w:val="20"/>
                <w:color w:val="auto"/>
              </w:rPr>
            </w:pPr>
            <w:r>
              <w:rPr>
                <w:rFonts w:ascii="Arial" w:cs="Arial" w:eastAsia="Arial" w:hAnsi="Arial"/>
                <w:sz w:val="17"/>
                <w:szCs w:val="17"/>
                <w:color w:val="0000FF"/>
              </w:rPr>
              <w:t>Candel Therapeutics, Inc. 2025 Inducement Plan and forms of award agreements thereunder</w:t>
            </w:r>
          </w:p>
        </w:tc>
        <w:tc>
          <w:tcPr>
            <w:tcW w:w="0" w:type="dxa"/>
            <w:vAlign w:val="bottom"/>
          </w:tcPr>
          <w:p>
            <w:pPr>
              <w:spacing w:after="0"/>
              <w:rPr>
                <w:sz w:val="1"/>
                <w:szCs w:val="1"/>
                <w:color w:val="auto"/>
              </w:rPr>
            </w:pPr>
          </w:p>
        </w:tc>
      </w:tr>
      <w:tr>
        <w:trPr>
          <w:trHeight w:val="169"/>
        </w:trPr>
        <w:tc>
          <w:tcPr>
            <w:tcW w:w="1500" w:type="dxa"/>
            <w:vAlign w:val="bottom"/>
          </w:tcPr>
          <w:p>
            <w:pPr>
              <w:spacing w:after="0" w:line="169" w:lineRule="exact"/>
              <w:rPr>
                <w:sz w:val="20"/>
                <w:szCs w:val="20"/>
                <w:color w:val="auto"/>
              </w:rPr>
            </w:pPr>
            <w:r>
              <w:rPr>
                <w:rFonts w:ascii="Arial" w:cs="Arial" w:eastAsia="Arial" w:hAnsi="Arial"/>
                <w:sz w:val="17"/>
                <w:szCs w:val="17"/>
                <w:color w:val="auto"/>
              </w:rPr>
              <w:t>10.20#*</w:t>
            </w:r>
          </w:p>
        </w:tc>
        <w:tc>
          <w:tcPr>
            <w:tcW w:w="542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7"/>
                <w:szCs w:val="17"/>
                <w:color w:val="0000FF"/>
              </w:rPr>
              <w:t>Candel Therapeutics, Inc. Non-Employee Director Compensation Policy</w:t>
            </w:r>
          </w:p>
        </w:tc>
        <w:tc>
          <w:tcPr>
            <w:tcW w:w="20" w:type="dxa"/>
            <w:vAlign w:val="bottom"/>
            <w:tcBorders>
              <w:top w:val="single" w:sz="8" w:color="0000FF"/>
              <w:bottom w:val="single" w:sz="8" w:color="0000EE"/>
            </w:tcBorders>
          </w:tcPr>
          <w:p>
            <w:pPr>
              <w:spacing w:after="0"/>
              <w:rPr>
                <w:sz w:val="14"/>
                <w:szCs w:val="14"/>
                <w:color w:val="auto"/>
              </w:rPr>
            </w:pPr>
          </w:p>
        </w:tc>
        <w:tc>
          <w:tcPr>
            <w:tcW w:w="1600" w:type="dxa"/>
            <w:vAlign w:val="bottom"/>
            <w:tcBorders>
              <w:top w:val="single" w:sz="8" w:color="0000FF"/>
            </w:tcBorders>
            <w:gridSpan w:val="3"/>
          </w:tcPr>
          <w:p>
            <w:pPr>
              <w:spacing w:after="0"/>
              <w:rPr>
                <w:sz w:val="14"/>
                <w:szCs w:val="14"/>
                <w:color w:val="auto"/>
              </w:rPr>
            </w:pPr>
          </w:p>
        </w:tc>
        <w:tc>
          <w:tcPr>
            <w:tcW w:w="2160" w:type="dxa"/>
            <w:vAlign w:val="bottom"/>
            <w:gridSpan w:val="7"/>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line="169" w:lineRule="exact"/>
              <w:rPr>
                <w:sz w:val="20"/>
                <w:szCs w:val="20"/>
                <w:color w:val="auto"/>
              </w:rPr>
            </w:pPr>
            <w:r>
              <w:rPr>
                <w:rFonts w:ascii="Arial" w:cs="Arial" w:eastAsia="Arial" w:hAnsi="Arial"/>
                <w:sz w:val="17"/>
                <w:szCs w:val="17"/>
                <w:color w:val="auto"/>
              </w:rPr>
              <w:t>10.21***</w:t>
            </w:r>
          </w:p>
        </w:tc>
        <w:tc>
          <w:tcPr>
            <w:tcW w:w="9760" w:type="dxa"/>
            <w:vAlign w:val="bottom"/>
            <w:gridSpan w:val="50"/>
          </w:tcPr>
          <w:p>
            <w:pPr>
              <w:spacing w:after="0" w:line="169" w:lineRule="exact"/>
              <w:rPr>
                <w:sz w:val="20"/>
                <w:szCs w:val="20"/>
                <w:color w:val="auto"/>
              </w:rPr>
            </w:pPr>
            <w:r>
              <w:rPr>
                <w:rFonts w:ascii="Arial" w:cs="Arial" w:eastAsia="Arial" w:hAnsi="Arial"/>
                <w:sz w:val="17"/>
                <w:szCs w:val="17"/>
                <w:color w:val="0000FF"/>
              </w:rPr>
              <w:t>Purchase Agreement by and between Candel Therapeutics, Inc. and RTW Investments, LP, dated as of February 19, 2026</w:t>
            </w:r>
          </w:p>
        </w:tc>
        <w:tc>
          <w:tcPr>
            <w:tcW w:w="0" w:type="dxa"/>
            <w:vAlign w:val="bottom"/>
          </w:tcPr>
          <w:p>
            <w:pPr>
              <w:spacing w:after="0"/>
              <w:rPr>
                <w:sz w:val="1"/>
                <w:szCs w:val="1"/>
                <w:color w:val="auto"/>
              </w:rPr>
            </w:pPr>
          </w:p>
        </w:tc>
      </w:tr>
      <w:tr>
        <w:trPr>
          <w:trHeight w:val="169"/>
        </w:trPr>
        <w:tc>
          <w:tcPr>
            <w:tcW w:w="1500" w:type="dxa"/>
            <w:vAlign w:val="bottom"/>
          </w:tcPr>
          <w:p>
            <w:pPr>
              <w:spacing w:after="0" w:line="169" w:lineRule="exact"/>
              <w:rPr>
                <w:sz w:val="20"/>
                <w:szCs w:val="20"/>
                <w:color w:val="auto"/>
              </w:rPr>
            </w:pPr>
            <w:r>
              <w:rPr>
                <w:rFonts w:ascii="Arial" w:cs="Arial" w:eastAsia="Arial" w:hAnsi="Arial"/>
                <w:sz w:val="17"/>
                <w:szCs w:val="17"/>
                <w:color w:val="auto"/>
              </w:rPr>
              <w:t>10.22*</w:t>
            </w:r>
          </w:p>
        </w:tc>
        <w:tc>
          <w:tcPr>
            <w:tcW w:w="9280" w:type="dxa"/>
            <w:vAlign w:val="bottom"/>
            <w:tcBorders>
              <w:top w:val="single" w:sz="8" w:color="0000FF"/>
            </w:tcBorders>
            <w:gridSpan w:val="30"/>
          </w:tcPr>
          <w:p>
            <w:pPr>
              <w:spacing w:after="0" w:line="169" w:lineRule="exact"/>
              <w:rPr>
                <w:sz w:val="20"/>
                <w:szCs w:val="20"/>
                <w:color w:val="auto"/>
              </w:rPr>
            </w:pPr>
            <w:r>
              <w:rPr>
                <w:rFonts w:ascii="Arial" w:cs="Arial" w:eastAsia="Arial" w:hAnsi="Arial"/>
                <w:sz w:val="17"/>
                <w:szCs w:val="17"/>
                <w:color w:val="0000FF"/>
              </w:rPr>
              <w:t>First Amendment to Loan and Security Agreement, by and among the Registrant, Trinity Capital Inc., and the other parties</w:t>
            </w:r>
          </w:p>
        </w:tc>
        <w:tc>
          <w:tcPr>
            <w:tcW w:w="6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19.1</w:t>
            </w:r>
          </w:p>
        </w:tc>
        <w:tc>
          <w:tcPr>
            <w:tcW w:w="9260" w:type="dxa"/>
            <w:vAlign w:val="bottom"/>
            <w:tcBorders>
              <w:top w:val="single" w:sz="8" w:color="0000FF"/>
            </w:tcBorders>
            <w:gridSpan w:val="29"/>
          </w:tcPr>
          <w:p>
            <w:pPr>
              <w:spacing w:after="0" w:line="169" w:lineRule="exact"/>
              <w:rPr>
                <w:sz w:val="20"/>
                <w:szCs w:val="20"/>
                <w:color w:val="auto"/>
              </w:rPr>
            </w:pPr>
            <w:r>
              <w:rPr>
                <w:rFonts w:ascii="Arial" w:cs="Arial" w:eastAsia="Arial" w:hAnsi="Arial"/>
                <w:sz w:val="17"/>
                <w:szCs w:val="17"/>
                <w:color w:val="0000FF"/>
              </w:rPr>
              <w:t>thereto, dated as of March 10, 2026.</w:t>
            </w:r>
          </w:p>
        </w:tc>
        <w:tc>
          <w:tcPr>
            <w:tcW w:w="80" w:type="dxa"/>
            <w:vAlign w:val="bottom"/>
            <w:gridSpan w:val="2"/>
          </w:tcPr>
          <w:p>
            <w:pPr>
              <w:spacing w:after="0"/>
              <w:rPr>
                <w:sz w:val="14"/>
                <w:szCs w:val="14"/>
                <w:color w:val="auto"/>
              </w:rPr>
            </w:pPr>
          </w:p>
        </w:tc>
        <w:tc>
          <w:tcPr>
            <w:tcW w:w="16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continue"/>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9760" w:type="dxa"/>
            <w:vAlign w:val="bottom"/>
            <w:gridSpan w:val="50"/>
          </w:tcPr>
          <w:p>
            <w:pPr>
              <w:spacing w:after="0" w:line="169" w:lineRule="exact"/>
              <w:rPr>
                <w:rFonts w:ascii="Arial" w:cs="Arial" w:eastAsia="Arial" w:hAnsi="Arial"/>
                <w:sz w:val="17"/>
                <w:szCs w:val="17"/>
                <w:color w:val="0000FF"/>
              </w:rPr>
            </w:pPr>
            <w:hyperlink r:id="rId204">
              <w:r>
                <w:rPr>
                  <w:rFonts w:ascii="Arial" w:cs="Arial" w:eastAsia="Arial" w:hAnsi="Arial"/>
                  <w:sz w:val="17"/>
                  <w:szCs w:val="17"/>
                  <w:color w:val="0000FF"/>
                </w:rPr>
                <w:t>Candel Therapeutics, Inc. Insider Trading Policy (incorporated by reference to Exhibit 19.1 to the Registrant’s Form 10-K filed</w:t>
              </w:r>
            </w:hyperlink>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9500" w:type="dxa"/>
            <w:vAlign w:val="bottom"/>
            <w:tcBorders>
              <w:top w:val="single" w:sz="8" w:color="0000FF"/>
            </w:tcBorders>
            <w:gridSpan w:val="37"/>
          </w:tcPr>
          <w:p>
            <w:pPr>
              <w:spacing w:after="0" w:line="169" w:lineRule="exact"/>
              <w:rPr>
                <w:rFonts w:ascii="Arial" w:cs="Arial" w:eastAsia="Arial" w:hAnsi="Arial"/>
                <w:sz w:val="17"/>
                <w:szCs w:val="17"/>
                <w:color w:val="0000FF"/>
              </w:rPr>
            </w:pPr>
            <w:hyperlink r:id="rId204">
              <w:r>
                <w:rPr>
                  <w:rFonts w:ascii="Arial" w:cs="Arial" w:eastAsia="Arial" w:hAnsi="Arial"/>
                  <w:sz w:val="17"/>
                  <w:szCs w:val="17"/>
                  <w:color w:val="0000FF"/>
                </w:rPr>
                <w:t>with the SEC on March 13, 2025)</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continue"/>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9760" w:type="dxa"/>
            <w:vAlign w:val="bottom"/>
            <w:gridSpan w:val="50"/>
          </w:tcPr>
          <w:p>
            <w:pPr>
              <w:spacing w:after="0" w:line="169" w:lineRule="exact"/>
              <w:rPr>
                <w:rFonts w:ascii="Arial" w:cs="Arial" w:eastAsia="Arial" w:hAnsi="Arial"/>
                <w:sz w:val="17"/>
                <w:szCs w:val="17"/>
                <w:color w:val="0000FF"/>
              </w:rPr>
            </w:pPr>
            <w:hyperlink r:id="rId205">
              <w:r>
                <w:rPr>
                  <w:rFonts w:ascii="Arial" w:cs="Arial" w:eastAsia="Arial" w:hAnsi="Arial"/>
                  <w:sz w:val="17"/>
                  <w:szCs w:val="17"/>
                  <w:color w:val="0000FF"/>
                </w:rPr>
                <w:t>List of Subsidiary (incorporated by reference to Exhibit 21.1 to the Registrant's Annual Report on Form 10-K filed with the SEC</w:t>
              </w:r>
            </w:hyperlink>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23.1*</w:t>
            </w:r>
          </w:p>
        </w:tc>
        <w:tc>
          <w:tcPr>
            <w:tcW w:w="9560" w:type="dxa"/>
            <w:vAlign w:val="bottom"/>
            <w:tcBorders>
              <w:top w:val="single" w:sz="8" w:color="0000FF"/>
            </w:tcBorders>
            <w:gridSpan w:val="40"/>
          </w:tcPr>
          <w:p>
            <w:pPr>
              <w:spacing w:after="0" w:line="169" w:lineRule="exact"/>
              <w:rPr>
                <w:rFonts w:ascii="Arial" w:cs="Arial" w:eastAsia="Arial" w:hAnsi="Arial"/>
                <w:sz w:val="17"/>
                <w:szCs w:val="17"/>
                <w:color w:val="0000FF"/>
              </w:rPr>
            </w:pPr>
            <w:hyperlink r:id="rId205">
              <w:r>
                <w:rPr>
                  <w:rFonts w:ascii="Arial" w:cs="Arial" w:eastAsia="Arial" w:hAnsi="Arial"/>
                  <w:sz w:val="17"/>
                  <w:szCs w:val="17"/>
                  <w:color w:val="0000FF"/>
                </w:rPr>
                <w:t>on March 29, 2022)</w:t>
              </w:r>
            </w:hyperlink>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14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7"/>
                <w:szCs w:val="17"/>
                <w:color w:val="0000FF"/>
              </w:rPr>
              <w:t>Consent of KPMG</w:t>
            </w:r>
          </w:p>
        </w:tc>
        <w:tc>
          <w:tcPr>
            <w:tcW w:w="8280" w:type="dxa"/>
            <w:vAlign w:val="bottom"/>
            <w:gridSpan w:val="44"/>
          </w:tcPr>
          <w:p>
            <w:pPr>
              <w:spacing w:after="0" w:line="169" w:lineRule="exact"/>
              <w:rPr>
                <w:sz w:val="20"/>
                <w:szCs w:val="20"/>
                <w:color w:val="auto"/>
              </w:rPr>
            </w:pPr>
            <w:r>
              <w:rPr>
                <w:rFonts w:ascii="Arial" w:cs="Arial" w:eastAsia="Arial" w:hAnsi="Arial"/>
                <w:sz w:val="17"/>
                <w:szCs w:val="17"/>
                <w:color w:val="0000FF"/>
              </w:rPr>
              <w:t>LLP, Independent Registered Public Accounting Firm</w:t>
            </w:r>
          </w:p>
        </w:tc>
        <w:tc>
          <w:tcPr>
            <w:tcW w:w="0" w:type="dxa"/>
            <w:vAlign w:val="bottom"/>
          </w:tcPr>
          <w:p>
            <w:pPr>
              <w:spacing w:after="0"/>
              <w:rPr>
                <w:sz w:val="1"/>
                <w:szCs w:val="1"/>
                <w:color w:val="auto"/>
              </w:rPr>
            </w:pPr>
          </w:p>
        </w:tc>
      </w:tr>
      <w:tr>
        <w:trPr>
          <w:trHeight w:val="169"/>
        </w:trPr>
        <w:tc>
          <w:tcPr>
            <w:tcW w:w="1500" w:type="dxa"/>
            <w:vAlign w:val="bottom"/>
          </w:tcPr>
          <w:p>
            <w:pPr>
              <w:spacing w:after="0" w:line="169" w:lineRule="exact"/>
              <w:rPr>
                <w:sz w:val="20"/>
                <w:szCs w:val="20"/>
                <w:color w:val="auto"/>
              </w:rPr>
            </w:pPr>
            <w:r>
              <w:rPr>
                <w:rFonts w:ascii="Arial" w:cs="Arial" w:eastAsia="Arial" w:hAnsi="Arial"/>
                <w:sz w:val="17"/>
                <w:szCs w:val="17"/>
                <w:color w:val="auto"/>
              </w:rPr>
              <w:t>24.1*</w:t>
            </w:r>
          </w:p>
        </w:tc>
        <w:tc>
          <w:tcPr>
            <w:tcW w:w="544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7"/>
                <w:szCs w:val="17"/>
                <w:color w:val="0000FF"/>
              </w:rPr>
              <w:t>Power of Attorney (included on signature page)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gridSpan w:val="8"/>
          </w:tcPr>
          <w:p>
            <w:pPr>
              <w:spacing w:after="0"/>
              <w:rPr>
                <w:sz w:val="14"/>
                <w:szCs w:val="14"/>
                <w:color w:val="auto"/>
              </w:rPr>
            </w:pPr>
          </w:p>
        </w:tc>
        <w:tc>
          <w:tcPr>
            <w:tcW w:w="140" w:type="dxa"/>
            <w:vAlign w:val="bottom"/>
            <w:gridSpan w:val="3"/>
          </w:tcPr>
          <w:p>
            <w:pPr>
              <w:spacing w:after="0"/>
              <w:rPr>
                <w:sz w:val="14"/>
                <w:szCs w:val="14"/>
                <w:color w:val="auto"/>
              </w:rPr>
            </w:pPr>
          </w:p>
        </w:tc>
        <w:tc>
          <w:tcPr>
            <w:tcW w:w="300" w:type="dxa"/>
            <w:vAlign w:val="bottom"/>
            <w:gridSpan w:val="13"/>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line="189" w:lineRule="exact"/>
              <w:rPr>
                <w:sz w:val="20"/>
                <w:szCs w:val="20"/>
                <w:color w:val="auto"/>
              </w:rPr>
            </w:pPr>
            <w:r>
              <w:rPr>
                <w:rFonts w:ascii="Arial" w:cs="Arial" w:eastAsia="Arial" w:hAnsi="Arial"/>
                <w:sz w:val="17"/>
                <w:szCs w:val="17"/>
                <w:color w:val="auto"/>
              </w:rPr>
              <w:t>31.1*</w:t>
            </w:r>
          </w:p>
        </w:tc>
        <w:tc>
          <w:tcPr>
            <w:tcW w:w="3580" w:type="dxa"/>
            <w:vAlign w:val="bottom"/>
            <w:tcBorders>
              <w:right w:val="single" w:sz="8" w:color="0000EE"/>
            </w:tcBorders>
            <w:gridSpan w:val="9"/>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9760" w:type="dxa"/>
            <w:vAlign w:val="bottom"/>
            <w:gridSpan w:val="50"/>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934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00" w:type="dxa"/>
            <w:vAlign w:val="bottom"/>
            <w:gridSpan w:val="13"/>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586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7"/>
                <w:szCs w:val="17"/>
                <w:color w:val="0000FF"/>
                <w:w w:val="98"/>
              </w:rPr>
              <w:t>Certification of Principal Financial Officer Pursuant to Rules 13a-14(a) and 15d</w:t>
            </w:r>
          </w:p>
        </w:tc>
        <w:tc>
          <w:tcPr>
            <w:tcW w:w="20" w:type="dxa"/>
            <w:vAlign w:val="bottom"/>
            <w:tcBorders>
              <w:top w:val="single" w:sz="8" w:color="0000EE"/>
            </w:tcBorders>
          </w:tcPr>
          <w:p>
            <w:pPr>
              <w:spacing w:after="0"/>
              <w:rPr>
                <w:sz w:val="14"/>
                <w:szCs w:val="14"/>
                <w:color w:val="auto"/>
              </w:rPr>
            </w:pPr>
          </w:p>
        </w:tc>
        <w:tc>
          <w:tcPr>
            <w:tcW w:w="3880" w:type="dxa"/>
            <w:vAlign w:val="bottom"/>
            <w:gridSpan w:val="30"/>
          </w:tcPr>
          <w:p>
            <w:pPr>
              <w:jc w:val="right"/>
              <w:ind w:right="40"/>
              <w:spacing w:after="0" w:line="169" w:lineRule="exact"/>
              <w:rPr>
                <w:sz w:val="20"/>
                <w:szCs w:val="20"/>
                <w:color w:val="auto"/>
              </w:rPr>
            </w:pPr>
            <w:r>
              <w:rPr>
                <w:rFonts w:ascii="Arial" w:cs="Arial" w:eastAsia="Arial" w:hAnsi="Arial"/>
                <w:sz w:val="17"/>
                <w:szCs w:val="17"/>
                <w:color w:val="0000FF"/>
              </w:rPr>
              <w:t>-14(a) under the Securities Exchange Act of 1934,</w:t>
            </w:r>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9720" w:type="dxa"/>
            <w:vAlign w:val="bottom"/>
            <w:tcBorders>
              <w:top w:val="single" w:sz="8" w:color="0000FF"/>
            </w:tcBorders>
            <w:gridSpan w:val="48"/>
          </w:tcPr>
          <w:p>
            <w:pPr>
              <w:spacing w:after="0" w:line="169" w:lineRule="exact"/>
              <w:rPr>
                <w:sz w:val="20"/>
                <w:szCs w:val="20"/>
                <w:color w:val="auto"/>
              </w:rPr>
            </w:pPr>
            <w:r>
              <w:rPr>
                <w:rFonts w:ascii="Arial" w:cs="Arial" w:eastAsia="Arial" w:hAnsi="Arial"/>
                <w:sz w:val="17"/>
                <w:szCs w:val="17"/>
                <w:color w:val="0000FF"/>
              </w:rPr>
              <w:t>as Adopted Pursuant to Section 302 of the Sarbanes-Oxley Act of 2002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538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7"/>
                <w:szCs w:val="17"/>
                <w:color w:val="0000FF"/>
                <w:w w:val="98"/>
              </w:rPr>
              <w:t>Certification of Principal Executive Officer and Principal Financial Officer</w:t>
            </w:r>
          </w:p>
        </w:tc>
        <w:tc>
          <w:tcPr>
            <w:tcW w:w="20" w:type="dxa"/>
            <w:vAlign w:val="bottom"/>
            <w:tcBorders>
              <w:top w:val="single" w:sz="8" w:color="0000EE"/>
            </w:tcBorders>
          </w:tcPr>
          <w:p>
            <w:pPr>
              <w:spacing w:after="0"/>
              <w:rPr>
                <w:sz w:val="14"/>
                <w:szCs w:val="14"/>
                <w:color w:val="auto"/>
              </w:rPr>
            </w:pPr>
          </w:p>
        </w:tc>
        <w:tc>
          <w:tcPr>
            <w:tcW w:w="4360" w:type="dxa"/>
            <w:vAlign w:val="bottom"/>
            <w:gridSpan w:val="34"/>
          </w:tcPr>
          <w:p>
            <w:pPr>
              <w:ind w:left="100"/>
              <w:spacing w:after="0" w:line="169" w:lineRule="exact"/>
              <w:rPr>
                <w:sz w:val="20"/>
                <w:szCs w:val="20"/>
                <w:color w:val="auto"/>
              </w:rPr>
            </w:pPr>
            <w:r>
              <w:rPr>
                <w:rFonts w:ascii="Arial" w:cs="Arial" w:eastAsia="Arial" w:hAnsi="Arial"/>
                <w:sz w:val="17"/>
                <w:szCs w:val="17"/>
                <w:color w:val="0000FF"/>
              </w:rPr>
              <w:t>Pursuant to 18 U.S.C. Section 1350, as Adopted</w:t>
            </w:r>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97.1</w:t>
            </w:r>
          </w:p>
        </w:tc>
        <w:tc>
          <w:tcPr>
            <w:tcW w:w="9200" w:type="dxa"/>
            <w:vAlign w:val="bottom"/>
            <w:tcBorders>
              <w:top w:val="single" w:sz="8" w:color="0000FF"/>
            </w:tcBorders>
            <w:gridSpan w:val="28"/>
          </w:tcPr>
          <w:p>
            <w:pPr>
              <w:spacing w:after="0" w:line="169" w:lineRule="exact"/>
              <w:rPr>
                <w:sz w:val="20"/>
                <w:szCs w:val="20"/>
                <w:color w:val="auto"/>
              </w:rPr>
            </w:pPr>
            <w:r>
              <w:rPr>
                <w:rFonts w:ascii="Arial" w:cs="Arial" w:eastAsia="Arial" w:hAnsi="Arial"/>
                <w:sz w:val="17"/>
                <w:szCs w:val="17"/>
                <w:color w:val="0000FF"/>
              </w:rPr>
              <w:t>Pursuant to Section 906 of the Sarbanes-Oxley Act of 2002</w:t>
            </w:r>
          </w:p>
        </w:tc>
        <w:tc>
          <w:tcPr>
            <w:tcW w:w="440" w:type="dxa"/>
            <w:vAlign w:val="bottom"/>
            <w:gridSpan w:val="16"/>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4480" w:type="dxa"/>
            <w:vAlign w:val="bottom"/>
            <w:tcBorders>
              <w:top w:val="single" w:sz="8" w:color="0000FF"/>
            </w:tcBorders>
            <w:gridSpan w:val="12"/>
          </w:tcPr>
          <w:p>
            <w:pPr>
              <w:spacing w:after="0" w:line="169" w:lineRule="exact"/>
              <w:rPr>
                <w:rFonts w:ascii="Arial" w:cs="Arial" w:eastAsia="Arial" w:hAnsi="Arial"/>
                <w:sz w:val="17"/>
                <w:szCs w:val="17"/>
                <w:color w:val="0000FF"/>
              </w:rPr>
            </w:pPr>
            <w:hyperlink r:id="rId206">
              <w:r>
                <w:rPr>
                  <w:rFonts w:ascii="Arial" w:cs="Arial" w:eastAsia="Arial" w:hAnsi="Arial"/>
                  <w:sz w:val="17"/>
                  <w:szCs w:val="17"/>
                  <w:color w:val="0000FF"/>
                </w:rPr>
                <w:t>Compensation Recovery Policy (incorporated by reference</w:t>
              </w:r>
            </w:hyperlink>
          </w:p>
        </w:tc>
        <w:tc>
          <w:tcPr>
            <w:tcW w:w="5280" w:type="dxa"/>
            <w:vAlign w:val="bottom"/>
            <w:gridSpan w:val="38"/>
          </w:tcPr>
          <w:p>
            <w:pPr>
              <w:spacing w:after="0" w:line="169" w:lineRule="exact"/>
              <w:rPr>
                <w:rFonts w:ascii="Arial" w:cs="Arial" w:eastAsia="Arial" w:hAnsi="Arial"/>
                <w:sz w:val="17"/>
                <w:szCs w:val="17"/>
                <w:color w:val="0000FF"/>
              </w:rPr>
            </w:pPr>
            <w:hyperlink r:id="rId206">
              <w:r>
                <w:rPr>
                  <w:rFonts w:ascii="Arial" w:cs="Arial" w:eastAsia="Arial" w:hAnsi="Arial"/>
                  <w:sz w:val="17"/>
                  <w:szCs w:val="17"/>
                  <w:color w:val="0000FF"/>
                </w:rPr>
                <w:t>to Exhibit 97.1 to the Registrant’s Annual Report on Form 10-K filed</w:t>
              </w:r>
            </w:hyperlink>
          </w:p>
        </w:tc>
        <w:tc>
          <w:tcPr>
            <w:tcW w:w="0" w:type="dxa"/>
            <w:vAlign w:val="bottom"/>
          </w:tcPr>
          <w:p>
            <w:pPr>
              <w:spacing w:after="0"/>
              <w:rPr>
                <w:sz w:val="1"/>
                <w:szCs w:val="1"/>
                <w:color w:val="auto"/>
              </w:rPr>
            </w:pPr>
          </w:p>
        </w:tc>
      </w:tr>
      <w:tr>
        <w:trPr>
          <w:trHeight w:val="169"/>
        </w:trPr>
        <w:tc>
          <w:tcPr>
            <w:tcW w:w="150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9640" w:type="dxa"/>
            <w:vAlign w:val="bottom"/>
            <w:tcBorders>
              <w:top w:val="single" w:sz="8" w:color="0000FF"/>
            </w:tcBorders>
            <w:gridSpan w:val="44"/>
          </w:tcPr>
          <w:p>
            <w:pPr>
              <w:spacing w:after="0" w:line="169" w:lineRule="exact"/>
              <w:rPr>
                <w:rFonts w:ascii="Arial" w:cs="Arial" w:eastAsia="Arial" w:hAnsi="Arial"/>
                <w:sz w:val="17"/>
                <w:szCs w:val="17"/>
                <w:color w:val="0000FF"/>
              </w:rPr>
            </w:pPr>
            <w:hyperlink r:id="rId206">
              <w:r>
                <w:rPr>
                  <w:rFonts w:ascii="Arial" w:cs="Arial" w:eastAsia="Arial" w:hAnsi="Arial"/>
                  <w:sz w:val="17"/>
                  <w:szCs w:val="17"/>
                  <w:color w:val="0000FF"/>
                </w:rPr>
                <w:t>with the SEC on March 28, 2024)</w:t>
              </w:r>
            </w:hyperlink>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continue"/>
          </w:tcPr>
          <w:p>
            <w:pPr>
              <w:spacing w:after="0" w:line="20" w:lineRule="exact"/>
              <w:rPr>
                <w:sz w:val="1"/>
                <w:szCs w:val="1"/>
                <w:color w:val="auto"/>
              </w:rPr>
            </w:pPr>
          </w:p>
        </w:tc>
        <w:tc>
          <w:tcPr>
            <w:tcW w:w="2520" w:type="dxa"/>
            <w:vAlign w:val="bottom"/>
            <w:tcBorders>
              <w:right w:val="single" w:sz="8" w:color="0000EE"/>
            </w:tcBorders>
            <w:gridSpan w:val="7"/>
            <w:shd w:val="clear" w:color="auto" w:fill="0000FF"/>
          </w:tcPr>
          <w:p>
            <w:pPr>
              <w:spacing w:after="0" w:line="20" w:lineRule="exact"/>
              <w:rPr>
                <w:sz w:val="1"/>
                <w:szCs w:val="1"/>
                <w:color w:val="auto"/>
              </w:rPr>
            </w:pPr>
          </w:p>
        </w:tc>
        <w:tc>
          <w:tcPr>
            <w:tcW w:w="7240" w:type="dxa"/>
            <w:vAlign w:val="bottom"/>
            <w:gridSpan w:val="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00" w:type="dxa"/>
            <w:vAlign w:val="bottom"/>
            <w:vMerge w:val="continue"/>
          </w:tcPr>
          <w:p>
            <w:pPr>
              <w:spacing w:after="0"/>
              <w:rPr>
                <w:sz w:val="15"/>
                <w:szCs w:val="15"/>
                <w:color w:val="auto"/>
              </w:rPr>
            </w:pPr>
          </w:p>
        </w:tc>
        <w:tc>
          <w:tcPr>
            <w:tcW w:w="9760" w:type="dxa"/>
            <w:vAlign w:val="bottom"/>
            <w:gridSpan w:val="50"/>
          </w:tcPr>
          <w:p>
            <w:pPr>
              <w:spacing w:after="0" w:line="174"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9760" w:type="dxa"/>
            <w:vAlign w:val="bottom"/>
            <w:gridSpan w:val="50"/>
          </w:tcPr>
          <w:p>
            <w:pPr>
              <w:spacing w:after="0" w:line="189" w:lineRule="exact"/>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05"/>
        </w:trPr>
        <w:tc>
          <w:tcPr>
            <w:tcW w:w="1500" w:type="dxa"/>
            <w:vAlign w:val="bottom"/>
          </w:tcPr>
          <w:p>
            <w:pPr>
              <w:spacing w:after="0"/>
              <w:rPr>
                <w:sz w:val="20"/>
                <w:szCs w:val="20"/>
                <w:color w:val="auto"/>
              </w:rPr>
            </w:pPr>
            <w:r>
              <w:rPr>
                <w:rFonts w:ascii="Arial" w:cs="Arial" w:eastAsia="Arial" w:hAnsi="Arial"/>
                <w:sz w:val="17"/>
                <w:szCs w:val="17"/>
                <w:color w:val="auto"/>
              </w:rPr>
              <w:t>101.SCH</w:t>
            </w:r>
          </w:p>
        </w:tc>
        <w:tc>
          <w:tcPr>
            <w:tcW w:w="9760" w:type="dxa"/>
            <w:vAlign w:val="bottom"/>
            <w:gridSpan w:val="50"/>
          </w:tcPr>
          <w:p>
            <w:pPr>
              <w:spacing w:after="0"/>
              <w:rPr>
                <w:sz w:val="20"/>
                <w:szCs w:val="20"/>
                <w:color w:val="auto"/>
              </w:rPr>
            </w:pPr>
            <w:r>
              <w:rPr>
                <w:rFonts w:ascii="Arial" w:cs="Arial" w:eastAsia="Arial" w:hAnsi="Arial"/>
                <w:sz w:val="17"/>
                <w:szCs w:val="17"/>
                <w:color w:val="auto"/>
              </w:rPr>
              <w:t>Inline XBRL Taxonomy Extension Schema With Embedded Linkbase Documents</w:t>
            </w:r>
          </w:p>
        </w:tc>
        <w:tc>
          <w:tcPr>
            <w:tcW w:w="0" w:type="dxa"/>
            <w:vAlign w:val="bottom"/>
          </w:tcPr>
          <w:p>
            <w:pPr>
              <w:spacing w:after="0"/>
              <w:rPr>
                <w:sz w:val="1"/>
                <w:szCs w:val="1"/>
                <w:color w:val="auto"/>
              </w:rPr>
            </w:pPr>
          </w:p>
        </w:tc>
      </w:tr>
    </w:tbl>
    <w:p>
      <w:pPr>
        <w:ind w:left="5480" w:right="3780" w:hanging="5472"/>
        <w:spacing w:after="0" w:line="513" w:lineRule="auto"/>
        <w:tabs>
          <w:tab w:leader="none" w:pos="1492"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8" w:right="35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14230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1423035" cy="8255"/>
                    </a:xfrm>
                    <a:prstGeom prst="rect">
                      <a:avLst/>
                    </a:prstGeom>
                    <a:noFill/>
                  </pic:spPr>
                </pic:pic>
              </a:graphicData>
            </a:graphic>
          </wp:anchor>
        </w:drawing>
        <w:t>* Filed herewith.</w:t>
      </w:r>
    </w:p>
    <w:p>
      <w:pPr>
        <w:spacing w:after="0" w:line="102" w:lineRule="exact"/>
        <w:rPr>
          <w:sz w:val="20"/>
          <w:szCs w:val="20"/>
          <w:color w:val="auto"/>
        </w:rPr>
      </w:pPr>
    </w:p>
    <w:p>
      <w:pPr>
        <w:ind w:left="380" w:hanging="372"/>
        <w:spacing w:after="0" w:line="249" w:lineRule="auto"/>
        <w:tabs>
          <w:tab w:leader="none" w:pos="15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Indicates a management contract or any compensatory plan, contract or arrangement</w:t>
      </w:r>
    </w:p>
    <w:p>
      <w:pPr>
        <w:spacing w:after="0" w:line="102" w:lineRule="exact"/>
        <w:rPr>
          <w:sz w:val="20"/>
          <w:szCs w:val="20"/>
          <w:color w:val="auto"/>
        </w:rPr>
      </w:pPr>
    </w:p>
    <w:p>
      <w:pPr>
        <w:ind w:left="380" w:right="280" w:hanging="372"/>
        <w:spacing w:after="0" w:line="267" w:lineRule="auto"/>
        <w:tabs>
          <w:tab w:leader="none" w:pos="186" w:val="left"/>
        </w:tabs>
        <w:numPr>
          <w:ilvl w:val="0"/>
          <w:numId w:val="91"/>
        </w:numPr>
        <w:rPr>
          <w:rFonts w:ascii="Arial" w:cs="Arial" w:eastAsia="Arial" w:hAnsi="Arial"/>
          <w:sz w:val="17"/>
          <w:szCs w:val="17"/>
          <w:color w:val="auto"/>
        </w:rPr>
      </w:pPr>
      <w:r>
        <w:rPr>
          <w:rFonts w:ascii="Arial" w:cs="Arial" w:eastAsia="Arial" w:hAnsi="Arial"/>
          <w:sz w:val="17"/>
          <w:szCs w:val="17"/>
          <w:color w:val="auto"/>
        </w:rPr>
        <w:t>Portions of this exhibit have been omitted by means of redacting a portion of the text and replacing it with “[***]” because they are both (i) not material and (ii) the type of information that the Registrant treats as private or confidential.</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46" w:right="519" w:bottom="1440" w:gutter="0" w:footer="0" w:header="0"/>
        </w:sectPr>
      </w:pPr>
    </w:p>
    <w:bookmarkStart w:id="132" w:name="page133"/>
    <w:bookmarkEnd w:id="132"/>
    <w:p>
      <w:pPr>
        <w:jc w:val="right"/>
        <w:ind w:right="176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743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27743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4236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8935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18935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45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234569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9297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192976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21107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211074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6350</wp:posOffset>
            </wp:positionV>
            <wp:extent cx="9086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F-3</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F-4</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F-5</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F-6</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F-7</w:t>
      </w:r>
    </w:p>
    <w:p>
      <w:pPr>
        <w:sectPr>
          <w:pgSz w:w="11900" w:h="16838" w:orient="portrait"/>
          <w:cols w:equalWidth="0" w:num="2">
            <w:col w:w="9580" w:space="720"/>
            <w:col w:w="940"/>
          </w:cols>
          <w:pgMar w:left="320" w:top="1089"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Candel Therapeutics, Inc.:</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00"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color w:val="auto"/>
        </w:rPr>
        <w:t>We have audited the accompanying consolidated balance sheets of Candel Therapeutics, Inc. and subsidiary (the Company) as of December 31, 2025 and 2024, the related consolidated statements of operations, stockholders’ equity, and cash flows for each of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then ended, in conformity with U.S. generally accepted accounting principles.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12, 2026</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34" w:name="page135"/>
    <w:bookmarkEnd w:id="134"/>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0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800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8000" w:type="dxa"/>
            <w:vAlign w:val="bottom"/>
          </w:tcPr>
          <w:p>
            <w:pPr>
              <w:ind w:left="200"/>
              <w:spacing w:after="0" w:line="189" w:lineRule="exact"/>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00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FF0FC"/>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119,731</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75"/>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102,654</w:t>
            </w:r>
          </w:p>
        </w:tc>
        <w:tc>
          <w:tcPr>
            <w:tcW w:w="120" w:type="dxa"/>
            <w:vAlign w:val="bottom"/>
            <w:shd w:val="clear" w:color="auto" w:fill="CFF0FC"/>
          </w:tcPr>
          <w:p>
            <w:pPr>
              <w:spacing w:after="0"/>
              <w:rPr>
                <w:sz w:val="16"/>
                <w:szCs w:val="16"/>
                <w:color w:val="auto"/>
              </w:rPr>
            </w:pPr>
          </w:p>
        </w:tc>
      </w:tr>
      <w:tr>
        <w:trPr>
          <w:trHeight w:val="189"/>
        </w:trPr>
        <w:tc>
          <w:tcPr>
            <w:tcW w:w="8000" w:type="dxa"/>
            <w:vAlign w:val="bottom"/>
          </w:tcPr>
          <w:p>
            <w:pPr>
              <w:ind w:left="42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1,658</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1,150</w:t>
            </w:r>
          </w:p>
        </w:tc>
        <w:tc>
          <w:tcPr>
            <w:tcW w:w="120" w:type="dxa"/>
            <w:vAlign w:val="bottom"/>
          </w:tcPr>
          <w:p>
            <w:pPr>
              <w:spacing w:after="0"/>
              <w:rPr>
                <w:sz w:val="16"/>
                <w:szCs w:val="16"/>
                <w:color w:val="auto"/>
              </w:rPr>
            </w:pPr>
          </w:p>
        </w:tc>
      </w:tr>
      <w:tr>
        <w:trPr>
          <w:trHeight w:val="183"/>
        </w:trPr>
        <w:tc>
          <w:tcPr>
            <w:tcW w:w="8000" w:type="dxa"/>
            <w:vAlign w:val="bottom"/>
            <w:shd w:val="clear" w:color="auto" w:fill="CFF0FC"/>
          </w:tcPr>
          <w:p>
            <w:pPr>
              <w:ind w:left="620"/>
              <w:spacing w:after="0" w:line="183" w:lineRule="exact"/>
              <w:rPr>
                <w:sz w:val="20"/>
                <w:szCs w:val="20"/>
                <w:color w:val="auto"/>
              </w:rPr>
            </w:pPr>
            <w:r>
              <w:rPr>
                <w:rFonts w:ascii="Arial" w:cs="Arial" w:eastAsia="Arial" w:hAnsi="Arial"/>
                <w:sz w:val="17"/>
                <w:szCs w:val="17"/>
                <w:b w:val="1"/>
                <w:bCs w:val="1"/>
                <w:color w:val="auto"/>
              </w:rPr>
              <w:t>Total current assets</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121,389</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103,804</w:t>
            </w:r>
          </w:p>
        </w:tc>
        <w:tc>
          <w:tcPr>
            <w:tcW w:w="120" w:type="dxa"/>
            <w:vAlign w:val="bottom"/>
            <w:shd w:val="clear" w:color="auto" w:fill="CFF0FC"/>
          </w:tcPr>
          <w:p>
            <w:pPr>
              <w:spacing w:after="0"/>
              <w:rPr>
                <w:sz w:val="15"/>
                <w:szCs w:val="15"/>
                <w:color w:val="auto"/>
              </w:rPr>
            </w:pPr>
          </w:p>
        </w:tc>
      </w:tr>
      <w:tr>
        <w:trPr>
          <w:trHeight w:val="189"/>
        </w:trPr>
        <w:tc>
          <w:tcPr>
            <w:tcW w:w="8000" w:type="dxa"/>
            <w:vAlign w:val="bottom"/>
          </w:tcPr>
          <w:p>
            <w:pPr>
              <w:ind w:left="200"/>
              <w:spacing w:after="0" w:line="189" w:lineRule="exact"/>
              <w:rPr>
                <w:sz w:val="20"/>
                <w:szCs w:val="20"/>
                <w:color w:val="auto"/>
              </w:rPr>
            </w:pPr>
            <w:r>
              <w:rPr>
                <w:rFonts w:ascii="Arial" w:cs="Arial" w:eastAsia="Arial" w:hAnsi="Arial"/>
                <w:sz w:val="17"/>
                <w:szCs w:val="17"/>
                <w:color w:val="auto"/>
              </w:rPr>
              <w:t>Fixed assets, net</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1,642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2,191</w:t>
            </w:r>
          </w:p>
        </w:tc>
        <w:tc>
          <w:tcPr>
            <w:tcW w:w="120" w:type="dxa"/>
            <w:vAlign w:val="bottom"/>
          </w:tcPr>
          <w:p>
            <w:pPr>
              <w:spacing w:after="0"/>
              <w:rPr>
                <w:sz w:val="16"/>
                <w:szCs w:val="16"/>
                <w:color w:val="auto"/>
              </w:rPr>
            </w:pPr>
          </w:p>
        </w:tc>
      </w:tr>
      <w:tr>
        <w:trPr>
          <w:trHeight w:val="189"/>
        </w:trPr>
        <w:tc>
          <w:tcPr>
            <w:tcW w:w="800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Lease right of use assets</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1,661</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542</w:t>
            </w:r>
          </w:p>
        </w:tc>
        <w:tc>
          <w:tcPr>
            <w:tcW w:w="120" w:type="dxa"/>
            <w:vAlign w:val="bottom"/>
            <w:shd w:val="clear" w:color="auto" w:fill="CFF0FC"/>
          </w:tcPr>
          <w:p>
            <w:pPr>
              <w:spacing w:after="0"/>
              <w:rPr>
                <w:sz w:val="16"/>
                <w:szCs w:val="16"/>
                <w:color w:val="auto"/>
              </w:rPr>
            </w:pPr>
          </w:p>
        </w:tc>
      </w:tr>
      <w:tr>
        <w:trPr>
          <w:trHeight w:val="189"/>
        </w:trPr>
        <w:tc>
          <w:tcPr>
            <w:tcW w:w="8000" w:type="dxa"/>
            <w:vAlign w:val="bottom"/>
          </w:tcPr>
          <w:p>
            <w:pPr>
              <w:ind w:left="200"/>
              <w:spacing w:after="0" w:line="189" w:lineRule="exact"/>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416</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266</w:t>
            </w:r>
          </w:p>
        </w:tc>
        <w:tc>
          <w:tcPr>
            <w:tcW w:w="120" w:type="dxa"/>
            <w:vAlign w:val="bottom"/>
          </w:tcPr>
          <w:p>
            <w:pPr>
              <w:spacing w:after="0"/>
              <w:rPr>
                <w:sz w:val="16"/>
                <w:szCs w:val="16"/>
                <w:color w:val="auto"/>
              </w:rPr>
            </w:pPr>
          </w:p>
        </w:tc>
      </w:tr>
      <w:tr>
        <w:trPr>
          <w:trHeight w:val="189"/>
        </w:trPr>
        <w:tc>
          <w:tcPr>
            <w:tcW w:w="8000" w:type="dxa"/>
            <w:vAlign w:val="bottom"/>
            <w:tcBorders>
              <w:bottom w:val="single" w:sz="8" w:color="CFF0FC"/>
            </w:tcBorders>
            <w:shd w:val="clear" w:color="auto" w:fill="CFF0FC"/>
          </w:tcPr>
          <w:p>
            <w:pPr>
              <w:ind w:left="200"/>
              <w:spacing w:after="0" w:line="189" w:lineRule="exact"/>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87</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63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8000" w:type="dxa"/>
            <w:vAlign w:val="bottom"/>
          </w:tcPr>
          <w:p>
            <w:pPr>
              <w:ind w:left="620"/>
              <w:spacing w:after="0" w:line="183" w:lineRule="exact"/>
              <w:rPr>
                <w:sz w:val="20"/>
                <w:szCs w:val="20"/>
                <w:color w:val="auto"/>
              </w:rPr>
            </w:pPr>
            <w:r>
              <w:rPr>
                <w:rFonts w:ascii="Arial" w:cs="Arial" w:eastAsia="Arial" w:hAnsi="Arial"/>
                <w:sz w:val="17"/>
                <w:szCs w:val="17"/>
                <w:b w:val="1"/>
                <w:bCs w:val="1"/>
                <w:color w:val="auto"/>
              </w:rPr>
              <w:t>Total assets</w:t>
            </w:r>
          </w:p>
        </w:tc>
        <w:tc>
          <w:tcPr>
            <w:tcW w:w="3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125,195</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106,866</w:t>
            </w:r>
          </w:p>
        </w:tc>
        <w:tc>
          <w:tcPr>
            <w:tcW w:w="12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8000" w:type="dxa"/>
            <w:vAlign w:val="bottom"/>
            <w:shd w:val="clear" w:color="auto" w:fill="CFF0FC"/>
          </w:tcPr>
          <w:p>
            <w:pPr>
              <w:spacing w:after="0" w:line="170" w:lineRule="exact"/>
              <w:rPr>
                <w:sz w:val="20"/>
                <w:szCs w:val="20"/>
                <w:color w:val="auto"/>
              </w:rPr>
            </w:pPr>
            <w:r>
              <w:rPr>
                <w:rFonts w:ascii="Arial" w:cs="Arial" w:eastAsia="Arial" w:hAnsi="Arial"/>
                <w:sz w:val="17"/>
                <w:szCs w:val="17"/>
                <w:b w:val="1"/>
                <w:bCs w:val="1"/>
                <w:color w:val="auto"/>
              </w:rPr>
              <w:t>Liabilities and Stockholders’ Equity</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8000" w:type="dxa"/>
            <w:vAlign w:val="bottom"/>
          </w:tcPr>
          <w:p>
            <w:pPr>
              <w:ind w:left="200"/>
              <w:spacing w:after="0" w:line="189" w:lineRule="exact"/>
              <w:rPr>
                <w:sz w:val="20"/>
                <w:szCs w:val="20"/>
                <w:color w:val="auto"/>
              </w:rPr>
            </w:pPr>
            <w:r>
              <w:rPr>
                <w:rFonts w:ascii="Arial" w:cs="Arial" w:eastAsia="Arial" w:hAnsi="Arial"/>
                <w:sz w:val="17"/>
                <w:szCs w:val="17"/>
                <w:color w:val="auto"/>
              </w:rPr>
              <w:t>Current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00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Accounts payable</w:t>
            </w:r>
          </w:p>
        </w:tc>
        <w:tc>
          <w:tcPr>
            <w:tcW w:w="320" w:type="dxa"/>
            <w:vAlign w:val="bottom"/>
            <w:shd w:val="clear" w:color="auto" w:fill="CFF0FC"/>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1,129</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75"/>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237</w:t>
            </w:r>
          </w:p>
        </w:tc>
        <w:tc>
          <w:tcPr>
            <w:tcW w:w="120" w:type="dxa"/>
            <w:vAlign w:val="bottom"/>
            <w:shd w:val="clear" w:color="auto" w:fill="CFF0FC"/>
          </w:tcPr>
          <w:p>
            <w:pPr>
              <w:spacing w:after="0"/>
              <w:rPr>
                <w:sz w:val="16"/>
                <w:szCs w:val="16"/>
                <w:color w:val="auto"/>
              </w:rPr>
            </w:pPr>
          </w:p>
        </w:tc>
      </w:tr>
      <w:tr>
        <w:trPr>
          <w:trHeight w:val="189"/>
        </w:trPr>
        <w:tc>
          <w:tcPr>
            <w:tcW w:w="8000" w:type="dxa"/>
            <w:vAlign w:val="bottom"/>
          </w:tcPr>
          <w:p>
            <w:pPr>
              <w:ind w:left="420"/>
              <w:spacing w:after="0" w:line="189" w:lineRule="exact"/>
              <w:rPr>
                <w:sz w:val="20"/>
                <w:szCs w:val="20"/>
                <w:color w:val="auto"/>
              </w:rPr>
            </w:pPr>
            <w:r>
              <w:rPr>
                <w:rFonts w:ascii="Arial" w:cs="Arial" w:eastAsia="Arial" w:hAnsi="Arial"/>
                <w:sz w:val="17"/>
                <w:szCs w:val="17"/>
                <w:color w:val="auto"/>
              </w:rPr>
              <w:t>Accrued expenses</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7,334</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5,113</w:t>
            </w:r>
          </w:p>
        </w:tc>
        <w:tc>
          <w:tcPr>
            <w:tcW w:w="120" w:type="dxa"/>
            <w:vAlign w:val="bottom"/>
          </w:tcPr>
          <w:p>
            <w:pPr>
              <w:spacing w:after="0"/>
              <w:rPr>
                <w:sz w:val="16"/>
                <w:szCs w:val="16"/>
                <w:color w:val="auto"/>
              </w:rPr>
            </w:pPr>
          </w:p>
        </w:tc>
      </w:tr>
      <w:tr>
        <w:trPr>
          <w:trHeight w:val="189"/>
        </w:trPr>
        <w:tc>
          <w:tcPr>
            <w:tcW w:w="800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Current portion of term loans</w:t>
            </w:r>
          </w:p>
        </w:tc>
        <w:tc>
          <w:tcPr>
            <w:tcW w:w="3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9,895</w:t>
            </w:r>
          </w:p>
        </w:tc>
        <w:tc>
          <w:tcPr>
            <w:tcW w:w="120" w:type="dxa"/>
            <w:vAlign w:val="bottom"/>
            <w:shd w:val="clear" w:color="auto" w:fill="CFF0FC"/>
          </w:tcPr>
          <w:p>
            <w:pPr>
              <w:spacing w:after="0"/>
              <w:rPr>
                <w:sz w:val="16"/>
                <w:szCs w:val="16"/>
                <w:color w:val="auto"/>
              </w:rPr>
            </w:pPr>
          </w:p>
        </w:tc>
      </w:tr>
      <w:tr>
        <w:trPr>
          <w:trHeight w:val="189"/>
        </w:trPr>
        <w:tc>
          <w:tcPr>
            <w:tcW w:w="8000" w:type="dxa"/>
            <w:vAlign w:val="bottom"/>
          </w:tcPr>
          <w:p>
            <w:pPr>
              <w:ind w:left="420"/>
              <w:spacing w:after="0" w:line="189" w:lineRule="exact"/>
              <w:rPr>
                <w:sz w:val="20"/>
                <w:szCs w:val="20"/>
                <w:color w:val="auto"/>
              </w:rPr>
            </w:pPr>
            <w:r>
              <w:rPr>
                <w:rFonts w:ascii="Arial" w:cs="Arial" w:eastAsia="Arial" w:hAnsi="Arial"/>
                <w:sz w:val="17"/>
                <w:szCs w:val="17"/>
                <w:color w:val="auto"/>
              </w:rPr>
              <w:t>Current portion of lease liability</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445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566</w:t>
            </w:r>
          </w:p>
        </w:tc>
        <w:tc>
          <w:tcPr>
            <w:tcW w:w="120" w:type="dxa"/>
            <w:vAlign w:val="bottom"/>
          </w:tcPr>
          <w:p>
            <w:pPr>
              <w:spacing w:after="0"/>
              <w:rPr>
                <w:sz w:val="16"/>
                <w:szCs w:val="16"/>
                <w:color w:val="auto"/>
              </w:rPr>
            </w:pPr>
          </w:p>
        </w:tc>
      </w:tr>
      <w:tr>
        <w:trPr>
          <w:trHeight w:val="189"/>
        </w:trPr>
        <w:tc>
          <w:tcPr>
            <w:tcW w:w="800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Warrant liabilities</w:t>
            </w:r>
          </w:p>
        </w:tc>
        <w:tc>
          <w:tcPr>
            <w:tcW w:w="3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21,718</w:t>
            </w:r>
          </w:p>
        </w:tc>
        <w:tc>
          <w:tcPr>
            <w:tcW w:w="120" w:type="dxa"/>
            <w:vAlign w:val="bottom"/>
            <w:shd w:val="clear" w:color="auto" w:fill="CFF0FC"/>
          </w:tcPr>
          <w:p>
            <w:pPr>
              <w:spacing w:after="0"/>
              <w:rPr>
                <w:sz w:val="16"/>
                <w:szCs w:val="16"/>
                <w:color w:val="auto"/>
              </w:rPr>
            </w:pPr>
          </w:p>
        </w:tc>
      </w:tr>
      <w:tr>
        <w:trPr>
          <w:trHeight w:val="189"/>
        </w:trPr>
        <w:tc>
          <w:tcPr>
            <w:tcW w:w="8000" w:type="dxa"/>
            <w:vAlign w:val="bottom"/>
          </w:tcPr>
          <w:p>
            <w:pPr>
              <w:ind w:left="420"/>
              <w:spacing w:after="0" w:line="189" w:lineRule="exact"/>
              <w:rPr>
                <w:sz w:val="20"/>
                <w:szCs w:val="20"/>
                <w:color w:val="auto"/>
              </w:rPr>
            </w:pPr>
            <w:r>
              <w:rPr>
                <w:rFonts w:ascii="Arial" w:cs="Arial" w:eastAsia="Arial" w:hAnsi="Arial"/>
                <w:sz w:val="17"/>
                <w:szCs w:val="17"/>
                <w:color w:val="auto"/>
              </w:rPr>
              <w:t>Other current liabilities</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89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3"/>
        </w:trPr>
        <w:tc>
          <w:tcPr>
            <w:tcW w:w="8000" w:type="dxa"/>
            <w:vAlign w:val="bottom"/>
            <w:shd w:val="clear" w:color="auto" w:fill="CFF0FC"/>
          </w:tcPr>
          <w:p>
            <w:pPr>
              <w:ind w:left="620"/>
              <w:spacing w:after="0" w:line="183" w:lineRule="exact"/>
              <w:rPr>
                <w:sz w:val="20"/>
                <w:szCs w:val="20"/>
                <w:color w:val="auto"/>
              </w:rPr>
            </w:pPr>
            <w:r>
              <w:rPr>
                <w:rFonts w:ascii="Arial" w:cs="Arial" w:eastAsia="Arial" w:hAnsi="Arial"/>
                <w:sz w:val="17"/>
                <w:szCs w:val="17"/>
                <w:b w:val="1"/>
                <w:bCs w:val="1"/>
                <w:color w:val="auto"/>
              </w:rPr>
              <w:t>Total current liabilities</w:t>
            </w:r>
          </w:p>
        </w:tc>
        <w:tc>
          <w:tcPr>
            <w:tcW w:w="32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8,997</w:t>
            </w:r>
          </w:p>
        </w:tc>
        <w:tc>
          <w:tcPr>
            <w:tcW w:w="28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37,529</w:t>
            </w:r>
          </w:p>
        </w:tc>
        <w:tc>
          <w:tcPr>
            <w:tcW w:w="120" w:type="dxa"/>
            <w:vAlign w:val="bottom"/>
            <w:shd w:val="clear" w:color="auto" w:fill="CFF0FC"/>
          </w:tcPr>
          <w:p>
            <w:pPr>
              <w:spacing w:after="0"/>
              <w:rPr>
                <w:sz w:val="15"/>
                <w:szCs w:val="15"/>
                <w:color w:val="auto"/>
              </w:rPr>
            </w:pPr>
          </w:p>
        </w:tc>
      </w:tr>
      <w:tr>
        <w:trPr>
          <w:trHeight w:val="189"/>
        </w:trPr>
        <w:tc>
          <w:tcPr>
            <w:tcW w:w="8000" w:type="dxa"/>
            <w:vAlign w:val="bottom"/>
          </w:tcPr>
          <w:p>
            <w:pPr>
              <w:ind w:left="200"/>
              <w:spacing w:after="0" w:line="189" w:lineRule="exact"/>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89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9"/>
        </w:trPr>
        <w:tc>
          <w:tcPr>
            <w:tcW w:w="800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Term loans, net of current portion</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46,122</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1,733</w:t>
            </w:r>
          </w:p>
        </w:tc>
        <w:tc>
          <w:tcPr>
            <w:tcW w:w="120" w:type="dxa"/>
            <w:vAlign w:val="bottom"/>
            <w:shd w:val="clear" w:color="auto" w:fill="CFF0FC"/>
          </w:tcPr>
          <w:p>
            <w:pPr>
              <w:spacing w:after="0"/>
              <w:rPr>
                <w:sz w:val="16"/>
                <w:szCs w:val="16"/>
                <w:color w:val="auto"/>
              </w:rPr>
            </w:pPr>
          </w:p>
        </w:tc>
      </w:tr>
      <w:tr>
        <w:trPr>
          <w:trHeight w:val="189"/>
        </w:trPr>
        <w:tc>
          <w:tcPr>
            <w:tcW w:w="8000" w:type="dxa"/>
            <w:vAlign w:val="bottom"/>
          </w:tcPr>
          <w:p>
            <w:pPr>
              <w:ind w:left="200"/>
              <w:spacing w:after="0" w:line="189" w:lineRule="exact"/>
              <w:rPr>
                <w:sz w:val="20"/>
                <w:szCs w:val="20"/>
                <w:color w:val="auto"/>
              </w:rPr>
            </w:pPr>
            <w:r>
              <w:rPr>
                <w:rFonts w:ascii="Arial" w:cs="Arial" w:eastAsia="Arial" w:hAnsi="Arial"/>
                <w:sz w:val="17"/>
                <w:szCs w:val="17"/>
                <w:color w:val="auto"/>
              </w:rPr>
              <w:t>Other long-term debt</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1,008</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870</w:t>
            </w:r>
          </w:p>
        </w:tc>
        <w:tc>
          <w:tcPr>
            <w:tcW w:w="120" w:type="dxa"/>
            <w:vAlign w:val="bottom"/>
          </w:tcPr>
          <w:p>
            <w:pPr>
              <w:spacing w:after="0"/>
              <w:rPr>
                <w:sz w:val="16"/>
                <w:szCs w:val="16"/>
                <w:color w:val="auto"/>
              </w:rPr>
            </w:pPr>
          </w:p>
        </w:tc>
      </w:tr>
      <w:tr>
        <w:trPr>
          <w:trHeight w:val="189"/>
        </w:trPr>
        <w:tc>
          <w:tcPr>
            <w:tcW w:w="800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Lease liability, net of current portion</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1,459</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407</w:t>
            </w:r>
          </w:p>
        </w:tc>
        <w:tc>
          <w:tcPr>
            <w:tcW w:w="120" w:type="dxa"/>
            <w:vAlign w:val="bottom"/>
            <w:shd w:val="clear" w:color="auto" w:fill="CFF0FC"/>
          </w:tcPr>
          <w:p>
            <w:pPr>
              <w:spacing w:after="0"/>
              <w:rPr>
                <w:sz w:val="16"/>
                <w:szCs w:val="16"/>
                <w:color w:val="auto"/>
              </w:rPr>
            </w:pPr>
          </w:p>
        </w:tc>
      </w:tr>
      <w:tr>
        <w:trPr>
          <w:trHeight w:val="189"/>
        </w:trPr>
        <w:tc>
          <w:tcPr>
            <w:tcW w:w="8000" w:type="dxa"/>
            <w:vAlign w:val="bottom"/>
          </w:tcPr>
          <w:p>
            <w:pPr>
              <w:ind w:left="200"/>
              <w:spacing w:after="0" w:line="189" w:lineRule="exact"/>
              <w:rPr>
                <w:sz w:val="20"/>
                <w:szCs w:val="20"/>
                <w:color w:val="auto"/>
              </w:rPr>
            </w:pPr>
            <w:r>
              <w:rPr>
                <w:rFonts w:ascii="Arial" w:cs="Arial" w:eastAsia="Arial" w:hAnsi="Arial"/>
                <w:sz w:val="17"/>
                <w:szCs w:val="17"/>
                <w:color w:val="auto"/>
              </w:rPr>
              <w:t>Warrant liabilities</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15,598</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3"/>
        </w:trPr>
        <w:tc>
          <w:tcPr>
            <w:tcW w:w="8000" w:type="dxa"/>
            <w:vAlign w:val="bottom"/>
            <w:tcBorders>
              <w:bottom w:val="single" w:sz="8" w:color="CFF0FC"/>
            </w:tcBorders>
            <w:shd w:val="clear" w:color="auto" w:fill="CFF0FC"/>
          </w:tcPr>
          <w:p>
            <w:pPr>
              <w:ind w:left="620"/>
              <w:spacing w:after="0" w:line="183" w:lineRule="exact"/>
              <w:rPr>
                <w:sz w:val="20"/>
                <w:szCs w:val="20"/>
                <w:color w:val="auto"/>
              </w:rPr>
            </w:pPr>
            <w:r>
              <w:rPr>
                <w:rFonts w:ascii="Arial" w:cs="Arial" w:eastAsia="Arial" w:hAnsi="Arial"/>
                <w:sz w:val="17"/>
                <w:szCs w:val="17"/>
                <w:b w:val="1"/>
                <w:bCs w:val="1"/>
                <w:color w:val="auto"/>
              </w:rPr>
              <w:t>Total liabilities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73,273</w:t>
            </w:r>
          </w:p>
        </w:tc>
        <w:tc>
          <w:tcPr>
            <w:tcW w:w="2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40,539</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8000" w:type="dxa"/>
            <w:vAlign w:val="bottom"/>
          </w:tcPr>
          <w:p>
            <w:pPr>
              <w:ind w:left="200"/>
              <w:spacing w:after="0" w:line="183" w:lineRule="exact"/>
              <w:rPr>
                <w:sz w:val="20"/>
                <w:szCs w:val="20"/>
                <w:color w:val="auto"/>
              </w:rPr>
            </w:pPr>
            <w:r>
              <w:rPr>
                <w:rFonts w:ascii="Arial" w:cs="Arial" w:eastAsia="Arial" w:hAnsi="Arial"/>
                <w:sz w:val="17"/>
                <w:szCs w:val="17"/>
                <w:color w:val="auto"/>
              </w:rPr>
              <w:t>Commitments and contingencies (Note 15)</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800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Stockholders’ equity:</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67"/>
        </w:trPr>
        <w:tc>
          <w:tcPr>
            <w:tcW w:w="8000" w:type="dxa"/>
            <w:vAlign w:val="bottom"/>
          </w:tcPr>
          <w:p>
            <w:pPr>
              <w:ind w:left="420"/>
              <w:spacing w:after="0" w:line="167" w:lineRule="exact"/>
              <w:rPr>
                <w:sz w:val="20"/>
                <w:szCs w:val="20"/>
                <w:color w:val="auto"/>
              </w:rPr>
            </w:pPr>
            <w:r>
              <w:rPr>
                <w:rFonts w:ascii="Arial" w:cs="Arial" w:eastAsia="Arial" w:hAnsi="Arial"/>
                <w:sz w:val="17"/>
                <w:szCs w:val="17"/>
                <w:color w:val="auto"/>
              </w:rPr>
              <w:t>Preferred stock, $0.01 par value; 10,000,000 shares authorized at December 31, 2025 and 2024;</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1"/>
        </w:trPr>
        <w:tc>
          <w:tcPr>
            <w:tcW w:w="8000" w:type="dxa"/>
            <w:vAlign w:val="bottom"/>
          </w:tcPr>
          <w:p>
            <w:pPr>
              <w:ind w:left="420"/>
              <w:spacing w:after="0"/>
              <w:rPr>
                <w:sz w:val="20"/>
                <w:szCs w:val="20"/>
                <w:color w:val="auto"/>
              </w:rPr>
            </w:pPr>
            <w:r>
              <w:rPr>
                <w:rFonts w:ascii="Arial" w:cs="Arial" w:eastAsia="Arial" w:hAnsi="Arial"/>
                <w:sz w:val="17"/>
                <w:szCs w:val="17"/>
                <w:color w:val="auto"/>
              </w:rPr>
              <w:t>no shares issued or outstanding at December 31, 2025 and 2024, respectively.</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67"/>
        </w:trPr>
        <w:tc>
          <w:tcPr>
            <w:tcW w:w="8000" w:type="dxa"/>
            <w:vAlign w:val="bottom"/>
            <w:shd w:val="clear" w:color="auto" w:fill="CFF0FC"/>
          </w:tcPr>
          <w:p>
            <w:pPr>
              <w:ind w:left="420"/>
              <w:spacing w:after="0" w:line="167" w:lineRule="exact"/>
              <w:rPr>
                <w:sz w:val="20"/>
                <w:szCs w:val="20"/>
                <w:color w:val="auto"/>
              </w:rPr>
            </w:pPr>
            <w:r>
              <w:rPr>
                <w:rFonts w:ascii="Arial" w:cs="Arial" w:eastAsia="Arial" w:hAnsi="Arial"/>
                <w:sz w:val="17"/>
                <w:szCs w:val="17"/>
                <w:color w:val="auto"/>
              </w:rPr>
              <w:t>Common stock, $0.01 par value; 150,000,000 shares authorized at December 31, 2025 and</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800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2024; 55,020,911 and 46,933,088 shares issued at December 31, 2025 and 2024, respectively;</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800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and 54,898,303 and 46,810,480 shares outstanding at December 31, 2025 and 2024,</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1"/>
        </w:trPr>
        <w:tc>
          <w:tcPr>
            <w:tcW w:w="80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respectively.</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w:t>
            </w:r>
          </w:p>
        </w:tc>
        <w:tc>
          <w:tcPr>
            <w:tcW w:w="120" w:type="dxa"/>
            <w:vAlign w:val="bottom"/>
            <w:shd w:val="clear" w:color="auto" w:fill="CFF0FC"/>
          </w:tcPr>
          <w:p>
            <w:pPr>
              <w:spacing w:after="0"/>
              <w:rPr>
                <w:sz w:val="18"/>
                <w:szCs w:val="18"/>
                <w:color w:val="auto"/>
              </w:rPr>
            </w:pPr>
          </w:p>
        </w:tc>
      </w:tr>
      <w:tr>
        <w:trPr>
          <w:trHeight w:val="189"/>
        </w:trPr>
        <w:tc>
          <w:tcPr>
            <w:tcW w:w="8000" w:type="dxa"/>
            <w:vAlign w:val="bottom"/>
          </w:tcPr>
          <w:p>
            <w:pPr>
              <w:ind w:left="420"/>
              <w:spacing w:after="0" w:line="189" w:lineRule="exact"/>
              <w:rPr>
                <w:sz w:val="20"/>
                <w:szCs w:val="20"/>
                <w:color w:val="auto"/>
              </w:rPr>
            </w:pPr>
            <w:r>
              <w:rPr>
                <w:rFonts w:ascii="Arial" w:cs="Arial" w:eastAsia="Arial" w:hAnsi="Arial"/>
                <w:sz w:val="17"/>
                <w:szCs w:val="17"/>
                <w:color w:val="auto"/>
              </w:rPr>
              <w:t>Treasury stock (at cost)</w:t>
            </w:r>
          </w:p>
        </w:tc>
        <w:tc>
          <w:tcPr>
            <w:tcW w:w="320" w:type="dxa"/>
            <w:vAlign w:val="bottom"/>
          </w:tcPr>
          <w:p>
            <w:pPr>
              <w:spacing w:after="0"/>
              <w:rPr>
                <w:sz w:val="16"/>
                <w:szCs w:val="16"/>
                <w:color w:val="auto"/>
              </w:rPr>
            </w:pPr>
          </w:p>
        </w:tc>
        <w:tc>
          <w:tcPr>
            <w:tcW w:w="13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(448)</w:t>
            </w:r>
          </w:p>
        </w:tc>
        <w:tc>
          <w:tcPr>
            <w:tcW w:w="46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(448)</w:t>
            </w:r>
          </w:p>
        </w:tc>
      </w:tr>
      <w:tr>
        <w:trPr>
          <w:trHeight w:val="189"/>
        </w:trPr>
        <w:tc>
          <w:tcPr>
            <w:tcW w:w="800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Additional paid-in capital</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282,207</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258,511</w:t>
            </w:r>
          </w:p>
        </w:tc>
        <w:tc>
          <w:tcPr>
            <w:tcW w:w="120" w:type="dxa"/>
            <w:vAlign w:val="bottom"/>
            <w:shd w:val="clear" w:color="auto" w:fill="CFF0FC"/>
          </w:tcPr>
          <w:p>
            <w:pPr>
              <w:spacing w:after="0"/>
              <w:rPr>
                <w:sz w:val="16"/>
                <w:szCs w:val="16"/>
                <w:color w:val="auto"/>
              </w:rPr>
            </w:pPr>
          </w:p>
        </w:tc>
      </w:tr>
      <w:tr>
        <w:trPr>
          <w:trHeight w:val="189"/>
        </w:trPr>
        <w:tc>
          <w:tcPr>
            <w:tcW w:w="8000" w:type="dxa"/>
            <w:vAlign w:val="bottom"/>
          </w:tcPr>
          <w:p>
            <w:pPr>
              <w:ind w:left="420"/>
              <w:spacing w:after="0" w:line="189" w:lineRule="exact"/>
              <w:rPr>
                <w:sz w:val="20"/>
                <w:szCs w:val="20"/>
                <w:color w:val="auto"/>
              </w:rPr>
            </w:pPr>
            <w:r>
              <w:rPr>
                <w:rFonts w:ascii="Arial" w:cs="Arial" w:eastAsia="Arial" w:hAnsi="Arial"/>
                <w:sz w:val="17"/>
                <w:szCs w:val="17"/>
                <w:color w:val="auto"/>
              </w:rPr>
              <w:t>Accumulated deficit</w:t>
            </w:r>
          </w:p>
        </w:tc>
        <w:tc>
          <w:tcPr>
            <w:tcW w:w="320" w:type="dxa"/>
            <w:vAlign w:val="bottom"/>
          </w:tcPr>
          <w:p>
            <w:pPr>
              <w:spacing w:after="0"/>
              <w:rPr>
                <w:sz w:val="16"/>
                <w:szCs w:val="16"/>
                <w:color w:val="auto"/>
              </w:rPr>
            </w:pPr>
          </w:p>
        </w:tc>
        <w:tc>
          <w:tcPr>
            <w:tcW w:w="13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(230,387)</w:t>
            </w:r>
          </w:p>
        </w:tc>
        <w:tc>
          <w:tcPr>
            <w:tcW w:w="46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(192,205)</w:t>
            </w:r>
          </w:p>
        </w:tc>
      </w:tr>
      <w:tr>
        <w:trPr>
          <w:trHeight w:val="183"/>
        </w:trPr>
        <w:tc>
          <w:tcPr>
            <w:tcW w:w="8000" w:type="dxa"/>
            <w:vAlign w:val="bottom"/>
            <w:tcBorders>
              <w:bottom w:val="single" w:sz="8" w:color="CFF0FC"/>
            </w:tcBorders>
            <w:shd w:val="clear" w:color="auto" w:fill="CFF0FC"/>
          </w:tcPr>
          <w:p>
            <w:pPr>
              <w:ind w:left="620"/>
              <w:spacing w:after="0" w:line="183" w:lineRule="exact"/>
              <w:rPr>
                <w:sz w:val="20"/>
                <w:szCs w:val="20"/>
                <w:color w:val="auto"/>
              </w:rPr>
            </w:pPr>
            <w:r>
              <w:rPr>
                <w:rFonts w:ascii="Arial" w:cs="Arial" w:eastAsia="Arial" w:hAnsi="Arial"/>
                <w:sz w:val="17"/>
                <w:szCs w:val="17"/>
                <w:b w:val="1"/>
                <w:bCs w:val="1"/>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51,922</w:t>
            </w:r>
          </w:p>
        </w:tc>
        <w:tc>
          <w:tcPr>
            <w:tcW w:w="2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66,327</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8000" w:type="dxa"/>
            <w:vAlign w:val="bottom"/>
          </w:tcPr>
          <w:p>
            <w:pPr>
              <w:ind w:left="620"/>
              <w:spacing w:after="0" w:line="183" w:lineRule="exact"/>
              <w:rPr>
                <w:sz w:val="20"/>
                <w:szCs w:val="20"/>
                <w:color w:val="auto"/>
              </w:rPr>
            </w:pPr>
            <w:r>
              <w:rPr>
                <w:rFonts w:ascii="Arial" w:cs="Arial" w:eastAsia="Arial" w:hAnsi="Arial"/>
                <w:sz w:val="17"/>
                <w:szCs w:val="17"/>
                <w:b w:val="1"/>
                <w:bCs w:val="1"/>
                <w:color w:val="auto"/>
              </w:rPr>
              <w:t>Total liabilities and stockholders’ equity</w:t>
            </w:r>
          </w:p>
        </w:tc>
        <w:tc>
          <w:tcPr>
            <w:tcW w:w="3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125,195</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106,866</w:t>
            </w:r>
          </w:p>
        </w:tc>
        <w:tc>
          <w:tcPr>
            <w:tcW w:w="12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-3582670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-3582670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-1610995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-153670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Operating expenses:</w:t>
            </w: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340" w:type="dxa"/>
            <w:vAlign w:val="bottom"/>
          </w:tcPr>
          <w:p>
            <w:pPr>
              <w:ind w:left="200"/>
              <w:spacing w:after="0" w:line="189" w:lineRule="exact"/>
              <w:rPr>
                <w:sz w:val="20"/>
                <w:szCs w:val="20"/>
                <w:color w:val="auto"/>
              </w:rPr>
            </w:pPr>
            <w:r>
              <w:rPr>
                <w:rFonts w:ascii="Arial" w:cs="Arial" w:eastAsia="Arial" w:hAnsi="Arial"/>
                <w:sz w:val="17"/>
                <w:szCs w:val="17"/>
                <w:color w:val="auto"/>
              </w:rPr>
              <w:t>Research and development</w:t>
            </w:r>
          </w:p>
        </w:tc>
        <w:tc>
          <w:tcPr>
            <w:tcW w:w="13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30,496</w:t>
            </w:r>
          </w:p>
        </w:tc>
        <w:tc>
          <w:tcPr>
            <w:tcW w:w="320" w:type="dxa"/>
            <w:vAlign w:val="bottom"/>
          </w:tcPr>
          <w:p>
            <w:pPr>
              <w:spacing w:after="0"/>
              <w:rPr>
                <w:sz w:val="16"/>
                <w:szCs w:val="16"/>
                <w:color w:val="auto"/>
              </w:rPr>
            </w:pPr>
          </w:p>
        </w:tc>
        <w:tc>
          <w:tcPr>
            <w:tcW w:w="400" w:type="dxa"/>
            <w:vAlign w:val="bottom"/>
          </w:tcPr>
          <w:p>
            <w:pPr>
              <w:jc w:val="right"/>
              <w:ind w:right="215"/>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19,314</w:t>
            </w:r>
          </w:p>
        </w:tc>
        <w:tc>
          <w:tcPr>
            <w:tcW w:w="100" w:type="dxa"/>
            <w:vAlign w:val="bottom"/>
          </w:tcPr>
          <w:p>
            <w:pPr>
              <w:spacing w:after="0"/>
              <w:rPr>
                <w:sz w:val="16"/>
                <w:szCs w:val="16"/>
                <w:color w:val="auto"/>
              </w:rPr>
            </w:pPr>
          </w:p>
        </w:tc>
      </w:tr>
      <w:tr>
        <w:trPr>
          <w:trHeight w:val="189"/>
        </w:trPr>
        <w:tc>
          <w:tcPr>
            <w:tcW w:w="6340" w:type="dxa"/>
            <w:vAlign w:val="bottom"/>
            <w:tcBorders>
              <w:bottom w:val="single" w:sz="8" w:color="CFF0FC"/>
            </w:tcBorders>
            <w:shd w:val="clear" w:color="auto" w:fill="CFF0FC"/>
          </w:tcPr>
          <w:p>
            <w:pPr>
              <w:ind w:left="200"/>
              <w:spacing w:after="0" w:line="189" w:lineRule="exact"/>
              <w:rPr>
                <w:sz w:val="20"/>
                <w:szCs w:val="20"/>
                <w:color w:val="auto"/>
              </w:rPr>
            </w:pPr>
            <w:r>
              <w:rPr>
                <w:rFonts w:ascii="Arial" w:cs="Arial" w:eastAsia="Arial" w:hAnsi="Arial"/>
                <w:sz w:val="17"/>
                <w:szCs w:val="17"/>
                <w:color w:val="auto"/>
              </w:rPr>
              <w:t>General and administrative</w:t>
            </w:r>
          </w:p>
        </w:tc>
        <w:tc>
          <w:tcPr>
            <w:tcW w:w="9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17,770</w:t>
            </w:r>
          </w:p>
        </w:tc>
        <w:tc>
          <w:tcPr>
            <w:tcW w:w="3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14,057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340" w:type="dxa"/>
            <w:vAlign w:val="bottom"/>
          </w:tcPr>
          <w:p>
            <w:pPr>
              <w:ind w:left="560"/>
              <w:spacing w:after="0" w:line="183" w:lineRule="exact"/>
              <w:rPr>
                <w:sz w:val="20"/>
                <w:szCs w:val="20"/>
                <w:color w:val="auto"/>
              </w:rPr>
            </w:pPr>
            <w:r>
              <w:rPr>
                <w:rFonts w:ascii="Arial" w:cs="Arial" w:eastAsia="Arial" w:hAnsi="Arial"/>
                <w:sz w:val="17"/>
                <w:szCs w:val="17"/>
                <w:b w:val="1"/>
                <w:bCs w:val="1"/>
                <w:color w:val="auto"/>
              </w:rPr>
              <w:t>Total operating expenses</w:t>
            </w:r>
          </w:p>
        </w:tc>
        <w:tc>
          <w:tcPr>
            <w:tcW w:w="9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48,266</w:t>
            </w: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33,371</w:t>
            </w:r>
          </w:p>
        </w:tc>
        <w:tc>
          <w:tcPr>
            <w:tcW w:w="100" w:type="dxa"/>
            <w:vAlign w:val="bottom"/>
          </w:tcPr>
          <w:p>
            <w:pPr>
              <w:spacing w:after="0"/>
              <w:rPr>
                <w:sz w:val="15"/>
                <w:szCs w:val="15"/>
                <w:color w:val="auto"/>
              </w:rPr>
            </w:pPr>
          </w:p>
        </w:tc>
      </w:tr>
      <w:tr>
        <w:trPr>
          <w:trHeight w:val="183"/>
        </w:trPr>
        <w:tc>
          <w:tcPr>
            <w:tcW w:w="6340" w:type="dxa"/>
            <w:vAlign w:val="bottom"/>
            <w:shd w:val="clear" w:color="auto" w:fill="CFF0FC"/>
          </w:tcPr>
          <w:p>
            <w:pPr>
              <w:ind w:left="560"/>
              <w:spacing w:after="0" w:line="183" w:lineRule="exact"/>
              <w:rPr>
                <w:sz w:val="20"/>
                <w:szCs w:val="20"/>
                <w:color w:val="auto"/>
              </w:rPr>
            </w:pPr>
            <w:r>
              <w:rPr>
                <w:rFonts w:ascii="Arial" w:cs="Arial" w:eastAsia="Arial" w:hAnsi="Arial"/>
                <w:sz w:val="17"/>
                <w:szCs w:val="17"/>
                <w:b w:val="1"/>
                <w:bCs w:val="1"/>
                <w:color w:val="auto"/>
              </w:rPr>
              <w:t>Loss from operations</w:t>
            </w: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7"/>
                <w:szCs w:val="17"/>
                <w:color w:val="auto"/>
              </w:rPr>
              <w:t>(48,266)</w:t>
            </w:r>
          </w:p>
        </w:tc>
        <w:tc>
          <w:tcPr>
            <w:tcW w:w="4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(33,371)</w:t>
            </w:r>
          </w:p>
        </w:tc>
      </w:tr>
      <w:tr>
        <w:trPr>
          <w:trHeight w:val="183"/>
        </w:trPr>
        <w:tc>
          <w:tcPr>
            <w:tcW w:w="6340" w:type="dxa"/>
            <w:vAlign w:val="bottom"/>
            <w:tcBorders>
              <w:top w:val="single" w:sz="8" w:color="CFF0FC"/>
            </w:tcBorders>
          </w:tcPr>
          <w:p>
            <w:pPr>
              <w:spacing w:after="0" w:line="183" w:lineRule="exact"/>
              <w:rPr>
                <w:sz w:val="20"/>
                <w:szCs w:val="20"/>
                <w:color w:val="auto"/>
              </w:rPr>
            </w:pPr>
            <w:r>
              <w:rPr>
                <w:rFonts w:ascii="Arial" w:cs="Arial" w:eastAsia="Arial" w:hAnsi="Arial"/>
                <w:sz w:val="17"/>
                <w:szCs w:val="17"/>
                <w:b w:val="1"/>
                <w:bCs w:val="1"/>
                <w:color w:val="auto"/>
              </w:rPr>
              <w:t>Other income (expense):</w:t>
            </w:r>
          </w:p>
        </w:tc>
        <w:tc>
          <w:tcPr>
            <w:tcW w:w="98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6340" w:type="dxa"/>
            <w:vAlign w:val="bottom"/>
            <w:shd w:val="clear" w:color="auto" w:fill="CFF0FC"/>
          </w:tcPr>
          <w:p>
            <w:pPr>
              <w:ind w:left="380"/>
              <w:spacing w:after="0" w:line="189" w:lineRule="exact"/>
              <w:rPr>
                <w:sz w:val="20"/>
                <w:szCs w:val="20"/>
                <w:color w:val="auto"/>
              </w:rPr>
            </w:pPr>
            <w:r>
              <w:rPr>
                <w:rFonts w:ascii="Arial" w:cs="Arial" w:eastAsia="Arial" w:hAnsi="Arial"/>
                <w:sz w:val="17"/>
                <w:szCs w:val="17"/>
                <w:color w:val="auto"/>
              </w:rPr>
              <w:t>Grant income</w:t>
            </w:r>
          </w:p>
        </w:tc>
        <w:tc>
          <w:tcPr>
            <w:tcW w:w="9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89</w:t>
            </w: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6340" w:type="dxa"/>
            <w:vAlign w:val="bottom"/>
          </w:tcPr>
          <w:p>
            <w:pPr>
              <w:ind w:left="380"/>
              <w:spacing w:after="0" w:line="189" w:lineRule="exact"/>
              <w:rPr>
                <w:sz w:val="20"/>
                <w:szCs w:val="20"/>
                <w:color w:val="auto"/>
              </w:rPr>
            </w:pPr>
            <w:r>
              <w:rPr>
                <w:rFonts w:ascii="Arial" w:cs="Arial" w:eastAsia="Arial" w:hAnsi="Arial"/>
                <w:sz w:val="17"/>
                <w:szCs w:val="17"/>
                <w:color w:val="auto"/>
              </w:rPr>
              <w:t>Interest income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3,915</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1,086</w:t>
            </w:r>
          </w:p>
        </w:tc>
        <w:tc>
          <w:tcPr>
            <w:tcW w:w="100" w:type="dxa"/>
            <w:vAlign w:val="bottom"/>
          </w:tcPr>
          <w:p>
            <w:pPr>
              <w:spacing w:after="0"/>
              <w:rPr>
                <w:sz w:val="16"/>
                <w:szCs w:val="16"/>
                <w:color w:val="auto"/>
              </w:rPr>
            </w:pPr>
          </w:p>
        </w:tc>
      </w:tr>
      <w:tr>
        <w:trPr>
          <w:trHeight w:val="189"/>
        </w:trPr>
        <w:tc>
          <w:tcPr>
            <w:tcW w:w="6340" w:type="dxa"/>
            <w:vAlign w:val="bottom"/>
            <w:shd w:val="clear" w:color="auto" w:fill="CFF0FC"/>
          </w:tcPr>
          <w:p>
            <w:pPr>
              <w:ind w:left="380"/>
              <w:spacing w:after="0" w:line="189" w:lineRule="exact"/>
              <w:rPr>
                <w:sz w:val="20"/>
                <w:szCs w:val="20"/>
                <w:color w:val="auto"/>
              </w:rPr>
            </w:pPr>
            <w:r>
              <w:rPr>
                <w:rFonts w:ascii="Arial" w:cs="Arial" w:eastAsia="Arial" w:hAnsi="Arial"/>
                <w:sz w:val="17"/>
                <w:szCs w:val="17"/>
                <w:color w:val="auto"/>
              </w:rPr>
              <w:t>Interest expense</w:t>
            </w:r>
          </w:p>
        </w:tc>
        <w:tc>
          <w:tcPr>
            <w:tcW w:w="9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7"/>
                <w:szCs w:val="17"/>
                <w:color w:val="auto"/>
              </w:rPr>
              <w:t>(2,119)</w:t>
            </w:r>
          </w:p>
        </w:tc>
        <w:tc>
          <w:tcPr>
            <w:tcW w:w="4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(2,090)</w:t>
            </w:r>
          </w:p>
        </w:tc>
      </w:tr>
      <w:tr>
        <w:trPr>
          <w:trHeight w:val="189"/>
        </w:trPr>
        <w:tc>
          <w:tcPr>
            <w:tcW w:w="6340" w:type="dxa"/>
            <w:vAlign w:val="bottom"/>
          </w:tcPr>
          <w:p>
            <w:pPr>
              <w:ind w:left="380"/>
              <w:spacing w:after="0" w:line="189" w:lineRule="exact"/>
              <w:rPr>
                <w:sz w:val="20"/>
                <w:szCs w:val="20"/>
                <w:color w:val="auto"/>
              </w:rPr>
            </w:pPr>
            <w:r>
              <w:rPr>
                <w:rFonts w:ascii="Arial" w:cs="Arial" w:eastAsia="Arial" w:hAnsi="Arial"/>
                <w:sz w:val="17"/>
                <w:szCs w:val="17"/>
                <w:color w:val="auto"/>
              </w:rPr>
              <w:t>Change in fair value of warrant liabilities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8,199</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(20,802)</w:t>
            </w:r>
          </w:p>
        </w:tc>
      </w:tr>
      <w:tr>
        <w:trPr>
          <w:trHeight w:val="20"/>
        </w:trPr>
        <w:tc>
          <w:tcPr>
            <w:tcW w:w="6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40" w:type="dxa"/>
            <w:vAlign w:val="bottom"/>
            <w:shd w:val="clear" w:color="auto" w:fill="CFF0FC"/>
          </w:tcPr>
          <w:p>
            <w:pPr>
              <w:ind w:left="560"/>
              <w:spacing w:after="0" w:line="183" w:lineRule="exact"/>
              <w:rPr>
                <w:sz w:val="20"/>
                <w:szCs w:val="20"/>
                <w:color w:val="auto"/>
              </w:rPr>
            </w:pPr>
            <w:r>
              <w:rPr>
                <w:rFonts w:ascii="Arial" w:cs="Arial" w:eastAsia="Arial" w:hAnsi="Arial"/>
                <w:sz w:val="17"/>
                <w:szCs w:val="17"/>
                <w:b w:val="1"/>
                <w:bCs w:val="1"/>
                <w:color w:val="auto"/>
              </w:rPr>
              <w:t>Total other income (expense), net</w:t>
            </w: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10,084</w:t>
            </w: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(21,806)</w:t>
            </w:r>
          </w:p>
        </w:tc>
      </w:tr>
      <w:tr>
        <w:trPr>
          <w:trHeight w:val="20"/>
        </w:trPr>
        <w:tc>
          <w:tcPr>
            <w:tcW w:w="63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7"/>
                <w:szCs w:val="17"/>
                <w:b w:val="1"/>
                <w:bCs w:val="1"/>
                <w:color w:val="auto"/>
              </w:rPr>
              <w:t>Net loss and comprehensive loss</w:t>
            </w:r>
          </w:p>
        </w:tc>
        <w:tc>
          <w:tcPr>
            <w:tcW w:w="1380" w:type="dxa"/>
            <w:vAlign w:val="bottom"/>
            <w:gridSpan w:val="2"/>
          </w:tcPr>
          <w:p>
            <w:pPr>
              <w:jc w:val="right"/>
              <w:ind w:right="320"/>
              <w:spacing w:after="0" w:line="183"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260"/>
              <w:spacing w:after="0" w:line="183" w:lineRule="exact"/>
              <w:rPr>
                <w:sz w:val="20"/>
                <w:szCs w:val="20"/>
                <w:color w:val="auto"/>
              </w:rPr>
            </w:pPr>
            <w:r>
              <w:rPr>
                <w:rFonts w:ascii="Arial" w:cs="Arial" w:eastAsia="Arial" w:hAnsi="Arial"/>
                <w:sz w:val="17"/>
                <w:szCs w:val="17"/>
                <w:color w:val="auto"/>
              </w:rPr>
              <w:t>(38,182)</w:t>
            </w:r>
          </w:p>
        </w:tc>
        <w:tc>
          <w:tcPr>
            <w:tcW w:w="400" w:type="dxa"/>
            <w:vAlign w:val="bottom"/>
          </w:tcPr>
          <w:p>
            <w:pPr>
              <w:jc w:val="right"/>
              <w:ind w:right="215"/>
              <w:spacing w:after="0" w:line="183" w:lineRule="exact"/>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(55,177)</w:t>
            </w:r>
          </w:p>
        </w:tc>
      </w:tr>
      <w:tr>
        <w:trPr>
          <w:trHeight w:val="20"/>
        </w:trPr>
        <w:tc>
          <w:tcPr>
            <w:tcW w:w="6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40" w:type="dxa"/>
            <w:vAlign w:val="bottom"/>
            <w:shd w:val="clear" w:color="auto" w:fill="CFF0FC"/>
          </w:tcPr>
          <w:p>
            <w:pPr>
              <w:spacing w:after="0" w:line="170" w:lineRule="exact"/>
              <w:rPr>
                <w:sz w:val="20"/>
                <w:szCs w:val="20"/>
                <w:color w:val="auto"/>
              </w:rPr>
            </w:pPr>
            <w:r>
              <w:rPr>
                <w:rFonts w:ascii="Arial" w:cs="Arial" w:eastAsia="Arial" w:hAnsi="Arial"/>
                <w:sz w:val="17"/>
                <w:szCs w:val="17"/>
                <w:b w:val="1"/>
                <w:bCs w:val="1"/>
                <w:color w:val="auto"/>
              </w:rPr>
              <w:t>Net loss per share, basic and diluted</w:t>
            </w:r>
          </w:p>
        </w:tc>
        <w:tc>
          <w:tcPr>
            <w:tcW w:w="1380" w:type="dxa"/>
            <w:vAlign w:val="bottom"/>
            <w:gridSpan w:val="2"/>
            <w:shd w:val="clear" w:color="auto" w:fill="CFF0FC"/>
          </w:tcPr>
          <w:p>
            <w:pPr>
              <w:jc w:val="right"/>
              <w:ind w:right="320"/>
              <w:spacing w:after="0" w:line="170"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FF0FC"/>
          </w:tcPr>
          <w:p>
            <w:pPr>
              <w:jc w:val="right"/>
              <w:ind w:right="260"/>
              <w:spacing w:after="0" w:line="170" w:lineRule="exact"/>
              <w:rPr>
                <w:sz w:val="20"/>
                <w:szCs w:val="20"/>
                <w:color w:val="auto"/>
              </w:rPr>
            </w:pPr>
            <w:r>
              <w:rPr>
                <w:rFonts w:ascii="Arial" w:cs="Arial" w:eastAsia="Arial" w:hAnsi="Arial"/>
                <w:sz w:val="17"/>
                <w:szCs w:val="17"/>
                <w:color w:val="auto"/>
              </w:rPr>
              <w:t>(0.72)</w:t>
            </w:r>
          </w:p>
        </w:tc>
        <w:tc>
          <w:tcPr>
            <w:tcW w:w="400" w:type="dxa"/>
            <w:vAlign w:val="bottom"/>
            <w:shd w:val="clear" w:color="auto" w:fill="CFF0FC"/>
          </w:tcPr>
          <w:p>
            <w:pPr>
              <w:jc w:val="right"/>
              <w:ind w:right="215"/>
              <w:spacing w:after="0" w:line="170"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7"/>
                <w:szCs w:val="17"/>
                <w:color w:val="auto"/>
              </w:rPr>
              <w:t>(1.74)</w:t>
            </w:r>
          </w:p>
        </w:tc>
      </w:tr>
      <w:tr>
        <w:trPr>
          <w:trHeight w:val="169"/>
        </w:trPr>
        <w:tc>
          <w:tcPr>
            <w:tcW w:w="6340" w:type="dxa"/>
            <w:vAlign w:val="bottom"/>
            <w:tcBorders>
              <w:top w:val="single" w:sz="8" w:color="CFF0FC"/>
            </w:tcBorders>
          </w:tcPr>
          <w:p>
            <w:pPr>
              <w:spacing w:after="0" w:line="170" w:lineRule="exact"/>
              <w:rPr>
                <w:sz w:val="20"/>
                <w:szCs w:val="20"/>
                <w:color w:val="auto"/>
              </w:rPr>
            </w:pPr>
            <w:r>
              <w:rPr>
                <w:rFonts w:ascii="Arial" w:cs="Arial" w:eastAsia="Arial" w:hAnsi="Arial"/>
                <w:sz w:val="17"/>
                <w:szCs w:val="17"/>
                <w:b w:val="1"/>
                <w:bCs w:val="1"/>
                <w:color w:val="auto"/>
              </w:rPr>
              <w:t>Weighted-average common shares outstanding, basic and diluted</w:t>
            </w:r>
          </w:p>
        </w:tc>
        <w:tc>
          <w:tcPr>
            <w:tcW w:w="980" w:type="dxa"/>
            <w:vAlign w:val="bottom"/>
            <w:tcBorders>
              <w:top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52,958,644</w:t>
            </w:r>
          </w:p>
        </w:tc>
        <w:tc>
          <w:tcPr>
            <w:tcW w:w="320" w:type="dxa"/>
            <w:vAlign w:val="bottom"/>
            <w:tcBorders>
              <w:top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31,675,076</w:t>
            </w:r>
          </w:p>
        </w:tc>
        <w:tc>
          <w:tcPr>
            <w:tcW w:w="100" w:type="dxa"/>
            <w:vAlign w:val="bottom"/>
            <w:tcBorders>
              <w:top w:val="single" w:sz="8" w:color="CFF0FC"/>
            </w:tcBorders>
          </w:tcPr>
          <w:p>
            <w:pPr>
              <w:spacing w:after="0"/>
              <w:rPr>
                <w:sz w:val="14"/>
                <w:szCs w:val="14"/>
                <w:color w:val="auto"/>
              </w:rPr>
            </w:pPr>
          </w:p>
        </w:tc>
      </w:tr>
      <w:tr>
        <w:trPr>
          <w:trHeight w:val="20"/>
        </w:trPr>
        <w:tc>
          <w:tcPr>
            <w:tcW w:w="6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-1585595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-1328420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-591185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-316230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-299720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6" w:name="page137"/>
    <w:bookmarkEnd w:id="136"/>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80" w:type="dxa"/>
            <w:vAlign w:val="bottom"/>
          </w:tcPr>
          <w:p>
            <w:pPr>
              <w:spacing w:after="0"/>
              <w:rPr>
                <w:sz w:val="14"/>
                <w:szCs w:val="14"/>
                <w:color w:val="auto"/>
              </w:rPr>
            </w:pPr>
          </w:p>
        </w:tc>
        <w:tc>
          <w:tcPr>
            <w:tcW w:w="2120" w:type="dxa"/>
            <w:vAlign w:val="bottom"/>
            <w:gridSpan w:val="4"/>
          </w:tcPr>
          <w:p>
            <w:pPr>
              <w:jc w:val="right"/>
              <w:ind w:right="41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7"/>
        </w:trPr>
        <w:tc>
          <w:tcPr>
            <w:tcW w:w="2080" w:type="dxa"/>
            <w:vAlign w:val="bottom"/>
            <w:shd w:val="clear" w:color="auto" w:fill="CFF0FC"/>
          </w:tcPr>
          <w:p>
            <w:pPr>
              <w:spacing w:after="0" w:line="128"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4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2023</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29,213,627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w:t>
            </w:r>
          </w:p>
        </w:tc>
        <w:tc>
          <w:tcPr>
            <w:tcW w:w="14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(122,608)</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(448)</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149,931</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(137,028)</w:t>
            </w:r>
          </w:p>
        </w:tc>
        <w:tc>
          <w:tcPr>
            <w:tcW w:w="220" w:type="dxa"/>
            <w:vAlign w:val="bottom"/>
            <w:gridSpan w:val="2"/>
            <w:shd w:val="clear" w:color="auto" w:fill="CFF0FC"/>
          </w:tcPr>
          <w:p>
            <w:pPr>
              <w:jc w:val="right"/>
              <w:ind w:right="9"/>
              <w:spacing w:after="0"/>
              <w:rPr>
                <w:sz w:val="20"/>
                <w:szCs w:val="20"/>
                <w:color w:val="auto"/>
              </w:rPr>
            </w:pPr>
            <w:r>
              <w:rPr>
                <w:rFonts w:ascii="Arial" w:cs="Arial" w:eastAsia="Arial" w:hAnsi="Arial"/>
                <w:sz w:val="13"/>
                <w:szCs w:val="13"/>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80" w:type="dxa"/>
            <w:vAlign w:val="bottom"/>
          </w:tcPr>
          <w:p>
            <w:pPr>
              <w:spacing w:after="0" w:line="136" w:lineRule="exact"/>
              <w:rPr>
                <w:sz w:val="20"/>
                <w:szCs w:val="20"/>
                <w:color w:val="auto"/>
              </w:rPr>
            </w:pPr>
            <w:r>
              <w:rPr>
                <w:rFonts w:ascii="Arial" w:cs="Arial" w:eastAsia="Arial" w:hAnsi="Arial"/>
                <w:sz w:val="13"/>
                <w:szCs w:val="13"/>
                <w:color w:val="auto"/>
              </w:rPr>
              <w:t>Issuance of common stock and</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20"/>
              <w:spacing w:after="0"/>
              <w:rPr>
                <w:sz w:val="20"/>
                <w:szCs w:val="20"/>
                <w:color w:val="auto"/>
              </w:rPr>
            </w:pPr>
            <w:r>
              <w:rPr>
                <w:rFonts w:ascii="Arial" w:cs="Arial" w:eastAsia="Arial" w:hAnsi="Arial"/>
                <w:sz w:val="13"/>
                <w:szCs w:val="13"/>
                <w:color w:val="auto"/>
              </w:rPr>
              <w:t>accompanying pre-funded</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20"/>
                <w:szCs w:val="20"/>
                <w:color w:val="auto"/>
              </w:rPr>
            </w:pPr>
            <w:r>
              <w:rPr>
                <w:rFonts w:ascii="Arial" w:cs="Arial" w:eastAsia="Arial" w:hAnsi="Arial"/>
                <w:sz w:val="13"/>
                <w:szCs w:val="13"/>
                <w:color w:val="auto"/>
              </w:rPr>
              <w:t>warrants</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20"/>
              <w:spacing w:after="0"/>
              <w:rPr>
                <w:sz w:val="20"/>
                <w:szCs w:val="20"/>
                <w:color w:val="auto"/>
              </w:rPr>
            </w:pPr>
            <w:r>
              <w:rPr>
                <w:rFonts w:ascii="Arial" w:cs="Arial" w:eastAsia="Arial" w:hAnsi="Arial"/>
                <w:sz w:val="13"/>
                <w:szCs w:val="13"/>
                <w:color w:val="auto"/>
              </w:rPr>
              <w:t>in public offering, net of</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20"/>
                <w:szCs w:val="20"/>
                <w:color w:val="auto"/>
              </w:rPr>
            </w:pPr>
            <w:r>
              <w:rPr>
                <w:rFonts w:ascii="Arial" w:cs="Arial" w:eastAsia="Arial" w:hAnsi="Arial"/>
                <w:sz w:val="13"/>
                <w:szCs w:val="13"/>
                <w:color w:val="auto"/>
              </w:rPr>
              <w:t>issuance</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120"/>
              <w:spacing w:after="0"/>
              <w:rPr>
                <w:sz w:val="20"/>
                <w:szCs w:val="20"/>
                <w:color w:val="auto"/>
              </w:rPr>
            </w:pPr>
            <w:r>
              <w:rPr>
                <w:rFonts w:ascii="Arial" w:cs="Arial" w:eastAsia="Arial" w:hAnsi="Arial"/>
                <w:sz w:val="13"/>
                <w:szCs w:val="13"/>
                <w:color w:val="auto"/>
              </w:rPr>
              <w:t>costs of $6.1 million</w:t>
            </w:r>
          </w:p>
        </w:tc>
        <w:tc>
          <w:tcPr>
            <w:tcW w:w="1040" w:type="dxa"/>
            <w:vAlign w:val="bottom"/>
          </w:tcPr>
          <w:p>
            <w:pPr>
              <w:jc w:val="right"/>
              <w:spacing w:after="0"/>
              <w:rPr>
                <w:sz w:val="20"/>
                <w:szCs w:val="20"/>
                <w:color w:val="auto"/>
              </w:rPr>
            </w:pPr>
            <w:r>
              <w:rPr>
                <w:rFonts w:ascii="Arial" w:cs="Arial" w:eastAsia="Arial" w:hAnsi="Arial"/>
                <w:sz w:val="13"/>
                <w:szCs w:val="13"/>
                <w:color w:val="auto"/>
              </w:rPr>
              <w:t>12,000,001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85,808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85,928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Sale of common stock through</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at-the-market offerings, net of</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issuance costs of $0.5 million</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2,936,057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15,801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20"/>
                <w:szCs w:val="20"/>
                <w:color w:val="auto"/>
              </w:rPr>
            </w:pPr>
            <w:r>
              <w:rPr>
                <w:rFonts w:ascii="Arial" w:cs="Arial" w:eastAsia="Arial" w:hAnsi="Arial"/>
                <w:sz w:val="13"/>
                <w:szCs w:val="13"/>
                <w:color w:val="auto"/>
              </w:rPr>
              <w:t>Options exercised</w:t>
            </w:r>
          </w:p>
        </w:tc>
        <w:tc>
          <w:tcPr>
            <w:tcW w:w="1040" w:type="dxa"/>
            <w:vAlign w:val="bottom"/>
          </w:tcPr>
          <w:p>
            <w:pPr>
              <w:jc w:val="right"/>
              <w:spacing w:after="0"/>
              <w:rPr>
                <w:sz w:val="20"/>
                <w:szCs w:val="20"/>
                <w:color w:val="auto"/>
              </w:rPr>
            </w:pPr>
            <w:r>
              <w:rPr>
                <w:rFonts w:ascii="Arial" w:cs="Arial" w:eastAsia="Arial" w:hAnsi="Arial"/>
                <w:sz w:val="13"/>
                <w:szCs w:val="13"/>
                <w:color w:val="auto"/>
              </w:rPr>
              <w:t>846,943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1,689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20"/>
                <w:szCs w:val="20"/>
                <w:color w:val="auto"/>
              </w:rPr>
            </w:pPr>
            <w:r>
              <w:rPr>
                <w:rFonts w:ascii="Arial" w:cs="Arial" w:eastAsia="Arial" w:hAnsi="Arial"/>
                <w:sz w:val="13"/>
                <w:szCs w:val="13"/>
                <w:color w:val="auto"/>
              </w:rPr>
              <w:t>Restricted stock unit vesting</w:t>
            </w:r>
          </w:p>
        </w:tc>
        <w:tc>
          <w:tcPr>
            <w:tcW w:w="1040" w:type="dxa"/>
            <w:vAlign w:val="bottom"/>
          </w:tcPr>
          <w:p>
            <w:pPr>
              <w:jc w:val="right"/>
              <w:spacing w:after="0"/>
              <w:rPr>
                <w:sz w:val="20"/>
                <w:szCs w:val="20"/>
                <w:color w:val="auto"/>
              </w:rPr>
            </w:pPr>
            <w:r>
              <w:rPr>
                <w:rFonts w:ascii="Arial" w:cs="Arial" w:eastAsia="Arial" w:hAnsi="Arial"/>
                <w:sz w:val="13"/>
                <w:szCs w:val="13"/>
                <w:color w:val="auto"/>
              </w:rPr>
              <w:t>1,936,460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Change in fair value of</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NC Ohio Trust Warrants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20"/>
                <w:szCs w:val="20"/>
                <w:color w:val="auto"/>
              </w:rPr>
            </w:pPr>
            <w:r>
              <w:rPr>
                <w:rFonts w:ascii="Arial" w:cs="Arial" w:eastAsia="Arial" w:hAnsi="Arial"/>
                <w:sz w:val="13"/>
                <w:szCs w:val="13"/>
                <w:color w:val="auto"/>
              </w:rPr>
              <w:t>Net loss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(55,177)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3"/>
                <w:szCs w:val="13"/>
                <w:color w:val="auto"/>
              </w:rPr>
              <w:t>(55,177)</w:t>
            </w:r>
          </w:p>
        </w:tc>
        <w:tc>
          <w:tcPr>
            <w:tcW w:w="0" w:type="dxa"/>
            <w:vAlign w:val="bottom"/>
          </w:tcPr>
          <w:p>
            <w:pPr>
              <w:spacing w:after="0"/>
              <w:rPr>
                <w:sz w:val="1"/>
                <w:szCs w:val="1"/>
                <w:color w:val="auto"/>
              </w:rPr>
            </w:pPr>
          </w:p>
        </w:tc>
      </w:tr>
      <w:tr>
        <w:trPr>
          <w:trHeight w:val="127"/>
        </w:trPr>
        <w:tc>
          <w:tcPr>
            <w:tcW w:w="2080" w:type="dxa"/>
            <w:vAlign w:val="bottom"/>
            <w:shd w:val="clear" w:color="auto" w:fill="CFF0FC"/>
          </w:tcPr>
          <w:p>
            <w:pPr>
              <w:spacing w:after="0" w:line="128"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46,933,088</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469</w:t>
            </w:r>
          </w:p>
        </w:tc>
        <w:tc>
          <w:tcPr>
            <w:tcW w:w="240" w:type="dxa"/>
            <w:vAlign w:val="bottom"/>
            <w:shd w:val="clear" w:color="auto" w:fill="CFF0FC"/>
          </w:tcPr>
          <w:p>
            <w:pPr>
              <w:spacing w:after="0"/>
              <w:rPr>
                <w:sz w:val="11"/>
                <w:szCs w:val="11"/>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(122,608)</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(448)</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258,511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(192,205)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66,327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80" w:type="dxa"/>
            <w:vAlign w:val="bottom"/>
            <w:tcBorders>
              <w:bottom w:val="single" w:sz="8" w:color="CFF0FC"/>
            </w:tcBorders>
            <w:shd w:val="clear" w:color="auto" w:fill="CFF0FC"/>
          </w:tcPr>
          <w:p>
            <w:pPr>
              <w:spacing w:after="0" w:line="116" w:lineRule="exact"/>
              <w:rPr>
                <w:sz w:val="20"/>
                <w:szCs w:val="20"/>
                <w:color w:val="auto"/>
              </w:rPr>
            </w:pPr>
            <w:r>
              <w:rPr>
                <w:rFonts w:ascii="Arial" w:cs="Arial" w:eastAsia="Arial" w:hAnsi="Arial"/>
                <w:sz w:val="13"/>
                <w:szCs w:val="13"/>
                <w:b w:val="1"/>
                <w:bCs w:val="1"/>
                <w:color w:val="auto"/>
              </w:rPr>
              <w:t>2024</w:t>
            </w: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4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80" w:type="dxa"/>
            <w:vAlign w:val="bottom"/>
          </w:tcPr>
          <w:p>
            <w:pPr>
              <w:spacing w:after="0" w:line="116" w:lineRule="exact"/>
              <w:rPr>
                <w:sz w:val="20"/>
                <w:szCs w:val="20"/>
                <w:color w:val="auto"/>
              </w:rPr>
            </w:pPr>
            <w:r>
              <w:rPr>
                <w:rFonts w:ascii="Arial" w:cs="Arial" w:eastAsia="Arial" w:hAnsi="Arial"/>
                <w:sz w:val="13"/>
                <w:szCs w:val="13"/>
                <w:color w:val="auto"/>
              </w:rPr>
              <w:t>Issuance of common stock</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20"/>
              <w:spacing w:after="0"/>
              <w:rPr>
                <w:sz w:val="20"/>
                <w:szCs w:val="20"/>
                <w:color w:val="auto"/>
              </w:rPr>
            </w:pPr>
            <w:r>
              <w:rPr>
                <w:rFonts w:ascii="Arial" w:cs="Arial" w:eastAsia="Arial" w:hAnsi="Arial"/>
                <w:sz w:val="13"/>
                <w:szCs w:val="13"/>
                <w:color w:val="auto"/>
              </w:rPr>
              <w:t>in registered direct offering, net</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20"/>
                <w:szCs w:val="20"/>
                <w:color w:val="auto"/>
              </w:rPr>
            </w:pPr>
            <w:r>
              <w:rPr>
                <w:rFonts w:ascii="Arial" w:cs="Arial" w:eastAsia="Arial" w:hAnsi="Arial"/>
                <w:sz w:val="13"/>
                <w:szCs w:val="13"/>
                <w:color w:val="auto"/>
              </w:rPr>
              <w:t>of</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120"/>
              <w:spacing w:after="0"/>
              <w:rPr>
                <w:sz w:val="20"/>
                <w:szCs w:val="20"/>
                <w:color w:val="auto"/>
              </w:rPr>
            </w:pPr>
            <w:r>
              <w:rPr>
                <w:rFonts w:ascii="Arial" w:cs="Arial" w:eastAsia="Arial" w:hAnsi="Arial"/>
                <w:sz w:val="13"/>
                <w:szCs w:val="13"/>
                <w:color w:val="auto"/>
              </w:rPr>
              <w:t>issuance costs of $0.7 million</w:t>
            </w:r>
          </w:p>
        </w:tc>
        <w:tc>
          <w:tcPr>
            <w:tcW w:w="1040" w:type="dxa"/>
            <w:vAlign w:val="bottom"/>
          </w:tcPr>
          <w:p>
            <w:pPr>
              <w:jc w:val="right"/>
              <w:spacing w:after="0"/>
              <w:rPr>
                <w:sz w:val="20"/>
                <w:szCs w:val="20"/>
                <w:color w:val="auto"/>
              </w:rPr>
            </w:pPr>
            <w:r>
              <w:rPr>
                <w:rFonts w:ascii="Arial" w:cs="Arial" w:eastAsia="Arial" w:hAnsi="Arial"/>
                <w:sz w:val="13"/>
                <w:szCs w:val="13"/>
                <w:color w:val="auto"/>
              </w:rPr>
              <w:t>3,221,395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14,299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14,331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Sale of common stock through</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at-the-market offerings, net of</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issuance costs of $0.2 million</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987,772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20"/>
                <w:szCs w:val="20"/>
                <w:color w:val="auto"/>
              </w:rPr>
            </w:pPr>
            <w:r>
              <w:rPr>
                <w:rFonts w:ascii="Arial" w:cs="Arial" w:eastAsia="Arial" w:hAnsi="Arial"/>
                <w:sz w:val="13"/>
                <w:szCs w:val="13"/>
                <w:color w:val="auto"/>
              </w:rPr>
              <w:t>Options exercised</w:t>
            </w:r>
          </w:p>
        </w:tc>
        <w:tc>
          <w:tcPr>
            <w:tcW w:w="1040" w:type="dxa"/>
            <w:vAlign w:val="bottom"/>
          </w:tcPr>
          <w:p>
            <w:pPr>
              <w:jc w:val="right"/>
              <w:spacing w:after="0"/>
              <w:rPr>
                <w:sz w:val="20"/>
                <w:szCs w:val="20"/>
                <w:color w:val="auto"/>
              </w:rPr>
            </w:pPr>
            <w:r>
              <w:rPr>
                <w:rFonts w:ascii="Arial" w:cs="Arial" w:eastAsia="Arial" w:hAnsi="Arial"/>
                <w:sz w:val="13"/>
                <w:szCs w:val="13"/>
                <w:color w:val="auto"/>
              </w:rPr>
              <w:t>219,813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20"/>
                <w:szCs w:val="20"/>
                <w:color w:val="auto"/>
              </w:rPr>
            </w:pPr>
            <w:r>
              <w:rPr>
                <w:rFonts w:ascii="Arial" w:cs="Arial" w:eastAsia="Arial" w:hAnsi="Arial"/>
                <w:sz w:val="13"/>
                <w:szCs w:val="13"/>
                <w:color w:val="auto"/>
              </w:rPr>
              <w:t>Restricted stock unit vesting</w:t>
            </w:r>
          </w:p>
        </w:tc>
        <w:tc>
          <w:tcPr>
            <w:tcW w:w="1040" w:type="dxa"/>
            <w:vAlign w:val="bottom"/>
          </w:tcPr>
          <w:p>
            <w:pPr>
              <w:jc w:val="right"/>
              <w:spacing w:after="0"/>
              <w:rPr>
                <w:sz w:val="20"/>
                <w:szCs w:val="20"/>
                <w:color w:val="auto"/>
              </w:rPr>
            </w:pPr>
            <w:r>
              <w:rPr>
                <w:rFonts w:ascii="Arial" w:cs="Arial" w:eastAsia="Arial" w:hAnsi="Arial"/>
                <w:sz w:val="13"/>
                <w:szCs w:val="13"/>
                <w:color w:val="auto"/>
              </w:rPr>
              <w:t>330,779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Change in fair value of</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NC Ohio Trust Warrants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(498)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20"/>
                <w:szCs w:val="20"/>
                <w:color w:val="auto"/>
              </w:rPr>
            </w:pPr>
            <w:r>
              <w:rPr>
                <w:rFonts w:ascii="Arial" w:cs="Arial" w:eastAsia="Arial" w:hAnsi="Arial"/>
                <w:sz w:val="13"/>
                <w:szCs w:val="13"/>
                <w:color w:val="auto"/>
              </w:rPr>
              <w:t>Exercise of pre-funded warrants</w:t>
            </w:r>
          </w:p>
        </w:tc>
        <w:tc>
          <w:tcPr>
            <w:tcW w:w="1040" w:type="dxa"/>
            <w:vAlign w:val="bottom"/>
          </w:tcPr>
          <w:p>
            <w:pPr>
              <w:jc w:val="right"/>
              <w:spacing w:after="0"/>
              <w:rPr>
                <w:sz w:val="20"/>
                <w:szCs w:val="20"/>
                <w:color w:val="auto"/>
              </w:rPr>
            </w:pPr>
            <w:r>
              <w:rPr>
                <w:rFonts w:ascii="Arial" w:cs="Arial" w:eastAsia="Arial" w:hAnsi="Arial"/>
                <w:sz w:val="13"/>
                <w:szCs w:val="13"/>
                <w:color w:val="auto"/>
              </w:rPr>
              <w:t>3,328,064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Issuance costs related to common</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and accompanying pre-funded</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warrants in public offering</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20"/>
                <w:szCs w:val="20"/>
                <w:color w:val="auto"/>
              </w:rPr>
            </w:pPr>
            <w:r>
              <w:rPr>
                <w:rFonts w:ascii="Arial" w:cs="Arial" w:eastAsia="Arial" w:hAnsi="Arial"/>
                <w:sz w:val="13"/>
                <w:szCs w:val="13"/>
                <w:color w:val="auto"/>
              </w:rPr>
              <w:t>Net loss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(38,182)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3"/>
                <w:szCs w:val="13"/>
                <w:color w:val="auto"/>
              </w:rPr>
              <w:t>(38,182)</w:t>
            </w:r>
          </w:p>
        </w:tc>
        <w:tc>
          <w:tcPr>
            <w:tcW w:w="0" w:type="dxa"/>
            <w:vAlign w:val="bottom"/>
          </w:tcPr>
          <w:p>
            <w:pPr>
              <w:spacing w:after="0"/>
              <w:rPr>
                <w:sz w:val="1"/>
                <w:szCs w:val="1"/>
                <w:color w:val="auto"/>
              </w:rPr>
            </w:pPr>
          </w:p>
        </w:tc>
      </w:tr>
      <w:tr>
        <w:trPr>
          <w:trHeight w:val="127"/>
        </w:trPr>
        <w:tc>
          <w:tcPr>
            <w:tcW w:w="2080" w:type="dxa"/>
            <w:vAlign w:val="bottom"/>
            <w:shd w:val="clear" w:color="auto" w:fill="CFF0FC"/>
          </w:tcPr>
          <w:p>
            <w:pPr>
              <w:spacing w:after="0" w:line="128"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55,020,911</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550</w:t>
            </w:r>
          </w:p>
        </w:tc>
        <w:tc>
          <w:tcPr>
            <w:tcW w:w="240" w:type="dxa"/>
            <w:vAlign w:val="bottom"/>
            <w:shd w:val="clear" w:color="auto" w:fill="CFF0FC"/>
          </w:tcPr>
          <w:p>
            <w:pPr>
              <w:spacing w:after="0"/>
              <w:rPr>
                <w:sz w:val="11"/>
                <w:szCs w:val="11"/>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(122,608)</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(448)</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282,207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(230,387)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51,922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80" w:type="dxa"/>
            <w:vAlign w:val="bottom"/>
            <w:tcBorders>
              <w:bottom w:val="single" w:sz="8" w:color="CFF0FC"/>
            </w:tcBorders>
            <w:shd w:val="clear" w:color="auto" w:fill="CFF0FC"/>
          </w:tcPr>
          <w:p>
            <w:pPr>
              <w:spacing w:after="0" w:line="116" w:lineRule="exact"/>
              <w:rPr>
                <w:sz w:val="20"/>
                <w:szCs w:val="20"/>
                <w:color w:val="auto"/>
              </w:rPr>
            </w:pPr>
            <w:r>
              <w:rPr>
                <w:rFonts w:ascii="Arial" w:cs="Arial" w:eastAsia="Arial" w:hAnsi="Arial"/>
                <w:sz w:val="13"/>
                <w:szCs w:val="13"/>
                <w:b w:val="1"/>
                <w:bCs w:val="1"/>
                <w:color w:val="auto"/>
              </w:rPr>
              <w:t>2025</w:t>
            </w: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4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-1996440</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-1979295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-1996440</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-1979295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-1996440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-1979295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-1996440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-1979295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-1996440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-1979295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-1996440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-1979295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-102235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-85090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-102235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-85090</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-102235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-85090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-102235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-85090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-102235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-85090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-102235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-85090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772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tcPr>
          <w:p>
            <w:pPr>
              <w:ind w:left="200"/>
              <w:spacing w:after="0" w:line="189" w:lineRule="exact"/>
              <w:rPr>
                <w:sz w:val="20"/>
                <w:szCs w:val="20"/>
                <w:color w:val="auto"/>
              </w:rPr>
            </w:pPr>
            <w:r>
              <w:rPr>
                <w:rFonts w:ascii="Arial" w:cs="Arial" w:eastAsia="Arial" w:hAnsi="Arial"/>
                <w:sz w:val="17"/>
                <w:szCs w:val="17"/>
                <w:color w:val="auto"/>
              </w:rPr>
              <w:t>Net loss</w:t>
            </w:r>
          </w:p>
        </w:tc>
        <w:tc>
          <w:tcPr>
            <w:tcW w:w="3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w w:val="84"/>
              </w:rPr>
              <w:t>$</w:t>
            </w: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b w:val="1"/>
                <w:bCs w:val="1"/>
                <w:color w:val="auto"/>
              </w:rPr>
              <w:t>(38,182)</w:t>
            </w:r>
          </w:p>
        </w:tc>
        <w:tc>
          <w:tcPr>
            <w:tcW w:w="620" w:type="dxa"/>
            <w:vAlign w:val="bottom"/>
            <w:gridSpan w:val="2"/>
          </w:tcPr>
          <w:p>
            <w:pPr>
              <w:jc w:val="right"/>
              <w:ind w:right="400"/>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(55,177)</w:t>
            </w:r>
          </w:p>
        </w:tc>
      </w:tr>
      <w:tr>
        <w:trPr>
          <w:trHeight w:val="189"/>
        </w:trPr>
        <w:tc>
          <w:tcPr>
            <w:tcW w:w="7720" w:type="dxa"/>
            <w:vAlign w:val="bottom"/>
            <w:shd w:val="clear" w:color="auto" w:fill="CFF0FC"/>
          </w:tcPr>
          <w:p>
            <w:pPr>
              <w:ind w:left="400"/>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600"/>
              <w:spacing w:after="0" w:line="189" w:lineRule="exact"/>
              <w:rPr>
                <w:sz w:val="20"/>
                <w:szCs w:val="20"/>
                <w:color w:val="auto"/>
              </w:rPr>
            </w:pPr>
            <w:r>
              <w:rPr>
                <w:rFonts w:ascii="Arial" w:cs="Arial" w:eastAsia="Arial" w:hAnsi="Arial"/>
                <w:sz w:val="17"/>
                <w:szCs w:val="17"/>
                <w:color w:val="auto"/>
              </w:rPr>
              <w:t>Depreciation expense</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845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990</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Impairment of fixed assets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41</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600"/>
              <w:spacing w:after="0" w:line="189" w:lineRule="exact"/>
              <w:rPr>
                <w:sz w:val="20"/>
                <w:szCs w:val="20"/>
                <w:color w:val="auto"/>
              </w:rPr>
            </w:pPr>
            <w:r>
              <w:rPr>
                <w:rFonts w:ascii="Arial" w:cs="Arial" w:eastAsia="Arial" w:hAnsi="Arial"/>
                <w:sz w:val="17"/>
                <w:szCs w:val="17"/>
                <w:color w:val="auto"/>
              </w:rPr>
              <w:t>Loss on the sale and disposal of fixed assets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306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2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Non-cash stock compensation expense</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3,817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5,312</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600"/>
              <w:spacing w:after="0" w:line="189" w:lineRule="exact"/>
              <w:rPr>
                <w:sz w:val="20"/>
                <w:szCs w:val="20"/>
                <w:color w:val="auto"/>
              </w:rPr>
            </w:pPr>
            <w:r>
              <w:rPr>
                <w:rFonts w:ascii="Arial" w:cs="Arial" w:eastAsia="Arial" w:hAnsi="Arial"/>
                <w:sz w:val="17"/>
                <w:szCs w:val="17"/>
                <w:color w:val="auto"/>
              </w:rPr>
              <w:t>Non-cash lease expense</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321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274</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Non-cash interest expense</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138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119</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600"/>
              <w:spacing w:after="0" w:line="189" w:lineRule="exact"/>
              <w:rPr>
                <w:sz w:val="20"/>
                <w:szCs w:val="20"/>
                <w:color w:val="auto"/>
              </w:rPr>
            </w:pPr>
            <w:r>
              <w:rPr>
                <w:rFonts w:ascii="Arial" w:cs="Arial" w:eastAsia="Arial" w:hAnsi="Arial"/>
                <w:sz w:val="17"/>
                <w:szCs w:val="17"/>
                <w:color w:val="auto"/>
              </w:rPr>
              <w:t>Change in fair value of warrant liabilities</w:t>
            </w:r>
          </w:p>
        </w:tc>
        <w:tc>
          <w:tcPr>
            <w:tcW w:w="36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(8,199)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20,802</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Accretion of debt discount</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360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270</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4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(508)</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234</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600"/>
              <w:spacing w:after="0" w:line="189" w:lineRule="exact"/>
              <w:rPr>
                <w:sz w:val="20"/>
                <w:szCs w:val="20"/>
                <w:color w:val="auto"/>
              </w:rPr>
            </w:pPr>
            <w:r>
              <w:rPr>
                <w:rFonts w:ascii="Arial" w:cs="Arial" w:eastAsia="Arial" w:hAnsi="Arial"/>
                <w:sz w:val="17"/>
                <w:szCs w:val="17"/>
                <w:color w:val="auto"/>
              </w:rPr>
              <w:t>Other assets</w:t>
            </w:r>
          </w:p>
        </w:tc>
        <w:tc>
          <w:tcPr>
            <w:tcW w:w="36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53</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Accounts payable</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802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(185)</w:t>
            </w:r>
          </w:p>
        </w:tc>
      </w:tr>
      <w:tr>
        <w:trPr>
          <w:trHeight w:val="189"/>
        </w:trPr>
        <w:tc>
          <w:tcPr>
            <w:tcW w:w="7720" w:type="dxa"/>
            <w:vAlign w:val="bottom"/>
          </w:tcPr>
          <w:p>
            <w:pPr>
              <w:ind w:left="600"/>
              <w:spacing w:after="0" w:line="189" w:lineRule="exact"/>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2,254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757</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Deferred income</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20" w:type="dxa"/>
            <w:vAlign w:val="bottom"/>
          </w:tcPr>
          <w:p>
            <w:pPr>
              <w:ind w:left="600"/>
              <w:spacing w:after="0" w:line="189" w:lineRule="exact"/>
              <w:rPr>
                <w:sz w:val="20"/>
                <w:szCs w:val="20"/>
                <w:color w:val="auto"/>
              </w:rPr>
            </w:pPr>
            <w:r>
              <w:rPr>
                <w:rFonts w:ascii="Arial" w:cs="Arial" w:eastAsia="Arial" w:hAnsi="Arial"/>
                <w:sz w:val="17"/>
                <w:szCs w:val="17"/>
                <w:color w:val="auto"/>
              </w:rPr>
              <w:t>Lease liability</w:t>
            </w:r>
          </w:p>
        </w:tc>
        <w:tc>
          <w:tcPr>
            <w:tcW w:w="36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(509)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(513)</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Net cash used in operating activities</w:t>
            </w: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b w:val="1"/>
                <w:bCs w:val="1"/>
                <w:color w:val="auto"/>
              </w:rPr>
              <w:t>(38,311)</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b w:val="1"/>
                <w:bCs w:val="1"/>
                <w:color w:val="auto"/>
              </w:rPr>
              <w:t>(27,023)</w:t>
            </w:r>
          </w:p>
        </w:tc>
      </w:tr>
      <w:tr>
        <w:trPr>
          <w:trHeight w:val="183"/>
        </w:trPr>
        <w:tc>
          <w:tcPr>
            <w:tcW w:w="7720" w:type="dxa"/>
            <w:vAlign w:val="bottom"/>
            <w:tcBorders>
              <w:top w:val="single" w:sz="8" w:color="CFF0FC"/>
            </w:tcBorders>
          </w:tcPr>
          <w:p>
            <w:pPr>
              <w:spacing w:after="0" w:line="183" w:lineRule="exact"/>
              <w:rPr>
                <w:sz w:val="20"/>
                <w:szCs w:val="20"/>
                <w:color w:val="auto"/>
              </w:rPr>
            </w:pPr>
            <w:r>
              <w:rPr>
                <w:rFonts w:ascii="Arial" w:cs="Arial" w:eastAsia="Arial" w:hAnsi="Arial"/>
                <w:sz w:val="17"/>
                <w:szCs w:val="17"/>
                <w:b w:val="1"/>
                <w:bCs w:val="1"/>
                <w:color w:val="auto"/>
              </w:rPr>
              <w:t>Cash Flows from Investing Activities: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Purchase of fixed assets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(587)</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(16)</w:t>
            </w:r>
          </w:p>
        </w:tc>
      </w:tr>
      <w:tr>
        <w:trPr>
          <w:trHeight w:val="189"/>
        </w:trPr>
        <w:tc>
          <w:tcPr>
            <w:tcW w:w="7720" w:type="dxa"/>
            <w:vAlign w:val="bottom"/>
          </w:tcPr>
          <w:p>
            <w:pPr>
              <w:ind w:left="200"/>
              <w:spacing w:after="0" w:line="189" w:lineRule="exact"/>
              <w:rPr>
                <w:sz w:val="20"/>
                <w:szCs w:val="20"/>
                <w:color w:val="auto"/>
              </w:rPr>
            </w:pPr>
            <w:r>
              <w:rPr>
                <w:rFonts w:ascii="Arial" w:cs="Arial" w:eastAsia="Arial" w:hAnsi="Arial"/>
                <w:sz w:val="17"/>
                <w:szCs w:val="17"/>
                <w:color w:val="auto"/>
              </w:rPr>
              <w:t>Proceeds from the sale of fixed assets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183"/>
        </w:trPr>
        <w:tc>
          <w:tcPr>
            <w:tcW w:w="772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b w:val="1"/>
                <w:bCs w:val="1"/>
                <w:color w:val="auto"/>
              </w:rPr>
              <w:t>(560)</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b w:val="1"/>
                <w:bCs w:val="1"/>
                <w:color w:val="auto"/>
              </w:rPr>
              <w:t>(16)</w:t>
            </w:r>
          </w:p>
        </w:tc>
      </w:tr>
      <w:tr>
        <w:trPr>
          <w:trHeight w:val="183"/>
        </w:trPr>
        <w:tc>
          <w:tcPr>
            <w:tcW w:w="7720" w:type="dxa"/>
            <w:vAlign w:val="bottom"/>
            <w:tcBorders>
              <w:top w:val="single" w:sz="8" w:color="CFF0FC"/>
            </w:tcBorders>
          </w:tcPr>
          <w:p>
            <w:pPr>
              <w:spacing w:after="0" w:line="183" w:lineRule="exact"/>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Proceeds from term loan, net of issuance costs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47,946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20" w:type="dxa"/>
            <w:vAlign w:val="bottom"/>
          </w:tcPr>
          <w:p>
            <w:pPr>
              <w:ind w:left="200"/>
              <w:spacing w:after="0" w:line="189" w:lineRule="exact"/>
              <w:rPr>
                <w:sz w:val="20"/>
                <w:szCs w:val="20"/>
                <w:color w:val="auto"/>
              </w:rPr>
            </w:pPr>
            <w:r>
              <w:rPr>
                <w:rFonts w:ascii="Arial" w:cs="Arial" w:eastAsia="Arial" w:hAnsi="Arial"/>
                <w:sz w:val="17"/>
                <w:szCs w:val="17"/>
                <w:color w:val="auto"/>
              </w:rPr>
              <w:t>Proceeds from issuance of common stock in registered direct offering, net of issuance costs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14,331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Proceeds from sale of common stock through at-the-market offerings, net of issuance costs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5,038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15,830</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line="189" w:lineRule="exact"/>
              <w:rPr>
                <w:sz w:val="20"/>
                <w:szCs w:val="20"/>
                <w:color w:val="auto"/>
              </w:rPr>
            </w:pPr>
            <w:r>
              <w:rPr>
                <w:rFonts w:ascii="Arial" w:cs="Arial" w:eastAsia="Arial" w:hAnsi="Arial"/>
                <w:sz w:val="17"/>
                <w:szCs w:val="17"/>
                <w:color w:val="auto"/>
              </w:rPr>
              <w:t>Proceeds from option exercises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516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1,689</w:t>
            </w:r>
          </w:p>
        </w:tc>
        <w:tc>
          <w:tcPr>
            <w:tcW w:w="100" w:type="dxa"/>
            <w:vAlign w:val="bottom"/>
          </w:tcPr>
          <w:p>
            <w:pPr>
              <w:spacing w:after="0"/>
              <w:rPr>
                <w:sz w:val="16"/>
                <w:szCs w:val="16"/>
                <w:color w:val="auto"/>
              </w:rPr>
            </w:pPr>
          </w:p>
        </w:tc>
      </w:tr>
      <w:tr>
        <w:trPr>
          <w:trHeight w:val="167"/>
        </w:trPr>
        <w:tc>
          <w:tcPr>
            <w:tcW w:w="7720" w:type="dxa"/>
            <w:vAlign w:val="bottom"/>
            <w:shd w:val="clear" w:color="auto" w:fill="CFF0FC"/>
          </w:tcPr>
          <w:p>
            <w:pPr>
              <w:ind w:left="200"/>
              <w:spacing w:after="0" w:line="167" w:lineRule="exact"/>
              <w:rPr>
                <w:sz w:val="20"/>
                <w:szCs w:val="20"/>
                <w:color w:val="auto"/>
              </w:rPr>
            </w:pPr>
            <w:r>
              <w:rPr>
                <w:rFonts w:ascii="Arial" w:cs="Arial" w:eastAsia="Arial" w:hAnsi="Arial"/>
                <w:sz w:val="17"/>
                <w:szCs w:val="17"/>
                <w:color w:val="auto"/>
              </w:rPr>
              <w:t>Proceeds from issuance of common stock and accompanying pre-funded warrants in public</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1"/>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offering, net of issuance costs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85,928</w:t>
            </w:r>
          </w:p>
        </w:tc>
        <w:tc>
          <w:tcPr>
            <w:tcW w:w="100" w:type="dxa"/>
            <w:vAlign w:val="bottom"/>
            <w:shd w:val="clear" w:color="auto" w:fill="CFF0FC"/>
          </w:tcPr>
          <w:p>
            <w:pPr>
              <w:spacing w:after="0"/>
              <w:rPr>
                <w:sz w:val="18"/>
                <w:szCs w:val="18"/>
                <w:color w:val="auto"/>
              </w:rPr>
            </w:pPr>
          </w:p>
        </w:tc>
      </w:tr>
      <w:tr>
        <w:trPr>
          <w:trHeight w:val="189"/>
        </w:trPr>
        <w:tc>
          <w:tcPr>
            <w:tcW w:w="7720" w:type="dxa"/>
            <w:vAlign w:val="bottom"/>
          </w:tcPr>
          <w:p>
            <w:pPr>
              <w:ind w:left="200"/>
              <w:spacing w:after="0" w:line="189" w:lineRule="exact"/>
              <w:rPr>
                <w:sz w:val="20"/>
                <w:szCs w:val="20"/>
                <w:color w:val="auto"/>
              </w:rPr>
            </w:pPr>
            <w:r>
              <w:rPr>
                <w:rFonts w:ascii="Arial" w:cs="Arial" w:eastAsia="Arial" w:hAnsi="Arial"/>
                <w:sz w:val="17"/>
                <w:szCs w:val="17"/>
                <w:color w:val="auto"/>
              </w:rPr>
              <w:t>Principal payments on term loan payable to a bank</w:t>
            </w:r>
          </w:p>
        </w:tc>
        <w:tc>
          <w:tcPr>
            <w:tcW w:w="36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(11,733)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(9,167)</w:t>
            </w:r>
          </w:p>
        </w:tc>
      </w:tr>
      <w:tr>
        <w:trPr>
          <w:trHeight w:val="183"/>
        </w:trPr>
        <w:tc>
          <w:tcPr>
            <w:tcW w:w="77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b w:val="1"/>
                <w:bCs w:val="1"/>
                <w:color w:val="auto"/>
              </w:rPr>
              <w:t>56,098</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b w:val="1"/>
                <w:bCs w:val="1"/>
                <w:color w:val="auto"/>
              </w:rPr>
              <w:t>94,280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7"/>
                <w:szCs w:val="17"/>
                <w:color w:val="auto"/>
              </w:rPr>
              <w:t>Net increase in cash, cash equivalents and restricted cash</w:t>
            </w:r>
          </w:p>
        </w:tc>
        <w:tc>
          <w:tcPr>
            <w:tcW w:w="36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17,227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67,241</w:t>
            </w:r>
          </w:p>
        </w:tc>
        <w:tc>
          <w:tcPr>
            <w:tcW w:w="100" w:type="dxa"/>
            <w:vAlign w:val="bottom"/>
          </w:tcPr>
          <w:p>
            <w:pPr>
              <w:spacing w:after="0"/>
              <w:rPr>
                <w:sz w:val="15"/>
                <w:szCs w:val="15"/>
                <w:color w:val="auto"/>
              </w:rPr>
            </w:pPr>
          </w:p>
        </w:tc>
      </w:tr>
      <w:tr>
        <w:trPr>
          <w:trHeight w:val="189"/>
        </w:trPr>
        <w:tc>
          <w:tcPr>
            <w:tcW w:w="772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b w:val="1"/>
                <w:bCs w:val="1"/>
                <w:color w:val="auto"/>
              </w:rPr>
              <w:t>102,920</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b w:val="1"/>
                <w:bCs w:val="1"/>
                <w:color w:val="auto"/>
              </w:rPr>
              <w:t>35,679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7"/>
                <w:szCs w:val="17"/>
                <w:color w:val="auto"/>
              </w:rPr>
              <w:t>Cash, cash equivalents and restricted cash at end of period</w:t>
            </w:r>
          </w:p>
        </w:tc>
        <w:tc>
          <w:tcPr>
            <w:tcW w:w="360" w:type="dxa"/>
            <w:vAlign w:val="bottom"/>
          </w:tcPr>
          <w:p>
            <w:pPr>
              <w:jc w:val="right"/>
              <w:ind w:right="175"/>
              <w:spacing w:after="0" w:line="183" w:lineRule="exact"/>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120,147</w:t>
            </w:r>
          </w:p>
        </w:tc>
        <w:tc>
          <w:tcPr>
            <w:tcW w:w="180" w:type="dxa"/>
            <w:vAlign w:val="bottom"/>
          </w:tcPr>
          <w:p>
            <w:pPr>
              <w:spacing w:after="0"/>
              <w:rPr>
                <w:sz w:val="15"/>
                <w:szCs w:val="15"/>
                <w:color w:val="auto"/>
              </w:rPr>
            </w:pPr>
          </w:p>
        </w:tc>
        <w:tc>
          <w:tcPr>
            <w:tcW w:w="620" w:type="dxa"/>
            <w:vAlign w:val="bottom"/>
            <w:gridSpan w:val="2"/>
          </w:tcPr>
          <w:p>
            <w:pPr>
              <w:jc w:val="right"/>
              <w:ind w:right="400"/>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102,920</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720" w:type="dxa"/>
            <w:vAlign w:val="bottom"/>
            <w:shd w:val="clear" w:color="auto" w:fill="CFF0FC"/>
          </w:tcPr>
          <w:p>
            <w:pPr>
              <w:spacing w:after="0" w:line="170" w:lineRule="exact"/>
              <w:rPr>
                <w:sz w:val="20"/>
                <w:szCs w:val="20"/>
                <w:color w:val="auto"/>
              </w:rPr>
            </w:pPr>
            <w:r>
              <w:rPr>
                <w:rFonts w:ascii="Arial" w:cs="Arial" w:eastAsia="Arial" w:hAnsi="Arial"/>
                <w:sz w:val="17"/>
                <w:szCs w:val="17"/>
                <w:b w:val="1"/>
                <w:bCs w:val="1"/>
                <w:color w:val="auto"/>
              </w:rPr>
              <w:t>Supplemental cash flow information:</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20" w:type="dxa"/>
            <w:vAlign w:val="bottom"/>
          </w:tcPr>
          <w:p>
            <w:pPr>
              <w:ind w:left="200"/>
              <w:spacing w:after="0" w:line="189" w:lineRule="exact"/>
              <w:rPr>
                <w:sz w:val="20"/>
                <w:szCs w:val="20"/>
                <w:color w:val="auto"/>
              </w:rPr>
            </w:pPr>
            <w:r>
              <w:rPr>
                <w:rFonts w:ascii="Arial" w:cs="Arial" w:eastAsia="Arial" w:hAnsi="Arial"/>
                <w:sz w:val="17"/>
                <w:szCs w:val="17"/>
                <w:color w:val="auto"/>
              </w:rPr>
              <w:t>Cash paid for interest</w:t>
            </w:r>
          </w:p>
        </w:tc>
        <w:tc>
          <w:tcPr>
            <w:tcW w:w="36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1,280</w:t>
            </w:r>
          </w:p>
        </w:tc>
        <w:tc>
          <w:tcPr>
            <w:tcW w:w="180" w:type="dxa"/>
            <w:vAlign w:val="bottom"/>
          </w:tcPr>
          <w:p>
            <w:pPr>
              <w:spacing w:after="0"/>
              <w:rPr>
                <w:sz w:val="16"/>
                <w:szCs w:val="16"/>
                <w:color w:val="auto"/>
              </w:rPr>
            </w:pPr>
          </w:p>
        </w:tc>
        <w:tc>
          <w:tcPr>
            <w:tcW w:w="6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1,795</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7"/>
                <w:szCs w:val="17"/>
                <w:b w:val="1"/>
                <w:bCs w:val="1"/>
                <w:color w:val="auto"/>
              </w:rPr>
              <w:t>Supplemental disclosures of non-cash information:</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line="189" w:lineRule="exact"/>
              <w:rPr>
                <w:sz w:val="20"/>
                <w:szCs w:val="20"/>
                <w:color w:val="auto"/>
              </w:rPr>
            </w:pPr>
            <w:r>
              <w:rPr>
                <w:rFonts w:ascii="Arial" w:cs="Arial" w:eastAsia="Arial" w:hAnsi="Arial"/>
                <w:sz w:val="17"/>
                <w:szCs w:val="17"/>
                <w:color w:val="auto"/>
              </w:rPr>
              <w:t>Change in right of use asset and lease liability due to lease amendment</w:t>
            </w:r>
          </w:p>
        </w:tc>
        <w:tc>
          <w:tcPr>
            <w:tcW w:w="36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1,440</w:t>
            </w:r>
          </w:p>
        </w:tc>
        <w:tc>
          <w:tcPr>
            <w:tcW w:w="180" w:type="dxa"/>
            <w:vAlign w:val="bottom"/>
          </w:tcPr>
          <w:p>
            <w:pPr>
              <w:spacing w:after="0"/>
              <w:rPr>
                <w:sz w:val="16"/>
                <w:szCs w:val="16"/>
                <w:color w:val="auto"/>
              </w:rPr>
            </w:pPr>
          </w:p>
        </w:tc>
        <w:tc>
          <w:tcPr>
            <w:tcW w:w="6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Initial fair value of warrant liability in connection with debt financing</w:t>
            </w:r>
          </w:p>
        </w:tc>
        <w:tc>
          <w:tcPr>
            <w:tcW w:w="360" w:type="dxa"/>
            <w:vAlign w:val="bottom"/>
            <w:shd w:val="clear" w:color="auto" w:fill="CFF0FC"/>
          </w:tcPr>
          <w:p>
            <w:pPr>
              <w:jc w:val="right"/>
              <w:ind w:right="175"/>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2,079</w:t>
            </w:r>
          </w:p>
        </w:tc>
        <w:tc>
          <w:tcPr>
            <w:tcW w:w="18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20" w:type="dxa"/>
            <w:vAlign w:val="bottom"/>
          </w:tcPr>
          <w:p>
            <w:pPr>
              <w:ind w:left="200"/>
              <w:spacing w:after="0" w:line="189" w:lineRule="exact"/>
              <w:rPr>
                <w:sz w:val="20"/>
                <w:szCs w:val="20"/>
                <w:color w:val="auto"/>
              </w:rPr>
            </w:pPr>
            <w:r>
              <w:rPr>
                <w:rFonts w:ascii="Arial" w:cs="Arial" w:eastAsia="Arial" w:hAnsi="Arial"/>
                <w:sz w:val="17"/>
                <w:szCs w:val="17"/>
                <w:color w:val="auto"/>
              </w:rPr>
              <w:t>Capital expenditures in accounts payable and accrued expenses</w:t>
            </w:r>
          </w:p>
        </w:tc>
        <w:tc>
          <w:tcPr>
            <w:tcW w:w="36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132</w:t>
            </w:r>
          </w:p>
        </w:tc>
        <w:tc>
          <w:tcPr>
            <w:tcW w:w="180" w:type="dxa"/>
            <w:vAlign w:val="bottom"/>
          </w:tcPr>
          <w:p>
            <w:pPr>
              <w:spacing w:after="0"/>
              <w:rPr>
                <w:sz w:val="16"/>
                <w:szCs w:val="16"/>
                <w:color w:val="auto"/>
              </w:rPr>
            </w:pPr>
          </w:p>
        </w:tc>
        <w:tc>
          <w:tcPr>
            <w:tcW w:w="6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Deferred offering issuance costs in accounts payable and accrued expenses</w:t>
            </w:r>
          </w:p>
        </w:tc>
        <w:tc>
          <w:tcPr>
            <w:tcW w:w="360" w:type="dxa"/>
            <w:vAlign w:val="bottom"/>
            <w:shd w:val="clear" w:color="auto" w:fill="CFF0FC"/>
          </w:tcPr>
          <w:p>
            <w:pPr>
              <w:jc w:val="right"/>
              <w:ind w:right="175"/>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93</w:t>
            </w:r>
          </w:p>
        </w:tc>
        <w:tc>
          <w:tcPr>
            <w:tcW w:w="18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-2836545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-2339340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-1242060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-993775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7"/>
          <w:szCs w:val="17"/>
          <w:b w:val="1"/>
          <w:bCs w:val="1"/>
          <w:color w:val="auto"/>
        </w:rPr>
        <w:t>CANDEL THERAPEUTICS, INC.</w:t>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0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immunization against the injected tumor and uninjected distant metastases. The Company has established two off-the-shelf viral immunotherapy platforms and its two product candidates, aglatimagene and linoserpaturev, are in clinical trials for a number of tumor types.</w:t>
      </w:r>
    </w:p>
    <w:p>
      <w:pPr>
        <w:spacing w:after="0" w:line="10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Company is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had a net loss of $38.2 million and $55.2 million for the years ended December 31, 2025, and 2024, respectively. In addition, as of December 31, 2025, the Company had an accumulated deficit of $230.4 million. The Company expects to continue to generate operating losses and negative cash flows from operations for the foreseeable future.</w:t>
      </w:r>
    </w:p>
    <w:p>
      <w:pPr>
        <w:spacing w:after="0" w:line="6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2022 Shelf) with the U.S. Securities and Exchange Commission (SEC), which covered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ATM Program). The 2022 Shelf was declared effective by the SEC on August 12, 2022 and expired on August 12, 2025. As of August 12, 2025, the Company had sold and issued 3,923,829 shares of common stock under the 2022 ATM Program, with total net proceeds of $20.9 million.</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December 16, 2024, the Company completed a public offering of its common stock and, in lieu of common stock to certain investors, pre-funded warrants to purchase shares of its common stock. The Company issued and sold 12,000,001 shares of common stock, including full exercise of the underwriters’ option to purchase an additional 2,000,000 shares, at a public offering price of $6.00 per share. Additionally, in lieu of common stock to certain investors, the Company issued and sold pre-funded warrants to purchase 3,333,333 shares of its common stock at a public offering price of $5.99 per pre-funded warrant, which represents the per share public offering price of each share of common stock less the $0.01 per share exercise price for each pre-funded warrant. The aggregate gross proceeds before deducting underwriting discounts and commissions, and other estimated offering expenses payable by the Company were approximately $92.0 million.</w:t>
      </w:r>
    </w:p>
    <w:p>
      <w:pPr>
        <w:spacing w:after="0" w:line="74" w:lineRule="exact"/>
        <w:rPr>
          <w:sz w:val="20"/>
          <w:szCs w:val="20"/>
          <w:color w:val="auto"/>
        </w:rPr>
      </w:pPr>
    </w:p>
    <w:p>
      <w:pPr>
        <w:ind w:right="380"/>
        <w:spacing w:after="0" w:line="244" w:lineRule="auto"/>
        <w:rPr>
          <w:sz w:val="20"/>
          <w:szCs w:val="20"/>
          <w:color w:val="auto"/>
        </w:rPr>
      </w:pPr>
      <w:r>
        <w:rPr>
          <w:rFonts w:ascii="Arial" w:cs="Arial" w:eastAsia="Arial" w:hAnsi="Arial"/>
          <w:sz w:val="17"/>
          <w:szCs w:val="17"/>
          <w:color w:val="auto"/>
        </w:rPr>
        <w:t>On June 25, 2025, the Company completed a registered direct offering of its common stock. The Company issued and sold 3,221,395 shares of common stock, at a price of $4.67 per share to purchasers including existing healthcare-focused institutional investors, executive officers, and directors of the Company. The aggregate gross proceeds before deducting estimated offering expenses payable by the Company were approximately $15.0 million.</w:t>
      </w:r>
    </w:p>
    <w:p>
      <w:pPr>
        <w:spacing w:after="0" w:line="6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On August 14, 2025, the Company filed a shelf registration statement on Form S-3 (the 2025 Shelf) with the SEC, which covers the offering, issuance, and sale by us of up to an aggregate of $300.0 million of our common stock, preferred stock, debt securities, warrants and/or units of any combination thereof. The Company simultaneously entered into a sales agreement with Jefferies LLC, as sales agent, to provide for the issuance and sale by the Company of up to $50.0 million of our common stock from time to time in “at-the-market” offerings under the 2025 Shelf (the 2025 ATM Program). The 2025 Shelf was declared effective by the SEC on August 22, 2025. As of December 31, 2025 and through March 5, 2026, the Company has not sold any shares of common stock under the 2025 ATM Program.</w:t>
      </w:r>
    </w:p>
    <w:p>
      <w:pPr>
        <w:spacing w:after="0" w:line="2"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The future viability of the Company is dependent on its ability to raise additional capital to finance its operations. The Company’s inability to raise capital as and when needed could have a negative impact on its financial condition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9" w:name="page140"/>
    <w:bookmarkEnd w:id="139"/>
    <w:p>
      <w:pPr>
        <w:ind w:right="160"/>
        <w:spacing w:after="0" w:line="249" w:lineRule="auto"/>
        <w:rPr>
          <w:sz w:val="20"/>
          <w:szCs w:val="20"/>
          <w:color w:val="auto"/>
        </w:rPr>
      </w:pPr>
      <w:r>
        <w:rPr>
          <w:rFonts w:ascii="Arial" w:cs="Arial" w:eastAsia="Arial" w:hAnsi="Arial"/>
          <w:sz w:val="17"/>
          <w:szCs w:val="17"/>
          <w:color w:val="auto"/>
        </w:rPr>
        <w:t>ability to pursue its business strategies. There can be no assurances that additional funding will be available on terms acceptable to the Company, or at all. The Company believes that existing resources will fund planned operations for at least 12 months from the issuance date of these consolidated financial statements.</w:t>
      </w:r>
    </w:p>
    <w:p>
      <w:pPr>
        <w:spacing w:after="0" w:line="6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Accordingly, the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92" w:lineRule="exact"/>
        <w:rPr>
          <w:sz w:val="20"/>
          <w:szCs w:val="20"/>
          <w:color w:val="auto"/>
        </w:rPr>
      </w:pPr>
    </w:p>
    <w:p>
      <w:pPr>
        <w:ind w:right="7420" w:firstLine="8"/>
        <w:spacing w:after="0" w:line="364" w:lineRule="auto"/>
        <w:tabs>
          <w:tab w:leader="none" w:pos="19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consolidated financial statements are to the FASB Accounting Standards Codification (ASC).</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02"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color w:val="auto"/>
        </w:rPr>
        <w:t>The consolidated financial statements include the accounts of Candel Therapeutics, Inc. and its wholly owned subsidiary Candel Therapeutics Securities Corporation. All intercompany transactions and balances have been eliminated.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 considers all highly liquid investments purchased with original final maturities of three months or less from the date of purchase to be cash equivalents. Cash and cash equivalents comprise marketable securities with maturities of less than three months when purchased. Cash equivalents are reported at fair value.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0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had $0.4 million and $0.3 million of restricted cash as of December 31, 2025 and 2024, respectively, which represents cash held as a security deposit under the terms of the Company’s Needham, Massachusetts facility lease and as security for the Company credit card program.</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3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13" w:lineRule="exact"/>
        <w:rPr>
          <w:sz w:val="20"/>
          <w:szCs w:val="20"/>
          <w:color w:val="auto"/>
        </w:rPr>
      </w:pPr>
    </w:p>
    <w:p>
      <w:pPr>
        <w:ind w:left="5500" w:right="4920" w:hanging="5118"/>
        <w:spacing w:after="0" w:line="548" w:lineRule="auto"/>
        <w:tabs>
          <w:tab w:leader="none" w:pos="760" w:val="left"/>
        </w:tabs>
        <w:numPr>
          <w:ilvl w:val="0"/>
          <w:numId w:val="93"/>
        </w:numPr>
        <w:rPr>
          <w:rFonts w:ascii="Times New Roman" w:cs="Times New Roman" w:eastAsia="Times New Roman" w:hAnsi="Times New Roman"/>
          <w:sz w:val="17"/>
          <w:szCs w:val="17"/>
          <w:color w:val="auto"/>
        </w:rPr>
      </w:pPr>
      <w:r>
        <w:rPr>
          <w:rFonts w:ascii="Arial" w:cs="Arial" w:eastAsia="Arial" w:hAnsi="Arial"/>
          <w:sz w:val="17"/>
          <w:szCs w:val="17"/>
          <w:color w:val="auto"/>
        </w:rPr>
        <w:t>Level 1—Quoted prices in active markets for identical assets or liabilities.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40" w:name="page141"/>
    <w:bookmarkEnd w:id="140"/>
    <w:p>
      <w:pPr>
        <w:ind w:left="760" w:right="420" w:hanging="378"/>
        <w:spacing w:after="0" w:line="238" w:lineRule="auto"/>
        <w:tabs>
          <w:tab w:leader="none" w:pos="760" w:val="left"/>
        </w:tabs>
        <w:numPr>
          <w:ilvl w:val="0"/>
          <w:numId w:val="94"/>
        </w:numPr>
        <w:rPr>
          <w:rFonts w:ascii="Times New Roman" w:cs="Times New Roman" w:eastAsia="Times New Roman" w:hAnsi="Times New Roman"/>
          <w:sz w:val="17"/>
          <w:szCs w:val="17"/>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ind w:left="760" w:hanging="378"/>
        <w:spacing w:after="0" w:line="247" w:lineRule="auto"/>
        <w:tabs>
          <w:tab w:leader="none" w:pos="760" w:val="left"/>
        </w:tabs>
        <w:numPr>
          <w:ilvl w:val="0"/>
          <w:numId w:val="94"/>
        </w:numPr>
        <w:rPr>
          <w:rFonts w:ascii="Times New Roman" w:cs="Times New Roman" w:eastAsia="Times New Roman" w:hAnsi="Times New Roman"/>
          <w:sz w:val="17"/>
          <w:szCs w:val="17"/>
          <w:color w:val="auto"/>
        </w:rPr>
      </w:pPr>
      <w:r>
        <w:rPr>
          <w:rFonts w:ascii="Arial" w:cs="Arial" w:eastAsia="Arial" w:hAnsi="Arial"/>
          <w:sz w:val="17"/>
          <w:szCs w:val="17"/>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0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The carrying values of cash and cash equivalents (considered as Level 1 measurements), accounts payable, and accrued expenses approximate their fair values due to the short-term nature of these assets and liabilities. The carrying value of the Company's term loan approximates fair value due to the variable interest rate. The Company’s warrant liabilities are carried at fair value and are classified as Level 3 measurement.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02"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Property and equipment consist of laboratory and manufacturing equipment, networking and computer equipment, furniture and fixtures and leasehold improvements. Property and equipment are recorded at cost, and depreciated using the straight-line method over the estimated useful lives of the respective assets: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color w:val="auto"/>
              </w:rPr>
              <w:t>ASSET</w:t>
            </w:r>
          </w:p>
        </w:tc>
        <w:tc>
          <w:tcPr>
            <w:tcW w:w="5420" w:type="dxa"/>
            <w:vAlign w:val="bottom"/>
            <w:gridSpan w:val="2"/>
          </w:tcPr>
          <w:p>
            <w:pPr>
              <w:ind w:left="20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5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Networking and computer equipment</w:t>
            </w:r>
          </w:p>
        </w:tc>
        <w:tc>
          <w:tcPr>
            <w:tcW w:w="5420" w:type="dxa"/>
            <w:vAlign w:val="bottom"/>
            <w:gridSpan w:val="2"/>
            <w:shd w:val="clear" w:color="auto" w:fill="CFF0FC"/>
          </w:tcPr>
          <w:p>
            <w:pPr>
              <w:ind w:left="200"/>
              <w:spacing w:after="0" w:line="183" w:lineRule="exact"/>
              <w:rPr>
                <w:sz w:val="20"/>
                <w:szCs w:val="20"/>
                <w:color w:val="auto"/>
              </w:rPr>
            </w:pPr>
            <w:r>
              <w:rPr>
                <w:rFonts w:ascii="Arial" w:cs="Arial" w:eastAsia="Arial" w:hAnsi="Arial"/>
                <w:sz w:val="17"/>
                <w:szCs w:val="17"/>
                <w:color w:val="auto"/>
              </w:rPr>
              <w:t>5 years</w:t>
            </w:r>
          </w:p>
        </w:tc>
      </w:tr>
      <w:tr>
        <w:trPr>
          <w:trHeight w:val="189"/>
        </w:trPr>
        <w:tc>
          <w:tcPr>
            <w:tcW w:w="582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542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5 years</w:t>
            </w:r>
          </w:p>
        </w:tc>
      </w:tr>
      <w:tr>
        <w:trPr>
          <w:trHeight w:val="189"/>
        </w:trPr>
        <w:tc>
          <w:tcPr>
            <w:tcW w:w="58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Manufacturing equipment</w:t>
            </w:r>
          </w:p>
        </w:tc>
        <w:tc>
          <w:tcPr>
            <w:tcW w:w="5420" w:type="dxa"/>
            <w:vAlign w:val="bottom"/>
            <w:gridSpan w:val="2"/>
            <w:shd w:val="clear" w:color="auto" w:fill="CFF0FC"/>
          </w:tcPr>
          <w:p>
            <w:pPr>
              <w:ind w:left="200"/>
              <w:spacing w:after="0" w:line="189" w:lineRule="exact"/>
              <w:rPr>
                <w:sz w:val="20"/>
                <w:szCs w:val="20"/>
                <w:color w:val="auto"/>
              </w:rPr>
            </w:pPr>
            <w:r>
              <w:rPr>
                <w:rFonts w:ascii="Arial" w:cs="Arial" w:eastAsia="Arial" w:hAnsi="Arial"/>
                <w:sz w:val="17"/>
                <w:szCs w:val="17"/>
                <w:color w:val="auto"/>
              </w:rPr>
              <w:t>5 years</w:t>
            </w:r>
          </w:p>
        </w:tc>
      </w:tr>
      <w:tr>
        <w:trPr>
          <w:trHeight w:val="189"/>
        </w:trPr>
        <w:tc>
          <w:tcPr>
            <w:tcW w:w="5820" w:type="dxa"/>
            <w:vAlign w:val="bottom"/>
          </w:tcPr>
          <w:p>
            <w:pPr>
              <w:spacing w:after="0" w:line="189" w:lineRule="exact"/>
              <w:rPr>
                <w:sz w:val="20"/>
                <w:szCs w:val="20"/>
                <w:color w:val="auto"/>
              </w:rPr>
            </w:pPr>
            <w:r>
              <w:rPr>
                <w:rFonts w:ascii="Arial" w:cs="Arial" w:eastAsia="Arial" w:hAnsi="Arial"/>
                <w:sz w:val="17"/>
                <w:szCs w:val="17"/>
                <w:color w:val="auto"/>
              </w:rPr>
              <w:t>Furniture and fixtures</w:t>
            </w:r>
          </w:p>
        </w:tc>
        <w:tc>
          <w:tcPr>
            <w:tcW w:w="542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5 years</w:t>
            </w:r>
          </w:p>
        </w:tc>
      </w:tr>
      <w:tr>
        <w:trPr>
          <w:trHeight w:val="189"/>
        </w:trPr>
        <w:tc>
          <w:tcPr>
            <w:tcW w:w="58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Leasehold improvements</w:t>
            </w:r>
          </w:p>
        </w:tc>
        <w:tc>
          <w:tcPr>
            <w:tcW w:w="5420" w:type="dxa"/>
            <w:vAlign w:val="bottom"/>
            <w:gridSpan w:val="2"/>
            <w:shd w:val="clear" w:color="auto" w:fill="CFF0FC"/>
          </w:tcPr>
          <w:p>
            <w:pPr>
              <w:ind w:left="200"/>
              <w:spacing w:after="0" w:line="189" w:lineRule="exact"/>
              <w:rPr>
                <w:sz w:val="20"/>
                <w:szCs w:val="20"/>
                <w:color w:val="auto"/>
              </w:rPr>
            </w:pPr>
            <w:r>
              <w:rPr>
                <w:rFonts w:ascii="Arial" w:cs="Arial" w:eastAsia="Arial" w:hAnsi="Arial"/>
                <w:sz w:val="17"/>
                <w:szCs w:val="17"/>
                <w:color w:val="auto"/>
              </w:rPr>
              <w:t>Shorter of the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Lease right of use assets represent the Company’s right to use an underlying asset for the lease term and lease liabilities represent the Company’s obligation to make lease payments arising from the lease. Lease right of use assets and lease liabilities are recognized at the lease commencement date based on the present value of lease payments to be made over the lease term. The lease right of use asset is equal to the lease liability and adjusted for prepaid rent, initial direct costs, and incentives. As the Company’s leases do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79" w:lineRule="exact"/>
        <w:rPr>
          <w:sz w:val="20"/>
          <w:szCs w:val="20"/>
          <w:color w:val="auto"/>
        </w:rPr>
      </w:pPr>
    </w:p>
    <w:p>
      <w:pPr>
        <w:jc w:val="both"/>
        <w:ind w:right="760"/>
        <w:spacing w:after="0" w:line="249" w:lineRule="auto"/>
        <w:rPr>
          <w:sz w:val="20"/>
          <w:szCs w:val="20"/>
          <w:color w:val="auto"/>
        </w:rPr>
      </w:pPr>
      <w:r>
        <w:rPr>
          <w:rFonts w:ascii="Arial" w:cs="Arial" w:eastAsia="Arial" w:hAnsi="Arial"/>
          <w:sz w:val="17"/>
          <w:szCs w:val="17"/>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 term.</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Periodically, the Company maintains deposits in accredited financial institutions in-excess of the federally insured limits. The Company deposits its cash in financial institutions with a high credit quality and has not experienced any losses on such accounts and does not believe it is exposed to any unusual credit risk beyond the normal risk associated with commercial banking relationships.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fixed assets and operating lease assets.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1" w:name="page142"/>
    <w:bookmarkEnd w:id="141"/>
    <w:p>
      <w:pPr>
        <w:spacing w:after="0" w:line="244" w:lineRule="auto"/>
        <w:rPr>
          <w:sz w:val="20"/>
          <w:szCs w:val="20"/>
          <w:color w:val="auto"/>
        </w:rPr>
      </w:pPr>
      <w:r>
        <w:rPr>
          <w:rFonts w:ascii="Arial" w:cs="Arial" w:eastAsia="Arial" w:hAnsi="Arial"/>
          <w:sz w:val="17"/>
          <w:szCs w:val="17"/>
          <w:color w:val="auto"/>
        </w:rPr>
        <w:t>During the years ended December 31, 2025 and 2024, the Company recorded impairment charges totaling approximately $90,000 and $41,000, respectively, related to manufacturing equipment that the Company has determined it does not plan to use for its intended use, and the Company recorded an impairment to reduce the carrying value to its estimated fair value. The Company has not recorded any other impairment losses on such long-lived assets.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applies ASC Topic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then assesses whether or not each promised good or service is distinct. The Company then recognizes as revenue the amount of the transaction price that is allocated to the respective performance obligation when (or as) the performance obligation is satisfied.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 and Accruals</w:t>
      </w:r>
    </w:p>
    <w:p>
      <w:pPr>
        <w:spacing w:after="0" w:line="10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clinical and research institutions, contract research organizations,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and intellectual property are charged to research and development expenses as acquired in-process research and development if the technology licensed or intellectual property acquired has not reached technological feasibility and has no alternative future use.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1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All patent-related costs incurred in connection with preparing, filing, maintaining and prosecuting patent applications are expensed as incurred due to the uncertainty about the recovery of the expenditure. Amounts incurred are classified in general and administrative expenses.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accounts for its stock-based compensation in accordance with ASC Topic 718, Compensation—Stock Compensation (ASC 718). ASC 718 requires all share-based payments to employees and directors to be recognized as expense in the consolidated statements of operations based on their grant date fair values. In addition, in accordance with FASB Accounting Standards Update (ASU) 2016-09 which identifies areas for simplification of several areas of share-based payment transactions, the Company treats non-employee grants the same as employee grants.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Black-Scholes option pricing model requires inputs based on certain subjective assumptions, including (a) the expected stock price volatility, (b) the expected term of the award, (c) the risk-free interest rate and (d) expected dividends. Due to a lack of company-specific historical and implied volatility data, the Company has based its computation of expected volatility on a combination of the historical volatility of the Company and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42" w:name="page143"/>
    <w:bookmarkEnd w:id="142"/>
    <w:p>
      <w:pPr>
        <w:spacing w:after="0" w:line="239" w:lineRule="auto"/>
        <w:rPr>
          <w:sz w:val="20"/>
          <w:szCs w:val="20"/>
          <w:color w:val="auto"/>
        </w:rPr>
      </w:pPr>
      <w:r>
        <w:rPr>
          <w:rFonts w:ascii="Arial" w:cs="Arial" w:eastAsia="Arial" w:hAnsi="Arial"/>
          <w:sz w:val="17"/>
          <w:szCs w:val="17"/>
          <w:color w:val="auto"/>
        </w:rPr>
        <w:t>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7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Company generally expenses the fair value of its share-based compensation awards to employees and non-employees on a straight-line basis over the requisite service period, which is generally the vesting period.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10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The Company has applied for grants for the reimbursement of expenditures with the Massachusetts Life Sciences Center for certain qualified operating expenditures, including employee related costs. The Company recognizes government grants when there is reasonable assurance that the Company will comply with the conditions attached to the grant arrangement and the grant will be received.</w:t>
      </w:r>
    </w:p>
    <w:p>
      <w:pPr>
        <w:spacing w:after="0" w:line="67" w:lineRule="exact"/>
        <w:rPr>
          <w:sz w:val="20"/>
          <w:szCs w:val="20"/>
          <w:color w:val="auto"/>
        </w:rPr>
      </w:pPr>
    </w:p>
    <w:p>
      <w:pPr>
        <w:ind w:right="600"/>
        <w:spacing w:after="0" w:line="267" w:lineRule="auto"/>
        <w:rPr>
          <w:sz w:val="20"/>
          <w:szCs w:val="20"/>
          <w:color w:val="auto"/>
        </w:rPr>
      </w:pPr>
      <w:r>
        <w:rPr>
          <w:rFonts w:ascii="Arial" w:cs="Arial" w:eastAsia="Arial" w:hAnsi="Arial"/>
          <w:sz w:val="17"/>
          <w:szCs w:val="17"/>
          <w:color w:val="auto"/>
        </w:rPr>
        <w:t>Government grants are recorded as grant income and classified in other income in the consolidated statements of operations. The Company recognized government grant income of $88,800 and zero for the years ended December 31, 2025 and 2024,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accounts for income taxes using the asset and liability method in accordance with ASC Topic 740, Income Taxes (ASC 740)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2025 and 2024, the Company has concluded that a full valuation allowance is necessary for its deferred tax assets (see Note 12).</w:t>
      </w:r>
    </w:p>
    <w:p>
      <w:pPr>
        <w:spacing w:after="0" w:line="7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accounts for uncertainty in income taxes, by applying the two-step process to determine the amount of tax benefit to be recognized in the financial statements. First, the tax position must be evaluated to determine the likelihood that it will be sustained upon external examination by the taxing authorities. If the tax position is deemed more-likely-than-not to be sustained, the tax is then assessed as the amount of benefits to be recognized in the consolidated financial statements. The amount of benefits that may be used are the largest amounts that have a greater than 50% likelihood of being realized upon ultimate settlement. The provision for income taxes includes the effects of any resulting tax reserves or unrecognized tax benefits that are considered appropriate as well as the related net interest received. As of December 31, 2025, the Company did not record any unrecognized benefits from uncertain tax positions in its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0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Basic net loss per share is computed by dividing net loss attributable to common stockholders by the weighted-average number of shares of common stock outstanding during the period, including the pre-funded warrants given their nominal exercise price. Diluted net loss per share is computed using the weighted-average number of shares of common stock outstanding during the period, including the pre-funded warrants given their nominal exercise price and, if dilutive, the weighted-average number of potential shares of common stock. In periods where the Company reports a net loss attributable to common stockholders, diluted net loss per share is the same as basic net loss per share, since dilutive shares of common stock are not assumed to have been issued if their effect is anti-dilutive. Diluted net loss per share is the same as basic net loss per share for the years ended December 31, 2025 and 2024 since all potential shares of common stock instruments are anti-dilutive as a result of the loss for such periods.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02" w:lineRule="exact"/>
        <w:rPr>
          <w:sz w:val="20"/>
          <w:szCs w:val="20"/>
          <w:color w:val="auto"/>
        </w:rPr>
      </w:pPr>
    </w:p>
    <w:p>
      <w:pPr>
        <w:jc w:val="both"/>
        <w:ind w:right="360"/>
        <w:spacing w:after="0" w:line="249" w:lineRule="auto"/>
        <w:rPr>
          <w:sz w:val="20"/>
          <w:szCs w:val="20"/>
          <w:color w:val="auto"/>
        </w:rPr>
      </w:pPr>
      <w:r>
        <w:rPr>
          <w:rFonts w:ascii="Arial" w:cs="Arial" w:eastAsia="Arial" w:hAnsi="Arial"/>
          <w:sz w:val="17"/>
          <w:szCs w:val="17"/>
          <w:color w:val="auto"/>
        </w:rPr>
        <w:t>In November 2023, the FASB issued Accounting Standards Update (ASU) 2023-07, Segment Reporting: Improvements to Reportable Segment Disclosures, which amends guidance in ASC 280, Segment Reporting. The amendments in this ASU expand segment disclosure requirements, including new segment disclosure requirements for entities with a single</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43" w:name="page144"/>
    <w:bookmarkEnd w:id="143"/>
    <w:p>
      <w:pPr>
        <w:ind w:right="360" w:firstLine="47"/>
        <w:spacing w:after="0" w:line="267" w:lineRule="auto"/>
        <w:rPr>
          <w:sz w:val="20"/>
          <w:szCs w:val="20"/>
          <w:color w:val="auto"/>
        </w:rPr>
      </w:pPr>
      <w:r>
        <w:rPr>
          <w:rFonts w:ascii="Arial" w:cs="Arial" w:eastAsia="Arial" w:hAnsi="Arial"/>
          <w:sz w:val="17"/>
          <w:szCs w:val="17"/>
          <w:color w:val="auto"/>
        </w:rPr>
        <w:t>reportable segment, among other disclosure requirements. The ASU’s amendments are effective for public business entities for interim periods beginning after December 15, 2024. The Company adopted ASU 2023-07 on an interim basis beginning on January 1, 2025 (see Note 17).</w:t>
      </w:r>
    </w:p>
    <w:p>
      <w:pPr>
        <w:spacing w:after="0" w:line="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As of December 31, 2025, the Company adopted this new ASU retrospectively (see Note 12) and it only impacts the Company's income tax disclosures with no impact to its operations, cash flows, or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consolidated financial statements and related disclosures.</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(Subtopic 220-40): Disaggregation of Income Statement Expenses, which requires additional disclosure in the notes to the financial statements of the nature of certain expenses included in the income statement. The ASU's amendments are effective for annual reporting periods beginning after December 15, 2026, and interim reporting periods beginning after December 15, 2027. Early adoption is permitted. Adoption can be either prospectively or retrospectively applied. The Company is currently evaluating the potential impact that ASU 2024-03 may have on its consolidated financial statements and related disclosures.</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September 2025, the FASB issued ASU 2025-06, Intangibles-Goodwill and Other-Internal-Use Software (Subtopic 350-40): Targeted Improvements to the Accounting for Internal-Use Software, which removes references to prescriptive and sequential development stages, requiring companies to capitalize internal-use software costs when management commits to funding the software project and it is probable the project will be completed. The ASU's amendments are effective for annual reporting periods beginning after December 15, 2027, and interim reporting periods within those annual reporting periods. Early adoption is permitted as of the beginning of an annual reporting period. Adoption can be applied prospectively, retrospectively or with a modified transition approach. The Company is currently evaluating the potential impact that ASU 2025-06 may have on its consolidated financial statements and related disclosures.</w:t>
      </w:r>
    </w:p>
    <w:p>
      <w:pPr>
        <w:spacing w:after="0" w:line="7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December 2025, the FASB issued ASU 2025-10, Government Grants (Topic 832): Accounting for Government Grants Received by Business Entities, which provides recognition, measurement, presentation, and disclosure requirements for government grants. The ASU's amendments are effective for annual reporting periods beginning after December 15, 2028, and interim reporting periods within those annual reporting periods. Early adoption is permitted in both interim and annual reporting periods. Adoption can be applied with a modified prospective approach, a modified retrospective approach or retrospectively. The Company is currently evaluating the potential impact that ASU 2025-10 may have on its consolidated financial statements and related disclosures.</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In December 2025, the FASB issued ASU 2025-11, Interim Reporting (Topic 270): Narrow-Scope Improvements, which is intended to clarify and improve certain aspects of interim financial reporting, including the requirements for interim disclosures and the application of recognition and measurement guidance in interim periods. ASU 2025-11 is effective for interim reporting periods within annual reporting periods beginning after December 15, 2027, with early adoption permitted. Adoption can be applied prospectively or retrospectively. The Company is currently evaluating the potential impact that ASU 2025-11 may have on its consolidated financial statements and related disclosures.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color w:val="auto"/>
        </w:rPr>
        <w:t>3. Fair Value of Financial Assets and Liabilities</w:t>
      </w:r>
    </w:p>
    <w:p>
      <w:pPr>
        <w:spacing w:after="0" w:line="10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FAIR VALUE MEASUREMENTS AS OF</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DECEMBER 31, 2025 USING:</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6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3"/>
                <w:szCs w:val="13"/>
                <w:color w:val="auto"/>
              </w:rPr>
            </w:pPr>
          </w:p>
        </w:tc>
        <w:tc>
          <w:tcPr>
            <w:tcW w:w="94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83"/>
        </w:trPr>
        <w:tc>
          <w:tcPr>
            <w:tcW w:w="364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Liabilities:</w:t>
            </w:r>
          </w:p>
        </w:tc>
        <w:tc>
          <w:tcPr>
            <w:tcW w:w="218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3640" w:type="dxa"/>
            <w:vAlign w:val="bottom"/>
          </w:tcPr>
          <w:p>
            <w:pPr>
              <w:ind w:left="160"/>
              <w:spacing w:after="0" w:line="189" w:lineRule="exact"/>
              <w:rPr>
                <w:sz w:val="20"/>
                <w:szCs w:val="20"/>
                <w:color w:val="auto"/>
              </w:rPr>
            </w:pPr>
            <w:r>
              <w:rPr>
                <w:rFonts w:ascii="Arial" w:cs="Arial" w:eastAsia="Arial" w:hAnsi="Arial"/>
                <w:sz w:val="17"/>
                <w:szCs w:val="17"/>
                <w:color w:val="auto"/>
              </w:rPr>
              <w:t>Warrant liabilities</w:t>
            </w:r>
          </w:p>
        </w:tc>
        <w:tc>
          <w:tcPr>
            <w:tcW w:w="2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15,598</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15,598</w:t>
            </w:r>
          </w:p>
        </w:tc>
      </w:tr>
      <w:tr>
        <w:trPr>
          <w:trHeight w:val="20"/>
        </w:trPr>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640" w:type="dxa"/>
            <w:vAlign w:val="bottom"/>
            <w:shd w:val="clear" w:color="auto" w:fill="CFF0FC"/>
          </w:tcPr>
          <w:p>
            <w:pPr>
              <w:ind w:left="160"/>
              <w:spacing w:after="0" w:line="183" w:lineRule="exact"/>
              <w:rPr>
                <w:sz w:val="20"/>
                <w:szCs w:val="20"/>
                <w:color w:val="auto"/>
              </w:rPr>
            </w:pPr>
            <w:r>
              <w:rPr>
                <w:rFonts w:ascii="Arial" w:cs="Arial" w:eastAsia="Arial" w:hAnsi="Arial"/>
                <w:sz w:val="17"/>
                <w:szCs w:val="17"/>
                <w:color w:val="auto"/>
              </w:rPr>
              <w:t>Total</w:t>
            </w:r>
          </w:p>
        </w:tc>
        <w:tc>
          <w:tcPr>
            <w:tcW w:w="2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1"/>
              <w:spacing w:after="0" w:line="183" w:lineRule="exact"/>
              <w:rPr>
                <w:sz w:val="20"/>
                <w:szCs w:val="20"/>
                <w:color w:val="auto"/>
              </w:rPr>
            </w:pPr>
            <w:r>
              <w:rPr>
                <w:rFonts w:ascii="Arial" w:cs="Arial" w:eastAsia="Arial" w:hAnsi="Arial"/>
                <w:sz w:val="17"/>
                <w:szCs w:val="17"/>
                <w:color w:val="auto"/>
                <w:w w:val="84"/>
              </w:rPr>
              <w:t>$</w:t>
            </w:r>
          </w:p>
        </w:tc>
        <w:tc>
          <w:tcPr>
            <w:tcW w:w="320" w:type="dxa"/>
            <w:vAlign w:val="bottom"/>
            <w:gridSpan w:val="2"/>
            <w:shd w:val="clear" w:color="auto" w:fill="CFF0FC"/>
          </w:tcPr>
          <w:p>
            <w:pPr>
              <w:ind w:left="40"/>
              <w:spacing w:after="0" w:line="183"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748"/>
              <w:spacing w:after="0" w:line="183"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FF0FC"/>
          </w:tcPr>
          <w:p>
            <w:pPr>
              <w:ind w:left="40"/>
              <w:spacing w:after="0" w:line="183"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7"/>
                <w:szCs w:val="17"/>
                <w:color w:val="auto"/>
              </w:rPr>
              <w:t>15,598</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15,598</w:t>
            </w:r>
          </w:p>
        </w:tc>
      </w:tr>
      <w:tr>
        <w:trPr>
          <w:trHeight w:val="169"/>
        </w:trPr>
        <w:tc>
          <w:tcPr>
            <w:tcW w:w="3640" w:type="dxa"/>
            <w:vAlign w:val="bottom"/>
            <w:tcBorders>
              <w:top w:val="single" w:sz="8" w:color="CFF0FC"/>
              <w:bottom w:val="single" w:sz="8" w:color="auto"/>
            </w:tcBorders>
          </w:tcPr>
          <w:p>
            <w:pPr>
              <w:spacing w:after="0"/>
              <w:rPr>
                <w:sz w:val="14"/>
                <w:szCs w:val="14"/>
                <w:color w:val="auto"/>
              </w:rPr>
            </w:pPr>
          </w:p>
        </w:tc>
        <w:tc>
          <w:tcPr>
            <w:tcW w:w="2180" w:type="dxa"/>
            <w:vAlign w:val="bottom"/>
            <w:tcBorders>
              <w:top w:val="single" w:sz="8" w:color="CFF0FC"/>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CFF0FC"/>
              <w:bottom w:val="single" w:sz="8" w:color="auto"/>
            </w:tcBorders>
          </w:tcPr>
          <w:p>
            <w:pPr>
              <w:spacing w:after="0"/>
              <w:rPr>
                <w:sz w:val="14"/>
                <w:szCs w:val="14"/>
                <w:color w:val="auto"/>
              </w:rPr>
            </w:pPr>
          </w:p>
        </w:tc>
        <w:tc>
          <w:tcPr>
            <w:tcW w:w="140" w:type="dxa"/>
            <w:vAlign w:val="bottom"/>
            <w:tcBorders>
              <w:top w:val="single" w:sz="8" w:color="CFF0FC"/>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spacing w:after="0"/>
              <w:rPr>
                <w:sz w:val="14"/>
                <w:szCs w:val="14"/>
                <w:color w:val="auto"/>
              </w:rPr>
            </w:pPr>
          </w:p>
        </w:tc>
        <w:tc>
          <w:tcPr>
            <w:tcW w:w="240" w:type="dxa"/>
            <w:vAlign w:val="bottom"/>
            <w:tcBorders>
              <w:top w:val="single" w:sz="8" w:color="CFF0FC"/>
              <w:bottom w:val="single" w:sz="8" w:color="auto"/>
            </w:tcBorders>
            <w:gridSpan w:val="2"/>
          </w:tcPr>
          <w:p>
            <w:pPr>
              <w:spacing w:after="0"/>
              <w:rPr>
                <w:sz w:val="14"/>
                <w:szCs w:val="14"/>
                <w:color w:val="auto"/>
              </w:rPr>
            </w:pPr>
          </w:p>
        </w:tc>
        <w:tc>
          <w:tcPr>
            <w:tcW w:w="1140" w:type="dxa"/>
            <w:vAlign w:val="bottom"/>
            <w:tcBorders>
              <w:top w:val="single" w:sz="8" w:color="auto"/>
              <w:bottom w:val="single" w:sz="8" w:color="auto"/>
            </w:tcBorders>
            <w:gridSpan w:val="2"/>
          </w:tcPr>
          <w:p>
            <w:pPr>
              <w:spacing w:after="0"/>
              <w:rPr>
                <w:sz w:val="14"/>
                <w:szCs w:val="14"/>
                <w:color w:val="auto"/>
              </w:rPr>
            </w:pPr>
          </w:p>
        </w:tc>
        <w:tc>
          <w:tcPr>
            <w:tcW w:w="260" w:type="dxa"/>
            <w:vAlign w:val="bottom"/>
            <w:tcBorders>
              <w:top w:val="single" w:sz="8" w:color="CFF0FC"/>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CFF0FC"/>
              <w:bottom w:val="single" w:sz="8" w:color="auto"/>
            </w:tcBorders>
          </w:tcPr>
          <w:p>
            <w:pPr>
              <w:spacing w:after="0"/>
              <w:rPr>
                <w:sz w:val="14"/>
                <w:szCs w:val="14"/>
                <w:color w:val="auto"/>
              </w:rPr>
            </w:pPr>
          </w:p>
        </w:tc>
      </w:tr>
      <w:tr>
        <w:trPr>
          <w:trHeight w:val="349"/>
        </w:trPr>
        <w:tc>
          <w:tcPr>
            <w:tcW w:w="3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FAIR VALUE MEASUREMENTS AS OF</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DECEMBER 31, 2024 USING:</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6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3"/>
                <w:szCs w:val="13"/>
                <w:color w:val="auto"/>
              </w:rPr>
            </w:pPr>
          </w:p>
        </w:tc>
        <w:tc>
          <w:tcPr>
            <w:tcW w:w="94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83"/>
        </w:trPr>
        <w:tc>
          <w:tcPr>
            <w:tcW w:w="364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Liabilities:</w:t>
            </w:r>
          </w:p>
        </w:tc>
        <w:tc>
          <w:tcPr>
            <w:tcW w:w="218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3640" w:type="dxa"/>
            <w:vAlign w:val="bottom"/>
          </w:tcPr>
          <w:p>
            <w:pPr>
              <w:ind w:left="160"/>
              <w:spacing w:after="0" w:line="189" w:lineRule="exact"/>
              <w:rPr>
                <w:sz w:val="20"/>
                <w:szCs w:val="20"/>
                <w:color w:val="auto"/>
              </w:rPr>
            </w:pPr>
            <w:r>
              <w:rPr>
                <w:rFonts w:ascii="Arial" w:cs="Arial" w:eastAsia="Arial" w:hAnsi="Arial"/>
                <w:sz w:val="17"/>
                <w:szCs w:val="17"/>
                <w:color w:val="auto"/>
              </w:rPr>
              <w:t>Warrant liability</w:t>
            </w:r>
          </w:p>
        </w:tc>
        <w:tc>
          <w:tcPr>
            <w:tcW w:w="2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21,718</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21,718</w:t>
            </w:r>
          </w:p>
        </w:tc>
      </w:tr>
      <w:tr>
        <w:trPr>
          <w:trHeight w:val="20"/>
        </w:trPr>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640" w:type="dxa"/>
            <w:vAlign w:val="bottom"/>
            <w:shd w:val="clear" w:color="auto" w:fill="CFF0FC"/>
          </w:tcPr>
          <w:p>
            <w:pPr>
              <w:ind w:left="160"/>
              <w:spacing w:after="0" w:line="183" w:lineRule="exact"/>
              <w:rPr>
                <w:sz w:val="20"/>
                <w:szCs w:val="20"/>
                <w:color w:val="auto"/>
              </w:rPr>
            </w:pPr>
            <w:r>
              <w:rPr>
                <w:rFonts w:ascii="Arial" w:cs="Arial" w:eastAsia="Arial" w:hAnsi="Arial"/>
                <w:sz w:val="17"/>
                <w:szCs w:val="17"/>
                <w:color w:val="auto"/>
              </w:rPr>
              <w:t>Total</w:t>
            </w:r>
          </w:p>
        </w:tc>
        <w:tc>
          <w:tcPr>
            <w:tcW w:w="2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1"/>
              <w:spacing w:after="0" w:line="183" w:lineRule="exact"/>
              <w:rPr>
                <w:sz w:val="20"/>
                <w:szCs w:val="20"/>
                <w:color w:val="auto"/>
              </w:rPr>
            </w:pPr>
            <w:r>
              <w:rPr>
                <w:rFonts w:ascii="Arial" w:cs="Arial" w:eastAsia="Arial" w:hAnsi="Arial"/>
                <w:sz w:val="17"/>
                <w:szCs w:val="17"/>
                <w:color w:val="auto"/>
                <w:w w:val="84"/>
              </w:rPr>
              <w:t>$</w:t>
            </w:r>
          </w:p>
        </w:tc>
        <w:tc>
          <w:tcPr>
            <w:tcW w:w="320" w:type="dxa"/>
            <w:vAlign w:val="bottom"/>
            <w:gridSpan w:val="2"/>
            <w:shd w:val="clear" w:color="auto" w:fill="CFF0FC"/>
          </w:tcPr>
          <w:p>
            <w:pPr>
              <w:ind w:left="40"/>
              <w:spacing w:after="0" w:line="183"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748"/>
              <w:spacing w:after="0" w:line="183"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FF0FC"/>
          </w:tcPr>
          <w:p>
            <w:pPr>
              <w:ind w:left="40"/>
              <w:spacing w:after="0" w:line="183"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7"/>
                <w:szCs w:val="17"/>
                <w:color w:val="auto"/>
              </w:rPr>
              <w:t>21,718</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21,718</w:t>
            </w:r>
          </w:p>
        </w:tc>
      </w:tr>
      <w:tr>
        <w:trPr>
          <w:trHeight w:val="75"/>
        </w:trPr>
        <w:tc>
          <w:tcPr>
            <w:tcW w:w="3640" w:type="dxa"/>
            <w:vAlign w:val="bottom"/>
            <w:tcBorders>
              <w:top w:val="single" w:sz="8" w:color="CFF0FC"/>
              <w:bottom w:val="single" w:sz="8" w:color="auto"/>
            </w:tcBorders>
          </w:tcPr>
          <w:p>
            <w:pPr>
              <w:spacing w:after="0"/>
              <w:rPr>
                <w:sz w:val="6"/>
                <w:szCs w:val="6"/>
                <w:color w:val="auto"/>
              </w:rPr>
            </w:pPr>
          </w:p>
        </w:tc>
        <w:tc>
          <w:tcPr>
            <w:tcW w:w="2180" w:type="dxa"/>
            <w:vAlign w:val="bottom"/>
            <w:tcBorders>
              <w:top w:val="single" w:sz="8" w:color="CFF0FC"/>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FF0FC"/>
              <w:bottom w:val="single" w:sz="8" w:color="auto"/>
            </w:tcBorders>
          </w:tcPr>
          <w:p>
            <w:pPr>
              <w:spacing w:after="0"/>
              <w:rPr>
                <w:sz w:val="6"/>
                <w:szCs w:val="6"/>
                <w:color w:val="auto"/>
              </w:rPr>
            </w:pPr>
          </w:p>
        </w:tc>
        <w:tc>
          <w:tcPr>
            <w:tcW w:w="140" w:type="dxa"/>
            <w:vAlign w:val="bottom"/>
            <w:tcBorders>
              <w:top w:val="single" w:sz="8" w:color="CFF0FC"/>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CFF0FC"/>
              <w:bottom w:val="single" w:sz="8" w:color="auto"/>
            </w:tcBorders>
          </w:tcPr>
          <w:p>
            <w:pPr>
              <w:spacing w:after="0"/>
              <w:rPr>
                <w:sz w:val="6"/>
                <w:szCs w:val="6"/>
                <w:color w:val="auto"/>
              </w:rPr>
            </w:pPr>
          </w:p>
        </w:tc>
        <w:tc>
          <w:tcPr>
            <w:tcW w:w="120" w:type="dxa"/>
            <w:vAlign w:val="bottom"/>
            <w:tcBorders>
              <w:top w:val="single" w:sz="8" w:color="CFF0FC"/>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96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CFF0FC"/>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CFF0FC"/>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-1071245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-1054100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-1054100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-1054100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-1054100</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-93345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-76835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-93345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-76835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-76835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-76835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Warrant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B Warrants</w:t>
      </w:r>
    </w:p>
    <w:p>
      <w:pPr>
        <w:spacing w:after="0" w:line="10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connection with the November 13, 2018 issuance of Series B convertible preferred stock, the Company issued warrants to purchase shares of common stock of which certain warrants are shown as a liability on the balance sheet, see Note 10. The fair value of the warrant liability was determined based on significant inputs not observable in the market, which represents a Level 3 measurement within the fair value hierarchy. The fair value of the warrant liability use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expected volatility of the price of the underlying common stock, and the remaining contractual term of the warrants. The most significant assumption in the model impacting the fair value of the common stock warrants is the fair value of the Company’s common stock as of each remeasurement date.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Lender Warrants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connection with the October 14, 2025 Trinity LSA, the Company is required to issue to the Lenders warrants to purchase shares of common stock of which certain warrants are shown as a liability on the balance sheet, see Note 10. The fair value of the associated warrant liability is determined based on significant inputs not observable in the market, which represents a Level 3 measurement within the fair value hierarchy. The fair value of the warrants is determined using a hybrid Monte Carlo simulation and Black-Scholes methodology, which incorporates assumptions and estimates to value the common stock warrants. Key inputs, estimates, and assumptions impacting the fair value measurement include the Company stock price, risk-free interest rate, expected dividend yield, volatility, remaining contractual term of the warrants, timing of milestone achievements, and expected stock price increases and decreases in success and failure scenarios related to the milestones. The most significant assumptions in the model impacting the fair value of the common stock warrants is the volatility of the Company’s common stock, and expected stock price increases or decreases on the respective milestone dates.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roll forward of the aggregate fair values of the Company’s warrant liabilities, for which fair value is determined by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Level 3 inputs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WARRANT</w:t>
            </w:r>
          </w:p>
        </w:tc>
      </w:tr>
      <w:tr>
        <w:trPr>
          <w:trHeight w:val="171"/>
        </w:trPr>
        <w:tc>
          <w:tcPr>
            <w:tcW w:w="46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4"/>
                <w:szCs w:val="14"/>
                <w:color w:val="auto"/>
              </w:rPr>
            </w:pPr>
          </w:p>
        </w:tc>
      </w:tr>
      <w:tr>
        <w:trPr>
          <w:trHeight w:val="183"/>
        </w:trPr>
        <w:tc>
          <w:tcPr>
            <w:tcW w:w="460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Balance at December 31, 2023</w:t>
            </w:r>
          </w:p>
        </w:tc>
        <w:tc>
          <w:tcPr>
            <w:tcW w:w="4960" w:type="dxa"/>
            <w:vAlign w:val="bottom"/>
            <w:gridSpan w:val="2"/>
            <w:shd w:val="clear" w:color="auto" w:fill="CFF0FC"/>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916</w:t>
            </w:r>
          </w:p>
        </w:tc>
        <w:tc>
          <w:tcPr>
            <w:tcW w:w="100" w:type="dxa"/>
            <w:vAlign w:val="bottom"/>
            <w:shd w:val="clear" w:color="auto" w:fill="CFF0FC"/>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7"/>
                <w:szCs w:val="17"/>
                <w:color w:val="auto"/>
              </w:rPr>
              <w:t>Change in fair value</w:t>
            </w:r>
          </w:p>
        </w:tc>
        <w:tc>
          <w:tcPr>
            <w:tcW w:w="4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20,802</w:t>
            </w:r>
          </w:p>
        </w:tc>
        <w:tc>
          <w:tcPr>
            <w:tcW w:w="100" w:type="dxa"/>
            <w:vAlign w:val="bottom"/>
          </w:tcPr>
          <w:p>
            <w:pPr>
              <w:spacing w:after="0"/>
              <w:rPr>
                <w:sz w:val="16"/>
                <w:szCs w:val="16"/>
                <w:color w:val="auto"/>
              </w:rPr>
            </w:pPr>
          </w:p>
        </w:tc>
      </w:tr>
      <w:tr>
        <w:trPr>
          <w:trHeight w:val="183"/>
        </w:trPr>
        <w:tc>
          <w:tcPr>
            <w:tcW w:w="460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Balance at December 31, 2024</w:t>
            </w:r>
          </w:p>
        </w:tc>
        <w:tc>
          <w:tcPr>
            <w:tcW w:w="4960" w:type="dxa"/>
            <w:vAlign w:val="bottom"/>
            <w:gridSpan w:val="2"/>
            <w:shd w:val="clear" w:color="auto" w:fill="CFF0FC"/>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21,718</w:t>
            </w:r>
          </w:p>
        </w:tc>
        <w:tc>
          <w:tcPr>
            <w:tcW w:w="100" w:type="dxa"/>
            <w:vAlign w:val="bottom"/>
            <w:shd w:val="clear" w:color="auto" w:fill="CFF0FC"/>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7"/>
                <w:szCs w:val="17"/>
                <w:color w:val="auto"/>
              </w:rPr>
              <w:t>Lender warrants in connection with debt financing</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7"/>
                <w:szCs w:val="17"/>
                <w:color w:val="auto"/>
              </w:rPr>
              <w:t>2,079</w:t>
            </w:r>
          </w:p>
        </w:tc>
        <w:tc>
          <w:tcPr>
            <w:tcW w:w="100" w:type="dxa"/>
            <w:vAlign w:val="bottom"/>
          </w:tcPr>
          <w:p>
            <w:pPr>
              <w:spacing w:after="0"/>
              <w:rPr>
                <w:sz w:val="16"/>
                <w:szCs w:val="16"/>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Change in fair value</w:t>
            </w:r>
          </w:p>
        </w:tc>
        <w:tc>
          <w:tcPr>
            <w:tcW w:w="4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(8,199)</w:t>
            </w:r>
          </w:p>
        </w:tc>
      </w:tr>
      <w:tr>
        <w:trPr>
          <w:trHeight w:val="183"/>
        </w:trPr>
        <w:tc>
          <w:tcPr>
            <w:tcW w:w="4600" w:type="dxa"/>
            <w:vAlign w:val="bottom"/>
            <w:tcBorders>
              <w:top w:val="single" w:sz="8" w:color="CFF0FC"/>
            </w:tcBorders>
          </w:tcPr>
          <w:p>
            <w:pPr>
              <w:spacing w:after="0" w:line="183" w:lineRule="exact"/>
              <w:rPr>
                <w:sz w:val="20"/>
                <w:szCs w:val="20"/>
                <w:color w:val="auto"/>
              </w:rPr>
            </w:pPr>
            <w:r>
              <w:rPr>
                <w:rFonts w:ascii="Arial" w:cs="Arial" w:eastAsia="Arial" w:hAnsi="Arial"/>
                <w:sz w:val="17"/>
                <w:szCs w:val="17"/>
                <w:color w:val="auto"/>
              </w:rPr>
              <w:t>Balance at December 31, 2025</w:t>
            </w:r>
          </w:p>
        </w:tc>
        <w:tc>
          <w:tcPr>
            <w:tcW w:w="46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15,598</w:t>
            </w:r>
          </w:p>
        </w:tc>
        <w:tc>
          <w:tcPr>
            <w:tcW w:w="100" w:type="dxa"/>
            <w:vAlign w:val="bottom"/>
            <w:tcBorders>
              <w:top w:val="single" w:sz="8" w:color="CFF0FC"/>
            </w:tcBorders>
          </w:tcPr>
          <w:p>
            <w:pPr>
              <w:spacing w:after="0"/>
              <w:rPr>
                <w:sz w:val="15"/>
                <w:szCs w:val="15"/>
                <w:color w:val="auto"/>
              </w:rPr>
            </w:pPr>
          </w:p>
        </w:tc>
      </w:tr>
      <w:tr>
        <w:trPr>
          <w:trHeight w:val="20"/>
        </w:trPr>
        <w:tc>
          <w:tcPr>
            <w:tcW w:w="46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0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2"/>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520"/>
        </w:trPr>
        <w:tc>
          <w:tcPr>
            <w:tcW w:w="4600" w:type="dxa"/>
            <w:vAlign w:val="bottom"/>
          </w:tcPr>
          <w:p>
            <w:pPr>
              <w:spacing w:after="0"/>
              <w:rPr>
                <w:sz w:val="24"/>
                <w:szCs w:val="24"/>
                <w:color w:val="auto"/>
              </w:rPr>
            </w:pPr>
          </w:p>
        </w:tc>
        <w:tc>
          <w:tcPr>
            <w:tcW w:w="4960" w:type="dxa"/>
            <w:vAlign w:val="bottom"/>
            <w:gridSpan w:val="2"/>
          </w:tcPr>
          <w:p>
            <w:pPr>
              <w:jc w:val="right"/>
              <w:ind w:right="3675"/>
              <w:spacing w:after="0"/>
              <w:rPr>
                <w:sz w:val="20"/>
                <w:szCs w:val="20"/>
                <w:color w:val="auto"/>
              </w:rPr>
            </w:pPr>
            <w:r>
              <w:rPr>
                <w:rFonts w:ascii="Arial" w:cs="Arial" w:eastAsia="Arial" w:hAnsi="Arial"/>
                <w:sz w:val="17"/>
                <w:szCs w:val="17"/>
                <w:color w:val="auto"/>
              </w:rPr>
              <w:t>F-13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46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4. Fixed Assets, Net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Fixed assets,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77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Laboratory equipment</w:t>
            </w:r>
          </w:p>
        </w:tc>
        <w:tc>
          <w:tcPr>
            <w:tcW w:w="980" w:type="dxa"/>
            <w:vAlign w:val="bottom"/>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1,506</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1,219</w:t>
            </w:r>
          </w:p>
        </w:tc>
      </w:tr>
      <w:tr>
        <w:trPr>
          <w:trHeight w:val="189"/>
        </w:trPr>
        <w:tc>
          <w:tcPr>
            <w:tcW w:w="7760" w:type="dxa"/>
            <w:vAlign w:val="bottom"/>
          </w:tcPr>
          <w:p>
            <w:pPr>
              <w:spacing w:after="0" w:line="189" w:lineRule="exact"/>
              <w:rPr>
                <w:sz w:val="20"/>
                <w:szCs w:val="20"/>
                <w:color w:val="auto"/>
              </w:rPr>
            </w:pPr>
            <w:r>
              <w:rPr>
                <w:rFonts w:ascii="Arial" w:cs="Arial" w:eastAsia="Arial" w:hAnsi="Arial"/>
                <w:sz w:val="17"/>
                <w:szCs w:val="17"/>
                <w:color w:val="auto"/>
              </w:rPr>
              <w:t>Manufacturing equipment</w:t>
            </w:r>
          </w:p>
        </w:tc>
        <w:tc>
          <w:tcPr>
            <w:tcW w:w="98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300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695</w:t>
            </w:r>
          </w:p>
        </w:tc>
      </w:tr>
      <w:tr>
        <w:trPr>
          <w:trHeight w:val="189"/>
        </w:trPr>
        <w:tc>
          <w:tcPr>
            <w:tcW w:w="7760" w:type="dxa"/>
            <w:vAlign w:val="bottom"/>
            <w:tcBorders>
              <w:right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Furniture and fixtures</w:t>
            </w:r>
          </w:p>
        </w:tc>
        <w:tc>
          <w:tcPr>
            <w:tcW w:w="9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159</w:t>
            </w:r>
          </w:p>
        </w:tc>
      </w:tr>
      <w:tr>
        <w:trPr>
          <w:trHeight w:val="189"/>
        </w:trPr>
        <w:tc>
          <w:tcPr>
            <w:tcW w:w="7760" w:type="dxa"/>
            <w:vAlign w:val="bottom"/>
          </w:tcPr>
          <w:p>
            <w:pPr>
              <w:spacing w:after="0" w:line="189" w:lineRule="exact"/>
              <w:rPr>
                <w:sz w:val="20"/>
                <w:szCs w:val="20"/>
                <w:color w:val="auto"/>
              </w:rPr>
            </w:pPr>
            <w:r>
              <w:rPr>
                <w:rFonts w:ascii="Arial" w:cs="Arial" w:eastAsia="Arial" w:hAnsi="Arial"/>
                <w:sz w:val="17"/>
                <w:szCs w:val="17"/>
                <w:color w:val="auto"/>
              </w:rPr>
              <w:t>Networking and computer equipment</w:t>
            </w:r>
          </w:p>
        </w:tc>
        <w:tc>
          <w:tcPr>
            <w:tcW w:w="98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227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w:t>
            </w:r>
          </w:p>
        </w:tc>
      </w:tr>
      <w:tr>
        <w:trPr>
          <w:trHeight w:val="189"/>
        </w:trPr>
        <w:tc>
          <w:tcPr>
            <w:tcW w:w="7760" w:type="dxa"/>
            <w:vAlign w:val="bottom"/>
            <w:tcBorders>
              <w:bottom w:val="single" w:sz="8" w:color="CFF0FC"/>
              <w:right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Leasehold improvements</w:t>
            </w:r>
          </w:p>
        </w:tc>
        <w:tc>
          <w:tcPr>
            <w:tcW w:w="9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3,008</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3,109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7"/>
                <w:szCs w:val="17"/>
                <w:color w:val="auto"/>
              </w:rPr>
              <w:t>Total fixed assets</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5,200</w:t>
            </w:r>
          </w:p>
        </w:tc>
        <w:tc>
          <w:tcPr>
            <w:tcW w:w="160" w:type="dxa"/>
            <w:vAlign w:val="bottom"/>
          </w:tcPr>
          <w:p>
            <w:pPr>
              <w:spacing w:after="0"/>
              <w:rPr>
                <w:sz w:val="15"/>
                <w:szCs w:val="15"/>
                <w:color w:val="auto"/>
              </w:rPr>
            </w:pPr>
          </w:p>
        </w:tc>
        <w:tc>
          <w:tcPr>
            <w:tcW w:w="62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5,267</w:t>
            </w:r>
          </w:p>
        </w:tc>
      </w:tr>
      <w:tr>
        <w:trPr>
          <w:trHeight w:val="189"/>
        </w:trPr>
        <w:tc>
          <w:tcPr>
            <w:tcW w:w="7760" w:type="dxa"/>
            <w:vAlign w:val="bottom"/>
            <w:tcBorders>
              <w:right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Less: accumulated depreciation</w:t>
            </w:r>
          </w:p>
        </w:tc>
        <w:tc>
          <w:tcPr>
            <w:tcW w:w="9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(3,558)</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(3,076)</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760" w:type="dxa"/>
            <w:vAlign w:val="bottom"/>
          </w:tcPr>
          <w:p>
            <w:pPr>
              <w:ind w:left="200"/>
              <w:spacing w:after="0" w:line="183" w:lineRule="exact"/>
              <w:rPr>
                <w:sz w:val="20"/>
                <w:szCs w:val="20"/>
                <w:color w:val="auto"/>
              </w:rPr>
            </w:pPr>
            <w:r>
              <w:rPr>
                <w:rFonts w:ascii="Arial" w:cs="Arial" w:eastAsia="Arial" w:hAnsi="Arial"/>
                <w:sz w:val="17"/>
                <w:szCs w:val="17"/>
                <w:b w:val="1"/>
                <w:bCs w:val="1"/>
                <w:color w:val="auto"/>
              </w:rPr>
              <w:t>Fixed assets, net</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1,642</w:t>
            </w:r>
          </w:p>
        </w:tc>
        <w:tc>
          <w:tcPr>
            <w:tcW w:w="160" w:type="dxa"/>
            <w:vAlign w:val="bottom"/>
          </w:tcPr>
          <w:p>
            <w:pPr>
              <w:spacing w:after="0"/>
              <w:rPr>
                <w:sz w:val="15"/>
                <w:szCs w:val="15"/>
                <w:color w:val="auto"/>
              </w:rPr>
            </w:pPr>
          </w:p>
        </w:tc>
        <w:tc>
          <w:tcPr>
            <w:tcW w:w="62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2,191</w:t>
            </w:r>
          </w:p>
        </w:tc>
      </w:tr>
      <w:tr>
        <w:trPr>
          <w:trHeight w:val="20"/>
        </w:trPr>
        <w:tc>
          <w:tcPr>
            <w:tcW w:w="7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77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-479425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-231140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Depreciation expense was $0.8 million and $1.0 million for the years ended December 31, 2025 and 2024. The Company recorded a $0.3 million loss on the sale and disposal of fixed assets for the year ended December 31, 2025. The Company did not record any loss on the sale and disposal of fixed assets for the year ended December 31, 2024.</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0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Payroll and employee related expenses</w:t>
            </w:r>
          </w:p>
        </w:tc>
        <w:tc>
          <w:tcPr>
            <w:tcW w:w="1020" w:type="dxa"/>
            <w:vAlign w:val="bottom"/>
            <w:shd w:val="clear" w:color="auto" w:fill="CFF0FC"/>
          </w:tcPr>
          <w:p>
            <w:pPr>
              <w:jc w:val="right"/>
              <w:ind w:right="839"/>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3,384</w:t>
            </w:r>
          </w:p>
        </w:tc>
        <w:tc>
          <w:tcPr>
            <w:tcW w:w="800" w:type="dxa"/>
            <w:vAlign w:val="bottom"/>
            <w:gridSpan w:val="2"/>
            <w:shd w:val="clear" w:color="auto" w:fill="CFF0FC"/>
          </w:tcPr>
          <w:p>
            <w:pPr>
              <w:jc w:val="right"/>
              <w:ind w:right="42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3,038</w:t>
            </w:r>
          </w:p>
        </w:tc>
        <w:tc>
          <w:tcPr>
            <w:tcW w:w="12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7"/>
                <w:szCs w:val="17"/>
                <w:color w:val="auto"/>
              </w:rPr>
              <w:t>Third-party research and development expenses</w:t>
            </w:r>
          </w:p>
        </w:tc>
        <w:tc>
          <w:tcPr>
            <w:tcW w:w="10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2,681</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765</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Professional fees</w:t>
            </w:r>
          </w:p>
        </w:tc>
        <w:tc>
          <w:tcPr>
            <w:tcW w:w="10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805</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920</w:t>
            </w: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464</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390</w:t>
            </w:r>
          </w:p>
        </w:tc>
        <w:tc>
          <w:tcPr>
            <w:tcW w:w="120" w:type="dxa"/>
            <w:vAlign w:val="bottom"/>
          </w:tcPr>
          <w:p>
            <w:pPr>
              <w:spacing w:after="0"/>
              <w:rPr>
                <w:sz w:val="16"/>
                <w:szCs w:val="16"/>
                <w:color w:val="auto"/>
              </w:rPr>
            </w:pPr>
          </w:p>
        </w:tc>
      </w:tr>
      <w:tr>
        <w:trPr>
          <w:trHeight w:val="223"/>
        </w:trPr>
        <w:tc>
          <w:tcPr>
            <w:tcW w:w="77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9"/>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7,334</w:t>
            </w:r>
          </w:p>
        </w:tc>
        <w:tc>
          <w:tcPr>
            <w:tcW w:w="800" w:type="dxa"/>
            <w:vAlign w:val="bottom"/>
            <w:gridSpan w:val="2"/>
            <w:shd w:val="clear" w:color="auto" w:fill="CFF0FC"/>
          </w:tcPr>
          <w:p>
            <w:pPr>
              <w:jc w:val="right"/>
              <w:ind w:right="42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5,113</w:t>
            </w:r>
          </w:p>
        </w:tc>
        <w:tc>
          <w:tcPr>
            <w:tcW w:w="120" w:type="dxa"/>
            <w:vAlign w:val="bottom"/>
            <w:shd w:val="clear" w:color="auto" w:fill="CFF0FC"/>
          </w:tcPr>
          <w:p>
            <w:pPr>
              <w:spacing w:after="0"/>
              <w:rPr>
                <w:sz w:val="19"/>
                <w:szCs w:val="19"/>
                <w:color w:val="auto"/>
              </w:rPr>
            </w:pPr>
          </w:p>
        </w:tc>
      </w:tr>
      <w:tr>
        <w:trPr>
          <w:trHeight w:val="75"/>
        </w:trPr>
        <w:tc>
          <w:tcPr>
            <w:tcW w:w="7700" w:type="dxa"/>
            <w:vAlign w:val="bottom"/>
            <w:tcBorders>
              <w:top w:val="single" w:sz="8" w:color="CFF0FC"/>
              <w:bottom w:val="single" w:sz="8" w:color="auto"/>
            </w:tcBorders>
          </w:tcPr>
          <w:p>
            <w:pPr>
              <w:spacing w:after="0"/>
              <w:rPr>
                <w:sz w:val="6"/>
                <w:szCs w:val="6"/>
                <w:color w:val="auto"/>
              </w:rPr>
            </w:pPr>
          </w:p>
        </w:tc>
        <w:tc>
          <w:tcPr>
            <w:tcW w:w="102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CFF0FC"/>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CFF0FC"/>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-93345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w:t>
      </w:r>
    </w:p>
    <w:p>
      <w:pPr>
        <w:spacing w:after="0" w:line="102" w:lineRule="exact"/>
        <w:rPr>
          <w:sz w:val="20"/>
          <w:szCs w:val="20"/>
          <w:color w:val="auto"/>
        </w:rPr>
      </w:pPr>
    </w:p>
    <w:p>
      <w:pPr>
        <w:ind w:right="360"/>
        <w:spacing w:after="0" w:line="244" w:lineRule="auto"/>
        <w:rPr>
          <w:sz w:val="20"/>
          <w:szCs w:val="20"/>
          <w:color w:val="auto"/>
        </w:rPr>
      </w:pPr>
      <w:r>
        <w:rPr>
          <w:rFonts w:ascii="Arial" w:cs="Arial" w:eastAsia="Arial" w:hAnsi="Arial"/>
          <w:sz w:val="17"/>
          <w:szCs w:val="17"/>
          <w:color w:val="auto"/>
        </w:rPr>
        <w:t>On February 24, 2022, the Company entered into a four-year loan and security agreement (the SVB Loan Agreement) with Silicon Valley Bank (SVB) pursuant to which SVB has agreed to provide term loans to the Company in an aggregate principal amount of up to $25.0 million. The Company borrowed $20.0 million upon entering into the SVB Loan Agreement. The term loan was secured by substantially all of the Company’s properties, rights and assets, except for its intellectual property, which was subject to a negative pledge under the Loan Agreement.</w:t>
      </w:r>
    </w:p>
    <w:p>
      <w:pPr>
        <w:spacing w:after="0" w:line="69"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The term loan bore interest at a floating rate per annum equal to the greater of (A) 5.75% and (B) the prime rate (as published in the money rates section of The Wall Street Journal) plus 2.50%. The Company was required to make monthly interest payments, and commencing on February 1, 2024, 24 consecutive installments of principal plus monthly payments of accrued interest. The term loan had a maturity date of January 1, 2026.</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Upon repayment in full of the term loans, the Company was required to pay a final payment fee equal to 4.50% of the original principal amount of any funded term loan being repaid. The SVB Loan Agreement permitted voluntary prepayment of all, but not less than all, of the SVB term loan, subject to a prepayment premium of 1% to 3% based upon the timing of the repayment.</w:t>
      </w:r>
    </w:p>
    <w:p>
      <w:pPr>
        <w:spacing w:after="0" w:line="73"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During the years ended December 31, 2025 and 2024, the Company recorded interest expense relating to the SVB Loan Agreement of $0.6 million and $2.0 million, respectively.</w:t>
      </w:r>
    </w:p>
    <w:p>
      <w:pPr>
        <w:spacing w:after="0" w:line="5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Company incurred $89,000 of debt issuance costs and a $0.9 million final payment fee, which were recorded as debt discount and amortized over the term of the SVB Loan Agreement. The Company used a portion of the proceeds from the First Tranche of the Trinity LSA to repay the SVB Loan Agreement on October 14, 2025 (see below).</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October 14, 2025, the Company entered into a Loan and Security Agreement, as amended by that certain First Amendment to Loan and Security Agreement dated as of March 10, 2026 (the Trinity LSA), with the lenders party thereto (the Lenders) and Trinity Capital Inc., as administrative agent and collateral agent (the Agent).</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Under the Trinity LSA, the Lenders agreed to extend debt capital to the Company, at the Company's request, in the form of a term loan, in tranches totaling an aggregate principal amount of up to $130.0 million as follows: (a) at closing, the aggregate principal amount of $50.0 million (the First Tranche), (b) until May 30, 2027, subject to the achievement of certain regulatory, clinical and operational milestones by March 31, 2027, the aggregate principal amount of $20.0 million (the Second Tranche), (c) following funding of the Second Tranche, until February 29, 2028, subject to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6" w:name="page147"/>
    <w:bookmarkEnd w:id="146"/>
    <w:p>
      <w:pPr>
        <w:ind w:right="60"/>
        <w:spacing w:after="0" w:line="236" w:lineRule="auto"/>
        <w:rPr>
          <w:sz w:val="20"/>
          <w:szCs w:val="20"/>
          <w:color w:val="auto"/>
        </w:rPr>
      </w:pPr>
      <w:r>
        <w:rPr>
          <w:rFonts w:ascii="Arial" w:cs="Arial" w:eastAsia="Arial" w:hAnsi="Arial"/>
          <w:sz w:val="17"/>
          <w:szCs w:val="17"/>
          <w:color w:val="auto"/>
        </w:rPr>
        <w:t>achievement of certain regulatory and operational milestones by December 31, 2027, the aggregate principal amount of $30.0 million (the Third Tranche), and (d) following funding of the Third Tranche, in Lenders’ sole discretion, the aggregate principal amount of $30.0 million (the Fourth Tranche and collectively with the First Tranche, the Second Tranche and the Third Tranche, the Tranches). The obligations of the Lenders to extend such debt capital are subject to certain conditions precedent described in the Trinity LSA. The Company is required to pay a commitment fee of</w:t>
      </w:r>
    </w:p>
    <w:p>
      <w:pPr>
        <w:spacing w:after="0" w:line="3" w:lineRule="exact"/>
        <w:rPr>
          <w:sz w:val="20"/>
          <w:szCs w:val="20"/>
          <w:color w:val="auto"/>
        </w:rPr>
      </w:pPr>
    </w:p>
    <w:p>
      <w:pPr>
        <w:jc w:val="both"/>
        <w:ind w:right="420"/>
        <w:spacing w:after="0"/>
        <w:rPr>
          <w:sz w:val="20"/>
          <w:szCs w:val="20"/>
          <w:color w:val="auto"/>
        </w:rPr>
      </w:pPr>
      <w:r>
        <w:rPr>
          <w:rFonts w:ascii="Arial" w:cs="Arial" w:eastAsia="Arial" w:hAnsi="Arial"/>
          <w:sz w:val="17"/>
          <w:szCs w:val="17"/>
          <w:color w:val="auto"/>
        </w:rPr>
        <w:t>1.0% of the amount drawn, plus related documentation and funding fees, in connection with each drawdown. On October 14, 2025 (the Closing Date), the Company drew down the First Tranche. The Company’s obligations under the facility are secured by a first priority security interest in substantially all assets of the Company.</w:t>
      </w:r>
    </w:p>
    <w:p>
      <w:pPr>
        <w:spacing w:after="0" w:line="73"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All Tranches will mature on October 1, 2030 (the Maturity Date), unless earlier accelerated under the terms of the Trinity LSA. At maturity, the Company is required to repay the then-outstanding principal amount, together with any accrued and unpaid interest thereon. In addition, at maturity or early termination of the Trinity LSA, the Company is required to pay the Lenders a 4.25% final payment fee of the amounts drawn down by the Company under the Trinity LSA.</w:t>
      </w:r>
    </w:p>
    <w:p>
      <w:pPr>
        <w:spacing w:after="0" w:line="6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Interest accrues on the Tranches that the Company has drawn down at a floating rate per annum, calculated based on a 360-day year, equal to the greater of (a) the sum of (i) The Wall Street Journal Prime Rate and (ii) 3.0%, and (b) 9.75%. For the first 36 months after the Closing Date, the Company is required to make monthly payments of interest only in arrears. Upon the achievement of a certain commercial milestone by June 30, 2028, the Interest Only Period will be extended by twelve months. In the event of such extension of the Interest Only Period, the duration of the Amortization Period will decrease by the same amount. In any event, the total term of all Tranches shall not exceed 60 months.</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Company may voluntarily prepay the outstanding loan balance at any time, in whole or in part, subject to the payment of prepayment premiums and payment of the Exit Fee on the principal amount then prepaid.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if prepayment occurs on or before the Maturity Date, the premium shall equal 1.0% of the principal being repaid.</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Trinity LSA contains customary affirmative and negative covenants, including with respect to notice obligations, limitations on new indebtedness, liens, investments and transactions with affiliates of the Company, restrictions on the payment of dividends, maintenance of collateral and accounts and maintenance of insurance. The Trinity LSA also contains financial covenants requiring, if the Company’s market capitalization is less than $550 million, the Company to maintain minimum cash and cash equivalents pledged to secure the obligations under the Trinity LSA, less certain accounts payable, of at least (i) beginning from July 1, 2026 through the date, that the Company has raised at least $93.5 million in unrestricted net cash proceeds from one or more bona fide equity financings and/or upfront proceeds from business development after the Closing Date, 67.5% of all of the aggregate principal amount of outstanding obligations under the Trinity LSA, and (ii) beginning from the earlier of (x) October 1, 2027 and (ii) the date upon which the Company receives written notice of certain regulatory outcomes, through the date that the Company obtains certain regulatory approvals, 75% of the aggregate outstanding principal amount of the obligations under the Trinity LSA.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2025, the Company recorded interest expense relating to the Trinity LSA of $1.3 million and zero,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effective interest rate as of December 31, 2025 was 14.08%.</w:t>
      </w:r>
    </w:p>
    <w:p>
      <w:pPr>
        <w:spacing w:after="0" w:line="8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Company incurred $2.1 million of financing costs and a $2.1 million final payment fee, which were recorded as debt discount and are being amortized to interest expense over the term of the Trinity LSA. The scheduled principal payments and net carrying amount of the Trinity LSA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8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1260" w:type="dxa"/>
            <w:vAlign w:val="bottom"/>
            <w:gridSpan w:val="2"/>
            <w:shd w:val="clear" w:color="auto" w:fill="CFF0FC"/>
          </w:tcPr>
          <w:p>
            <w:pPr>
              <w:jc w:val="right"/>
              <w:ind w:right="88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3,806</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24,175</w:t>
            </w:r>
          </w:p>
        </w:tc>
        <w:tc>
          <w:tcPr>
            <w:tcW w:w="100" w:type="dxa"/>
            <w:vAlign w:val="bottom"/>
          </w:tcPr>
          <w:p>
            <w:pPr>
              <w:spacing w:after="0"/>
              <w:rPr>
                <w:sz w:val="17"/>
                <w:szCs w:val="17"/>
                <w:color w:val="auto"/>
              </w:rPr>
            </w:pPr>
          </w:p>
        </w:tc>
      </w:tr>
      <w:tr>
        <w:trPr>
          <w:trHeight w:val="203"/>
        </w:trPr>
        <w:tc>
          <w:tcPr>
            <w:tcW w:w="8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22,019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440" w:type="dxa"/>
            <w:vAlign w:val="bottom"/>
          </w:tcPr>
          <w:p>
            <w:pPr>
              <w:ind w:left="220"/>
              <w:spacing w:after="0" w:line="196" w:lineRule="exact"/>
              <w:rPr>
                <w:sz w:val="20"/>
                <w:szCs w:val="20"/>
                <w:color w:val="auto"/>
              </w:rPr>
            </w:pPr>
            <w:r>
              <w:rPr>
                <w:rFonts w:ascii="Arial" w:cs="Arial" w:eastAsia="Arial" w:hAnsi="Arial"/>
                <w:sz w:val="18"/>
                <w:szCs w:val="18"/>
                <w:color w:val="auto"/>
              </w:rPr>
              <w:t>Total principal</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50,000</w:t>
            </w:r>
          </w:p>
        </w:tc>
        <w:tc>
          <w:tcPr>
            <w:tcW w:w="100" w:type="dxa"/>
            <w:vAlign w:val="bottom"/>
          </w:tcPr>
          <w:p>
            <w:pPr>
              <w:spacing w:after="0"/>
              <w:rPr>
                <w:sz w:val="17"/>
                <w:szCs w:val="17"/>
                <w:color w:val="auto"/>
              </w:rPr>
            </w:pPr>
          </w:p>
        </w:tc>
      </w:tr>
      <w:tr>
        <w:trPr>
          <w:trHeight w:val="203"/>
        </w:trPr>
        <w:tc>
          <w:tcPr>
            <w:tcW w:w="8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Final payment fee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2,125</w:t>
            </w:r>
          </w:p>
        </w:tc>
        <w:tc>
          <w:tcPr>
            <w:tcW w:w="100" w:type="dxa"/>
            <w:vAlign w:val="bottom"/>
            <w:shd w:val="clear" w:color="auto" w:fill="CFF0FC"/>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Less: debt discount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(6,258)</w:t>
            </w:r>
          </w:p>
        </w:tc>
      </w:tr>
      <w:tr>
        <w:trPr>
          <w:trHeight w:val="203"/>
        </w:trPr>
        <w:tc>
          <w:tcPr>
            <w:tcW w:w="8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Accretion of debt discount</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440" w:type="dxa"/>
            <w:vAlign w:val="bottom"/>
          </w:tcPr>
          <w:p>
            <w:pPr>
              <w:spacing w:after="0" w:line="196" w:lineRule="exact"/>
              <w:rPr>
                <w:sz w:val="20"/>
                <w:szCs w:val="20"/>
                <w:color w:val="auto"/>
              </w:rPr>
            </w:pPr>
            <w:r>
              <w:rPr>
                <w:rFonts w:ascii="Arial" w:cs="Arial" w:eastAsia="Arial" w:hAnsi="Arial"/>
                <w:sz w:val="18"/>
                <w:szCs w:val="18"/>
                <w:color w:val="auto"/>
              </w:rPr>
              <w:t>Net carrying amount</w:t>
            </w:r>
          </w:p>
        </w:tc>
        <w:tc>
          <w:tcPr>
            <w:tcW w:w="1260" w:type="dxa"/>
            <w:vAlign w:val="bottom"/>
            <w:gridSpan w:val="2"/>
          </w:tcPr>
          <w:p>
            <w:pPr>
              <w:jc w:val="right"/>
              <w:ind w:right="88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46,122</w:t>
            </w:r>
          </w:p>
        </w:tc>
        <w:tc>
          <w:tcPr>
            <w:tcW w:w="100" w:type="dxa"/>
            <w:vAlign w:val="bottom"/>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Other Long-Term Debt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b w:val="1"/>
          <w:bCs w:val="1"/>
          <w:i w:val="1"/>
          <w:iCs w:val="1"/>
          <w:color w:val="auto"/>
        </w:rPr>
        <w:t>Periphagen Note</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December 9, 2019, the Company entered into a series of asset purchase agreements with Periphagen, Inc. (Periphagen), a biopharmaceutical company focused on the development of gene therapy vectors. Under the terms of the asset purchase agreements, the Company assumed a $1.0 million promissory note (the Periphagen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December 31, 2025, the carrying value of the note is $1.0 million. The carrying value of the note approximates fair value. Upon maturity, the Company will pay Periphagen $1.4 million for the outstanding balance and accrued interest due.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line="8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On August 18, 2025, the Company entered into a first amendment to the existing lease agreement dated February 4, 2019, extending the end-date of the term under the existing lease from August 31, 2026 to August 31, 2029.</w:t>
      </w:r>
    </w:p>
    <w:p>
      <w:pPr>
        <w:spacing w:after="0" w:line="7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For each of the years ended December 31, 2025 and 2024, the Company recorded $0.4 million of operating lease cost. For the years ended December 31, 2025 and 2024, the Company recorded $0.2 million and $0.1 million, respectively, of variable lease cost. The total lease expense for the years ended December 31, 2025 and 2024 was $0.6 million and $0.5 million,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Cash paid for amounts included in the lease liability for each of the years ended December 31, 2025 and 2024 was $0.6 million.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534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Other Information</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35"/>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3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Operating cash flows used for operating leases (in thousands)</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613</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28"/>
              <w:spacing w:after="0" w:line="183" w:lineRule="exact"/>
              <w:rPr>
                <w:sz w:val="20"/>
                <w:szCs w:val="20"/>
                <w:color w:val="auto"/>
              </w:rPr>
            </w:pPr>
            <w:r>
              <w:rPr>
                <w:rFonts w:ascii="Arial" w:cs="Arial" w:eastAsia="Arial" w:hAnsi="Arial"/>
                <w:sz w:val="17"/>
                <w:szCs w:val="17"/>
                <w:color w:val="auto"/>
                <w:w w:val="84"/>
              </w:rPr>
              <w:t>$</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598</w:t>
            </w:r>
          </w:p>
        </w:tc>
        <w:tc>
          <w:tcPr>
            <w:tcW w:w="160" w:type="dxa"/>
            <w:vAlign w:val="bottom"/>
            <w:shd w:val="clear" w:color="auto" w:fill="CFF0FC"/>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340" w:type="dxa"/>
            <w:vAlign w:val="bottom"/>
          </w:tcPr>
          <w:p>
            <w:pPr>
              <w:spacing w:after="0" w:line="189" w:lineRule="exact"/>
              <w:rPr>
                <w:sz w:val="20"/>
                <w:szCs w:val="20"/>
                <w:color w:val="auto"/>
              </w:rPr>
            </w:pPr>
            <w:r>
              <w:rPr>
                <w:rFonts w:ascii="Arial" w:cs="Arial" w:eastAsia="Arial" w:hAnsi="Arial"/>
                <w:sz w:val="17"/>
                <w:szCs w:val="17"/>
                <w:color w:val="auto"/>
              </w:rPr>
              <w:t>Weighted-average remaining lease term (years)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3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Weighted-average incremental borrowing rate</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7.31%</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7.02%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8440" w:type="dxa"/>
            <w:vAlign w:val="bottom"/>
            <w:gridSpan w:val="6"/>
          </w:tcPr>
          <w:p>
            <w:pPr>
              <w:spacing w:after="0"/>
              <w:rPr>
                <w:sz w:val="20"/>
                <w:szCs w:val="20"/>
                <w:color w:val="auto"/>
              </w:rPr>
            </w:pPr>
            <w:r>
              <w:rPr>
                <w:rFonts w:ascii="Arial" w:cs="Arial" w:eastAsia="Arial" w:hAnsi="Arial"/>
                <w:sz w:val="17"/>
                <w:szCs w:val="17"/>
                <w:color w:val="auto"/>
              </w:rPr>
              <w:t>The future lease payments under non-cancelable leases at December 31, 2025, are as follows (in thousands):</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2026</w:t>
            </w:r>
          </w:p>
        </w:tc>
        <w:tc>
          <w:tcPr>
            <w:tcW w:w="5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680" w:type="dxa"/>
            <w:vAlign w:val="bottom"/>
            <w:gridSpan w:val="3"/>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618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line="189" w:lineRule="exact"/>
              <w:rPr>
                <w:sz w:val="20"/>
                <w:szCs w:val="20"/>
                <w:color w:val="auto"/>
              </w:rPr>
            </w:pPr>
            <w:r>
              <w:rPr>
                <w:rFonts w:ascii="Arial" w:cs="Arial" w:eastAsia="Arial" w:hAnsi="Arial"/>
                <w:sz w:val="17"/>
                <w:szCs w:val="17"/>
                <w:color w:val="auto"/>
              </w:rPr>
              <w:t>2027</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613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2028</w:t>
            </w:r>
          </w:p>
        </w:tc>
        <w:tc>
          <w:tcPr>
            <w:tcW w:w="5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80" w:type="dxa"/>
            <w:vAlign w:val="bottom"/>
            <w:gridSpan w:val="3"/>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628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line="189" w:lineRule="exact"/>
              <w:rPr>
                <w:sz w:val="20"/>
                <w:szCs w:val="20"/>
                <w:color w:val="auto"/>
              </w:rPr>
            </w:pPr>
            <w:r>
              <w:rPr>
                <w:rFonts w:ascii="Arial" w:cs="Arial" w:eastAsia="Arial" w:hAnsi="Arial"/>
                <w:sz w:val="17"/>
                <w:szCs w:val="17"/>
                <w:color w:val="auto"/>
              </w:rPr>
              <w:t>2029</w:t>
            </w: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0"/>
              <w:spacing w:after="0" w:line="189" w:lineRule="exact"/>
              <w:rPr>
                <w:sz w:val="20"/>
                <w:szCs w:val="20"/>
                <w:color w:val="auto"/>
              </w:rPr>
            </w:pPr>
            <w:r>
              <w:rPr>
                <w:rFonts w:ascii="Arial" w:cs="Arial" w:eastAsia="Arial" w:hAnsi="Arial"/>
                <w:sz w:val="17"/>
                <w:szCs w:val="17"/>
                <w:color w:val="auto"/>
              </w:rPr>
              <w:t>426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40" w:type="dxa"/>
            <w:vAlign w:val="bottom"/>
            <w:gridSpan w:val="2"/>
            <w:shd w:val="clear" w:color="auto" w:fill="CFF0FC"/>
          </w:tcPr>
          <w:p>
            <w:pPr>
              <w:ind w:left="240"/>
              <w:spacing w:after="0" w:line="183" w:lineRule="exact"/>
              <w:rPr>
                <w:sz w:val="20"/>
                <w:szCs w:val="20"/>
                <w:color w:val="auto"/>
              </w:rPr>
            </w:pPr>
            <w:r>
              <w:rPr>
                <w:rFonts w:ascii="Arial" w:cs="Arial" w:eastAsia="Arial" w:hAnsi="Arial"/>
                <w:sz w:val="17"/>
                <w:szCs w:val="17"/>
                <w:color w:val="auto"/>
              </w:rPr>
              <w:t>Total future lease payments</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2,285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40" w:type="dxa"/>
            <w:vAlign w:val="bottom"/>
            <w:gridSpan w:val="2"/>
          </w:tcPr>
          <w:p>
            <w:pPr>
              <w:spacing w:after="0" w:line="189" w:lineRule="exact"/>
              <w:rPr>
                <w:sz w:val="20"/>
                <w:szCs w:val="20"/>
                <w:color w:val="auto"/>
              </w:rPr>
            </w:pPr>
            <w:r>
              <w:rPr>
                <w:rFonts w:ascii="Arial" w:cs="Arial" w:eastAsia="Arial" w:hAnsi="Arial"/>
                <w:sz w:val="17"/>
                <w:szCs w:val="17"/>
                <w:color w:val="auto"/>
              </w:rPr>
              <w:t>Less: imputed interest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7"/>
                <w:szCs w:val="17"/>
                <w:color w:val="auto"/>
              </w:rPr>
              <w:t>Total lease liability</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gridSpan w:val="3"/>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1,904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right="9780" w:firstLine="8"/>
        <w:spacing w:after="0" w:line="364" w:lineRule="auto"/>
        <w:tabs>
          <w:tab w:leader="none" w:pos="19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Common Stock </w:t>
      </w:r>
      <w:r>
        <w:rPr>
          <w:rFonts w:ascii="Arial" w:cs="Arial" w:eastAsia="Arial" w:hAnsi="Arial"/>
          <w:sz w:val="17"/>
          <w:szCs w:val="17"/>
          <w:b w:val="1"/>
          <w:bCs w:val="1"/>
          <w:i w:val="1"/>
          <w:iCs w:val="1"/>
          <w:color w:val="auto"/>
        </w:rPr>
        <w:t>Common Stock</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Common shares are voting and dividends may be paid when, as and if declared by the board of directors.</w:t>
      </w:r>
    </w:p>
    <w:p>
      <w:pPr>
        <w:spacing w:after="0" w:line="10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Common Stock Reserved</w:t>
      </w:r>
    </w:p>
    <w:p>
      <w:pPr>
        <w:spacing w:after="0" w:line="10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The Company has reserved the following shares of common stock for future issuance as of: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3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60" w:type="dxa"/>
            <w:vAlign w:val="bottom"/>
          </w:tcPr>
          <w:p>
            <w:pPr>
              <w:spacing w:after="0"/>
              <w:rPr>
                <w:sz w:val="13"/>
                <w:szCs w:val="13"/>
                <w:color w:val="auto"/>
              </w:rPr>
            </w:pPr>
          </w:p>
        </w:tc>
        <w:tc>
          <w:tcPr>
            <w:tcW w:w="16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76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Stock options outstanding</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6,246,920</w:t>
            </w: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4,486,181</w:t>
            </w: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spacing w:after="0" w:line="189" w:lineRule="exact"/>
              <w:rPr>
                <w:sz w:val="20"/>
                <w:szCs w:val="20"/>
                <w:color w:val="auto"/>
              </w:rPr>
            </w:pPr>
            <w:r>
              <w:rPr>
                <w:rFonts w:ascii="Arial" w:cs="Arial" w:eastAsia="Arial" w:hAnsi="Arial"/>
                <w:sz w:val="17"/>
                <w:szCs w:val="17"/>
                <w:color w:val="auto"/>
              </w:rPr>
              <w:t>Unvested restricted stock</w:t>
            </w:r>
          </w:p>
        </w:tc>
        <w:tc>
          <w:tcPr>
            <w:tcW w:w="2380" w:type="dxa"/>
            <w:vAlign w:val="bottom"/>
            <w:gridSpan w:val="3"/>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330,779</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Shares available for future grant under stock option plan</w:t>
            </w:r>
          </w:p>
        </w:tc>
        <w:tc>
          <w:tcPr>
            <w:tcW w:w="1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2,900,246</w:t>
            </w: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2,008,379</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spacing w:after="0" w:line="189" w:lineRule="exact"/>
              <w:rPr>
                <w:sz w:val="20"/>
                <w:szCs w:val="20"/>
                <w:color w:val="auto"/>
              </w:rPr>
            </w:pPr>
            <w:r>
              <w:rPr>
                <w:rFonts w:ascii="Arial" w:cs="Arial" w:eastAsia="Arial" w:hAnsi="Arial"/>
                <w:sz w:val="17"/>
                <w:szCs w:val="17"/>
                <w:color w:val="auto"/>
              </w:rPr>
              <w:t>Warrants</w:t>
            </w: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7,762,350</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Pre-funded warrants</w:t>
            </w:r>
          </w:p>
        </w:tc>
        <w:tc>
          <w:tcPr>
            <w:tcW w:w="2380" w:type="dxa"/>
            <w:vAlign w:val="bottom"/>
            <w:gridSpan w:val="3"/>
            <w:shd w:val="clear" w:color="auto" w:fill="CFF0FC"/>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3,333,333</w:t>
            </w:r>
          </w:p>
        </w:tc>
        <w:tc>
          <w:tcPr>
            <w:tcW w:w="100" w:type="dxa"/>
            <w:vAlign w:val="bottom"/>
            <w:shd w:val="clear" w:color="auto" w:fill="CFF0FC"/>
          </w:tcPr>
          <w:p>
            <w:pPr>
              <w:spacing w:after="0"/>
              <w:rPr>
                <w:sz w:val="16"/>
                <w:szCs w:val="16"/>
                <w:color w:val="auto"/>
              </w:rPr>
            </w:pPr>
          </w:p>
        </w:tc>
      </w:tr>
      <w:tr>
        <w:trPr>
          <w:trHeight w:val="183"/>
        </w:trPr>
        <w:tc>
          <w:tcPr>
            <w:tcW w:w="7660" w:type="dxa"/>
            <w:vAlign w:val="bottom"/>
            <w:tcBorders>
              <w:top w:val="single" w:sz="8" w:color="CFF0FC"/>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16,909,516</w:t>
            </w:r>
          </w:p>
        </w:tc>
        <w:tc>
          <w:tcPr>
            <w:tcW w:w="260" w:type="dxa"/>
            <w:vAlign w:val="bottom"/>
            <w:tcBorders>
              <w:top w:val="single" w:sz="8" w:color="CFF0FC"/>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17,666,380</w:t>
            </w:r>
          </w:p>
        </w:tc>
        <w:tc>
          <w:tcPr>
            <w:tcW w:w="100" w:type="dxa"/>
            <w:vAlign w:val="bottom"/>
            <w:tcBorders>
              <w:top w:val="single" w:sz="8" w:color="CFF0FC"/>
            </w:tcBorders>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August 5, 2022, the Company filed the 2022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2022 Shelf. The 2022 Shelf was declared effective by the SEC on August 12, 2022 and expired on August 12, 2025. As of August 12, 2025, the Company had sold and issued 3,923,829 shares of common stock under the 2022 ATM Program, with total net proceeds of $20.9 million.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On August 14, 2025, the Company filed the 2025 Shelf with the SEC, which covers the offering, issuance, and sale by the Company of up to 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aggregate of $300.0 million of our common stock, preferred stock, debt securities, warrants and/or units of any combination thereof. The Company</w:t>
      </w:r>
    </w:p>
    <w:p>
      <w:pPr>
        <w:spacing w:after="0" w:line="232" w:lineRule="auto"/>
        <w:rPr>
          <w:sz w:val="20"/>
          <w:szCs w:val="20"/>
          <w:color w:val="auto"/>
        </w:rPr>
      </w:pPr>
      <w:r>
        <w:rPr>
          <w:rFonts w:ascii="Arial" w:cs="Arial" w:eastAsia="Arial" w:hAnsi="Arial"/>
          <w:sz w:val="17"/>
          <w:szCs w:val="17"/>
          <w:color w:val="auto"/>
        </w:rPr>
        <w:t>simultaneously entered into a sales agreement with Jefferies LLC, as sales agent, to provide for the issuance and sale by the Company of up to</w:t>
      </w:r>
    </w:p>
    <w:p>
      <w:pPr>
        <w:spacing w:after="0" w:line="232" w:lineRule="auto"/>
        <w:rPr>
          <w:sz w:val="20"/>
          <w:szCs w:val="20"/>
          <w:color w:val="auto"/>
        </w:rPr>
      </w:pPr>
      <w:r>
        <w:rPr>
          <w:rFonts w:ascii="Arial" w:cs="Arial" w:eastAsia="Arial" w:hAnsi="Arial"/>
          <w:sz w:val="17"/>
          <w:szCs w:val="17"/>
          <w:color w:val="auto"/>
        </w:rPr>
        <w:t>$50.0 million of our common stock from time to time in “at-the-market” offerings under the 2025 Shelf. The 2025 Shelf was declared effective by the</w:t>
      </w:r>
    </w:p>
    <w:p>
      <w:pPr>
        <w:spacing w:after="0" w:line="232" w:lineRule="auto"/>
        <w:rPr>
          <w:sz w:val="20"/>
          <w:szCs w:val="20"/>
          <w:color w:val="auto"/>
        </w:rPr>
      </w:pPr>
      <w:r>
        <w:rPr>
          <w:rFonts w:ascii="Arial" w:cs="Arial" w:eastAsia="Arial" w:hAnsi="Arial"/>
          <w:sz w:val="17"/>
          <w:szCs w:val="17"/>
          <w:color w:val="auto"/>
        </w:rPr>
        <w:t>SEC on August 22, 2025. As of December 31, 2025 and through March 5, 2026, the Company has not sold any shares of common stock under the</w:t>
      </w:r>
    </w:p>
    <w:p>
      <w:pPr>
        <w:spacing w:after="0"/>
        <w:rPr>
          <w:sz w:val="20"/>
          <w:szCs w:val="20"/>
          <w:color w:val="auto"/>
        </w:rPr>
      </w:pPr>
      <w:r>
        <w:rPr>
          <w:rFonts w:ascii="Arial" w:cs="Arial" w:eastAsia="Arial" w:hAnsi="Arial"/>
          <w:sz w:val="17"/>
          <w:szCs w:val="17"/>
          <w:color w:val="auto"/>
        </w:rPr>
        <w:t>2025 ATM Program.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Warrants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warrants outstanding for the purchase of common stock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SUBJECT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PRICE PER</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WARRANTS</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4"/>
                <w:szCs w:val="1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EXPIRATION DATES</w:t>
            </w:r>
          </w:p>
        </w:tc>
      </w:tr>
      <w:tr>
        <w:trPr>
          <w:trHeight w:val="183"/>
        </w:trPr>
        <w:tc>
          <w:tcPr>
            <w:tcW w:w="64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Series B Warrants</w:t>
            </w:r>
          </w:p>
        </w:tc>
        <w:tc>
          <w:tcPr>
            <w:tcW w:w="14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3,672,484</w:t>
            </w:r>
          </w:p>
        </w:tc>
        <w:tc>
          <w:tcPr>
            <w:tcW w:w="4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6.81</w:t>
            </w: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September 2027</w:t>
            </w:r>
          </w:p>
        </w:tc>
      </w:tr>
      <w:tr>
        <w:trPr>
          <w:trHeight w:val="189"/>
        </w:trPr>
        <w:tc>
          <w:tcPr>
            <w:tcW w:w="6440" w:type="dxa"/>
            <w:vAlign w:val="bottom"/>
          </w:tcPr>
          <w:p>
            <w:pPr>
              <w:spacing w:after="0" w:line="189" w:lineRule="exact"/>
              <w:rPr>
                <w:sz w:val="20"/>
                <w:szCs w:val="20"/>
                <w:color w:val="auto"/>
              </w:rPr>
            </w:pPr>
            <w:r>
              <w:rPr>
                <w:rFonts w:ascii="Arial" w:cs="Arial" w:eastAsia="Arial" w:hAnsi="Arial"/>
                <w:sz w:val="17"/>
                <w:szCs w:val="17"/>
                <w:color w:val="auto"/>
              </w:rPr>
              <w:t>Conditional Series B Warrants</w:t>
            </w:r>
          </w:p>
        </w:tc>
        <w:tc>
          <w:tcPr>
            <w:tcW w:w="14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3,672,484</w:t>
            </w:r>
          </w:p>
        </w:tc>
        <w:tc>
          <w:tcPr>
            <w:tcW w:w="4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6.81</w:t>
            </w:r>
          </w:p>
        </w:tc>
        <w:tc>
          <w:tcPr>
            <w:tcW w:w="26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Arial" w:cs="Arial" w:eastAsia="Arial" w:hAnsi="Arial"/>
                <w:sz w:val="17"/>
                <w:szCs w:val="17"/>
                <w:color w:val="auto"/>
              </w:rPr>
              <w:t>September 2027</w:t>
            </w:r>
          </w:p>
        </w:tc>
      </w:tr>
      <w:tr>
        <w:trPr>
          <w:trHeight w:val="189"/>
        </w:trPr>
        <w:tc>
          <w:tcPr>
            <w:tcW w:w="6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NC Ohio Trust</w:t>
            </w:r>
          </w:p>
        </w:tc>
        <w:tc>
          <w:tcPr>
            <w:tcW w:w="14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162,740</w:t>
            </w:r>
          </w:p>
        </w:tc>
        <w:tc>
          <w:tcPr>
            <w:tcW w:w="46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1.46</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March 2029</w:t>
            </w:r>
          </w:p>
        </w:tc>
      </w:tr>
      <w:tr>
        <w:trPr>
          <w:trHeight w:val="225"/>
        </w:trPr>
        <w:tc>
          <w:tcPr>
            <w:tcW w:w="6440" w:type="dxa"/>
            <w:vAlign w:val="bottom"/>
          </w:tcPr>
          <w:p>
            <w:pPr>
              <w:spacing w:after="0"/>
              <w:rPr>
                <w:sz w:val="20"/>
                <w:szCs w:val="20"/>
                <w:color w:val="auto"/>
              </w:rPr>
            </w:pPr>
            <w:r>
              <w:rPr>
                <w:rFonts w:ascii="Arial" w:cs="Arial" w:eastAsia="Arial" w:hAnsi="Arial"/>
                <w:sz w:val="17"/>
                <w:szCs w:val="17"/>
                <w:color w:val="auto"/>
              </w:rPr>
              <w:t>Lender Warrants</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254,642</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5.89</w:t>
            </w:r>
          </w:p>
        </w:tc>
        <w:tc>
          <w:tcPr>
            <w:tcW w:w="26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October 2035</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warrants outstanding for the purchase of common stock as of December 31,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SUBJECT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PRICE PER</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WARRANTS</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4"/>
                <w:szCs w:val="1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EXPIRATION DATES</w:t>
            </w:r>
          </w:p>
        </w:tc>
      </w:tr>
      <w:tr>
        <w:trPr>
          <w:trHeight w:val="183"/>
        </w:trPr>
        <w:tc>
          <w:tcPr>
            <w:tcW w:w="64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Series B Warrants</w:t>
            </w:r>
          </w:p>
        </w:tc>
        <w:tc>
          <w:tcPr>
            <w:tcW w:w="14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3,672,484</w:t>
            </w:r>
          </w:p>
        </w:tc>
        <w:tc>
          <w:tcPr>
            <w:tcW w:w="4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6.81</w:t>
            </w: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November 2025</w:t>
            </w:r>
          </w:p>
        </w:tc>
      </w:tr>
      <w:tr>
        <w:trPr>
          <w:trHeight w:val="189"/>
        </w:trPr>
        <w:tc>
          <w:tcPr>
            <w:tcW w:w="6440" w:type="dxa"/>
            <w:vAlign w:val="bottom"/>
          </w:tcPr>
          <w:p>
            <w:pPr>
              <w:spacing w:after="0" w:line="189" w:lineRule="exact"/>
              <w:rPr>
                <w:sz w:val="20"/>
                <w:szCs w:val="20"/>
                <w:color w:val="auto"/>
              </w:rPr>
            </w:pPr>
            <w:r>
              <w:rPr>
                <w:rFonts w:ascii="Arial" w:cs="Arial" w:eastAsia="Arial" w:hAnsi="Arial"/>
                <w:sz w:val="17"/>
                <w:szCs w:val="17"/>
                <w:color w:val="auto"/>
              </w:rPr>
              <w:t>Conditional Series B Warrants</w:t>
            </w:r>
          </w:p>
        </w:tc>
        <w:tc>
          <w:tcPr>
            <w:tcW w:w="14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3,672,484</w:t>
            </w:r>
          </w:p>
        </w:tc>
        <w:tc>
          <w:tcPr>
            <w:tcW w:w="4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6.81</w:t>
            </w:r>
          </w:p>
        </w:tc>
        <w:tc>
          <w:tcPr>
            <w:tcW w:w="26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Arial" w:cs="Arial" w:eastAsia="Arial" w:hAnsi="Arial"/>
                <w:sz w:val="17"/>
                <w:szCs w:val="17"/>
                <w:color w:val="auto"/>
              </w:rPr>
              <w:t>November 2025</w:t>
            </w:r>
          </w:p>
        </w:tc>
      </w:tr>
      <w:tr>
        <w:trPr>
          <w:trHeight w:val="189"/>
        </w:trPr>
        <w:tc>
          <w:tcPr>
            <w:tcW w:w="6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NC Ohio Trust</w:t>
            </w:r>
          </w:p>
        </w:tc>
        <w:tc>
          <w:tcPr>
            <w:tcW w:w="14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162,740</w:t>
            </w:r>
          </w:p>
        </w:tc>
        <w:tc>
          <w:tcPr>
            <w:tcW w:w="46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1.46</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March 2029</w:t>
            </w:r>
          </w:p>
        </w:tc>
      </w:tr>
      <w:tr>
        <w:trPr>
          <w:trHeight w:val="225"/>
        </w:trPr>
        <w:tc>
          <w:tcPr>
            <w:tcW w:w="6440" w:type="dxa"/>
            <w:vAlign w:val="bottom"/>
          </w:tcPr>
          <w:p>
            <w:pPr>
              <w:spacing w:after="0"/>
              <w:rPr>
                <w:sz w:val="20"/>
                <w:szCs w:val="20"/>
                <w:color w:val="auto"/>
              </w:rPr>
            </w:pPr>
            <w:r>
              <w:rPr>
                <w:rFonts w:ascii="Arial" w:cs="Arial" w:eastAsia="Arial" w:hAnsi="Arial"/>
                <w:sz w:val="17"/>
                <w:szCs w:val="17"/>
                <w:color w:val="auto"/>
              </w:rPr>
              <w:t>Pre-Funded Warrants</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3,333,333</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0.01</w:t>
            </w:r>
          </w:p>
        </w:tc>
        <w:tc>
          <w:tcPr>
            <w:tcW w:w="26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No expiration</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Warrants</w:t>
      </w:r>
    </w:p>
    <w:p>
      <w:pPr>
        <w:spacing w:after="0" w:line="102"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the Company issued to the purchaser of the Series B Preferred warrants to purchase 3,672,484 shares of common stock</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49" w:name="page150"/>
    <w:bookmarkEnd w:id="149"/>
    <w:p>
      <w:pPr>
        <w:ind w:right="440"/>
        <w:spacing w:after="0" w:line="267" w:lineRule="auto"/>
        <w:rPr>
          <w:sz w:val="20"/>
          <w:szCs w:val="20"/>
          <w:color w:val="auto"/>
        </w:rPr>
      </w:pPr>
      <w:r>
        <w:rPr>
          <w:rFonts w:ascii="Arial" w:cs="Arial" w:eastAsia="Arial" w:hAnsi="Arial"/>
          <w:sz w:val="17"/>
          <w:szCs w:val="17"/>
          <w:color w:val="auto"/>
        </w:rPr>
        <w:t>for $6.81 per share (the Series B Warrants), which became fully exercisable upon issuance. The Series B Warrants contain provisions allowing cashless exercise.</w:t>
      </w:r>
    </w:p>
    <w:p>
      <w:pPr>
        <w:spacing w:after="0" w:line="51"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2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7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Company's initial public offering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 On October 14, 2025, the Company entered into an amendment (the Warrant Amendment) with holders, including affiliates of Paul Manning and Chris Martell, who are directors of the Company, of the Series B Warrants and the Conditional Series B Warrants. Pursuant to the Warrant Amendment, the holders agreed (i) to extend the expiration date of the Series B Warrants and the Conditional Series B Warrants from November 2025 to September 2027; (ii) to irrevocably release the Company and its directors, officers and affiliates (collectively, the Releasees) from any and all claims that the holders may have against the Releasees related to any alleged breach of or wrongful act under that certain Series B Preferred Stock Purchase Agreement dated November 13, 2018 by and between the Company and PBM ADV Holdings, LLC (the Purchase Agreement) and the issuance of shares of the Company’s Series B preferred stock or existing warrants under the Purchase Agreement; (iii) to not, during the six months following the Warrant Amendment, (x) transfer or dispose of any shares of Common Stock or any securities convertible into or exercisable or exchangeable for Common Stock, or (y) enter into any swap or other arrangement that transfers to another any of the economic consequences of ownership of such securities, subject to certain exceptions set forth in the Warrant Amendment; and (iv) that, if requested by the underwriters in any equity financing transaction undertaken by the Company prior to September 30, 2027, to execute a standard lock-up agreement in connection with such equity financing.</w:t>
      </w:r>
    </w:p>
    <w:p>
      <w:pPr>
        <w:spacing w:after="0" w:line="8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The Company will continue to recognize changes in the fair value of the Conditional Series B Warrants until each Conditional Series B Warrant is exercised, expires or qualifies for equity classification. The warrant liability fair value was $13.6 million and $21.7 million as of December 31, 2025 and 2024,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NC Ohio Trust Warrants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consolidated statements of operations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December 31, 2025 and 2024, a grant date was not established as there was not a mutual understanding of key terms. The Company remeasures the fair value of the award at each reporting date, as the service date preceded the grant date. The value of</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50" w:name="page151"/>
    <w:bookmarkEnd w:id="150"/>
    <w:p>
      <w:pPr>
        <w:ind w:right="220"/>
        <w:spacing w:after="0" w:line="249" w:lineRule="auto"/>
        <w:rPr>
          <w:sz w:val="20"/>
          <w:szCs w:val="20"/>
          <w:color w:val="auto"/>
        </w:rPr>
      </w:pPr>
      <w:r>
        <w:rPr>
          <w:rFonts w:ascii="Arial" w:cs="Arial" w:eastAsia="Arial" w:hAnsi="Arial"/>
          <w:sz w:val="17"/>
          <w:szCs w:val="17"/>
          <w:color w:val="auto"/>
        </w:rPr>
        <w:t>the warrants for 162,740 shares of common stock was $0.8 million and $1.3 million as of December 31, 2025 and 2024, respectively. The value of the warrants at each reporting date is recorded as stock compensation expense within research and development expense and to stockholders’ equity in the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Pre-Funded Warrants</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connection with the public offering on December 16, 2024 (see Note 1),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7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During the year ended December 31, 2025, 3,328,064 shares of common stock were issued upon the cashless exercise of pre-funded warrants. As of December 31, 2025, all pre-funded warrants were exercised.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Lender Warrants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connection with the drawdown of any Tranche under the Trinity LSA entered into on October 14, 2025 (see Note 6), the Company is required to issue to the Lenders warrants (the Lender Warrants) to purchase shares of the Company’s common stock, $0.01 par value per share. The exercise price for the Lender Warrants is equal to $5.89 per share. The number of shares of common stock for which each Lender Warrant is exercisable is equal to 3.0% of the applicable drawn down amount, divided by the exercise price. The Lender Warrants shall have a term of ten years from the date of issuance and shall permit cashless net exercise, all in accordance with their terms. In connection with the drawdown of the First Tranche, the Company issued a Lender Warrant to purchase up to 254,642 shares of Common Stock.</w:t>
      </w:r>
    </w:p>
    <w:p>
      <w:pPr>
        <w:spacing w:after="0" w:line="115"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initial fair value of the Lender Warrants was recognized as debt discount to the term loan and a corresponding warrant liability. The Lender Warrants are remeasured to their fair value at each reporting date with changes in the fair value recognized as a component of other income (expense), net in the consolidated statements of operations. The Company will continue to recognize changes in the fair value of the Lender Warrants until each Lender Warrant is exercised, expires or qualifies for equity classification. The warrant liability fair value was $2.0 million and zero as of December 31, 2025 and 2024, respectively.</w:t>
      </w:r>
    </w:p>
    <w:p>
      <w:pPr>
        <w:spacing w:after="0" w:line="7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During the year ended December 31, 2025, no Lender Warrants were exercised. As of December 31, 2025, there were 254,642 Lender Warrants outstanding.</w:t>
      </w:r>
    </w:p>
    <w:p>
      <w:pPr>
        <w:spacing w:after="0" w:line="92" w:lineRule="exact"/>
        <w:rPr>
          <w:sz w:val="20"/>
          <w:szCs w:val="20"/>
          <w:color w:val="auto"/>
        </w:rPr>
      </w:pPr>
    </w:p>
    <w:p>
      <w:pPr>
        <w:ind w:right="5680" w:firstLine="8"/>
        <w:spacing w:after="0" w:line="364" w:lineRule="auto"/>
        <w:tabs>
          <w:tab w:leader="none" w:pos="285"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Options, Restricted Stock and Stock-Based Compensation </w:t>
      </w:r>
      <w:r>
        <w:rPr>
          <w:rFonts w:ascii="Arial" w:cs="Arial" w:eastAsia="Arial" w:hAnsi="Arial"/>
          <w:sz w:val="17"/>
          <w:szCs w:val="17"/>
          <w:b w:val="1"/>
          <w:bCs w:val="1"/>
          <w:i w:val="1"/>
          <w:iCs w:val="1"/>
          <w:color w:val="auto"/>
        </w:rPr>
        <w:t>Equity Incentive Plans</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December 31, 2025, there are no shares available for grants under the 2015 Plan and the 2015 Plan continues to govern the terms and conditions of the outstanding awards under the 2015 Plan.</w:t>
      </w:r>
    </w:p>
    <w:p>
      <w:pPr>
        <w:spacing w:after="0" w:line="7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8,558,685 shares of common stock are reserved under the 2021 Plan, of which 1,900,246 shares remain available for future grants as of December 31, 2025.</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Inducement Plan</w:t>
      </w:r>
    </w:p>
    <w:p>
      <w:pPr>
        <w:spacing w:after="0" w:line="102"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On December 24, 2025, the Company's board of directors approved the Company's 2025 Inducement Plan (the 2025 Inducement Plan) which permits the granting of non-qualified stock options, stock appreciation rights, restricted stock</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51" w:name="page152"/>
    <w:bookmarkEnd w:id="151"/>
    <w:p>
      <w:pPr>
        <w:ind w:right="260"/>
        <w:spacing w:after="0" w:line="244" w:lineRule="auto"/>
        <w:rPr>
          <w:sz w:val="20"/>
          <w:szCs w:val="20"/>
          <w:color w:val="auto"/>
        </w:rPr>
      </w:pPr>
      <w:r>
        <w:rPr>
          <w:rFonts w:ascii="Arial" w:cs="Arial" w:eastAsia="Arial" w:hAnsi="Arial"/>
          <w:sz w:val="17"/>
          <w:szCs w:val="17"/>
          <w:color w:val="auto"/>
        </w:rPr>
        <w:t>awards, restricted stock units, and other stock-based awards to employees as an inducement pursuant to Listing Rule 5635(c)(4) of the corporate governance rules of the Nasdaq Stock Market, LLC. The 2025 Inducement Plan became effective upon approval. The 2025 Inducement Plan provides for an overall share limit of 1,000,000 shares of common stock. As of December 31, 2025, 1,000,000 shares remain available for future grants under the 2025 Inducement Plan.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74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62"/>
        </w:trPr>
        <w:tc>
          <w:tcPr>
            <w:tcW w:w="574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TERM (IN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w:t>
            </w:r>
          </w:p>
        </w:tc>
      </w:tr>
      <w:tr>
        <w:trPr>
          <w:trHeight w:val="171"/>
        </w:trPr>
        <w:tc>
          <w:tcPr>
            <w:tcW w:w="57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r>
      <w:tr>
        <w:trPr>
          <w:trHeight w:val="183"/>
        </w:trPr>
        <w:tc>
          <w:tcPr>
            <w:tcW w:w="57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Outstanding as of December 31, 2024</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4,486,181</w:t>
            </w:r>
          </w:p>
        </w:tc>
        <w:tc>
          <w:tcPr>
            <w:tcW w:w="1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2.54</w:t>
            </w:r>
          </w:p>
        </w:tc>
        <w:tc>
          <w:tcPr>
            <w:tcW w:w="1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6.61</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27,599</w:t>
            </w:r>
          </w:p>
        </w:tc>
        <w:tc>
          <w:tcPr>
            <w:tcW w:w="100" w:type="dxa"/>
            <w:vAlign w:val="bottom"/>
            <w:shd w:val="clear" w:color="auto" w:fill="CFF0FC"/>
          </w:tcPr>
          <w:p>
            <w:pPr>
              <w:spacing w:after="0"/>
              <w:rPr>
                <w:sz w:val="15"/>
                <w:szCs w:val="15"/>
                <w:color w:val="auto"/>
              </w:rPr>
            </w:pP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2,185,750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7.65</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(219,813)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2.34</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7"/>
                <w:szCs w:val="17"/>
                <w:color w:val="auto"/>
              </w:rPr>
              <w:t>Cancelled, forfeited or expired</w:t>
            </w: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(205,198)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6.25</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7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Outstanding as of December 31, 2025</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6,246,920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4.21</w:t>
            </w:r>
          </w:p>
        </w:tc>
        <w:tc>
          <w:tcPr>
            <w:tcW w:w="1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6.79</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13,695</w:t>
            </w:r>
          </w:p>
        </w:tc>
        <w:tc>
          <w:tcPr>
            <w:tcW w:w="100" w:type="dxa"/>
            <w:vAlign w:val="bottom"/>
            <w:shd w:val="clear" w:color="auto" w:fill="CFF0FC"/>
          </w:tcPr>
          <w:p>
            <w:pPr>
              <w:spacing w:after="0"/>
              <w:rPr>
                <w:sz w:val="17"/>
                <w:szCs w:val="17"/>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70"/>
        </w:trPr>
        <w:tc>
          <w:tcPr>
            <w:tcW w:w="5740" w:type="dxa"/>
            <w:vAlign w:val="bottom"/>
          </w:tcPr>
          <w:p>
            <w:pPr>
              <w:spacing w:after="0" w:line="170" w:lineRule="exact"/>
              <w:rPr>
                <w:sz w:val="20"/>
                <w:szCs w:val="20"/>
                <w:color w:val="auto"/>
              </w:rPr>
            </w:pPr>
            <w:r>
              <w:rPr>
                <w:rFonts w:ascii="Arial" w:cs="Arial" w:eastAsia="Arial" w:hAnsi="Arial"/>
                <w:sz w:val="17"/>
                <w:szCs w:val="17"/>
                <w:color w:val="auto"/>
              </w:rPr>
              <w:t>Exercisable as of December 31, 2025</w:t>
            </w:r>
          </w:p>
        </w:tc>
        <w:tc>
          <w:tcPr>
            <w:tcW w:w="1220" w:type="dxa"/>
            <w:vAlign w:val="bottom"/>
          </w:tcPr>
          <w:p>
            <w:pPr>
              <w:jc w:val="right"/>
              <w:spacing w:after="0" w:line="170" w:lineRule="exact"/>
              <w:rPr>
                <w:sz w:val="20"/>
                <w:szCs w:val="20"/>
                <w:color w:val="auto"/>
              </w:rPr>
            </w:pPr>
            <w:r>
              <w:rPr>
                <w:rFonts w:ascii="Arial" w:cs="Arial" w:eastAsia="Arial" w:hAnsi="Arial"/>
                <w:sz w:val="17"/>
                <w:szCs w:val="17"/>
                <w:color w:val="auto"/>
              </w:rPr>
              <w:t>4,099,302</w:t>
            </w:r>
          </w:p>
        </w:tc>
        <w:tc>
          <w:tcPr>
            <w:tcW w:w="160" w:type="dxa"/>
            <w:vAlign w:val="bottom"/>
          </w:tcPr>
          <w:p>
            <w:pPr>
              <w:spacing w:after="0"/>
              <w:rPr>
                <w:sz w:val="14"/>
                <w:szCs w:val="14"/>
                <w:color w:val="auto"/>
              </w:rPr>
            </w:pPr>
          </w:p>
        </w:tc>
        <w:tc>
          <w:tcPr>
            <w:tcW w:w="220" w:type="dxa"/>
            <w:vAlign w:val="bottom"/>
            <w:gridSpan w:val="2"/>
          </w:tcPr>
          <w:p>
            <w:pPr>
              <w:jc w:val="right"/>
              <w:ind w:right="20"/>
              <w:spacing w:after="0" w:line="170"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7"/>
                <w:szCs w:val="17"/>
                <w:color w:val="auto"/>
              </w:rPr>
              <w:t>2.99</w:t>
            </w:r>
          </w:p>
        </w:tc>
        <w:tc>
          <w:tcPr>
            <w:tcW w:w="140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5.76</w:t>
            </w:r>
          </w:p>
        </w:tc>
        <w:tc>
          <w:tcPr>
            <w:tcW w:w="34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70" w:lineRule="exact"/>
              <w:rPr>
                <w:sz w:val="20"/>
                <w:szCs w:val="20"/>
                <w:color w:val="auto"/>
              </w:rPr>
            </w:pPr>
            <w:r>
              <w:rPr>
                <w:rFonts w:ascii="Arial" w:cs="Arial" w:eastAsia="Arial" w:hAnsi="Arial"/>
                <w:sz w:val="17"/>
                <w:szCs w:val="17"/>
                <w:color w:val="auto"/>
              </w:rPr>
              <w:t>12,121</w:t>
            </w:r>
          </w:p>
        </w:tc>
        <w:tc>
          <w:tcPr>
            <w:tcW w:w="100" w:type="dxa"/>
            <w:vAlign w:val="bottom"/>
          </w:tcPr>
          <w:p>
            <w:pPr>
              <w:spacing w:after="0"/>
              <w:rPr>
                <w:sz w:val="14"/>
                <w:szCs w:val="14"/>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40" w:type="dxa"/>
            <w:vAlign w:val="bottom"/>
            <w:shd w:val="clear" w:color="auto" w:fill="CFF0FC"/>
          </w:tcPr>
          <w:p>
            <w:pPr>
              <w:spacing w:after="0" w:line="170" w:lineRule="exact"/>
              <w:rPr>
                <w:sz w:val="20"/>
                <w:szCs w:val="20"/>
                <w:color w:val="auto"/>
              </w:rPr>
            </w:pPr>
            <w:r>
              <w:rPr>
                <w:rFonts w:ascii="Arial" w:cs="Arial" w:eastAsia="Arial" w:hAnsi="Arial"/>
                <w:sz w:val="17"/>
                <w:szCs w:val="17"/>
                <w:color w:val="auto"/>
              </w:rPr>
              <w:t>Unvested as of December 31, 2025</w:t>
            </w:r>
          </w:p>
        </w:tc>
        <w:tc>
          <w:tcPr>
            <w:tcW w:w="122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2,147,618</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line="170"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6.55</w:t>
            </w:r>
          </w:p>
        </w:tc>
        <w:tc>
          <w:tcPr>
            <w:tcW w:w="140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7"/>
                <w:szCs w:val="17"/>
                <w:color w:val="auto"/>
              </w:rPr>
              <w:t>8.76</w:t>
            </w:r>
          </w:p>
        </w:tc>
        <w:tc>
          <w:tcPr>
            <w:tcW w:w="34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1,574</w:t>
            </w:r>
          </w:p>
        </w:tc>
        <w:tc>
          <w:tcPr>
            <w:tcW w:w="100" w:type="dxa"/>
            <w:vAlign w:val="bottom"/>
            <w:shd w:val="clear" w:color="auto" w:fill="CFF0FC"/>
          </w:tcPr>
          <w:p>
            <w:pPr>
              <w:spacing w:after="0"/>
              <w:rPr>
                <w:sz w:val="18"/>
                <w:szCs w:val="18"/>
                <w:color w:val="auto"/>
              </w:rPr>
            </w:pPr>
          </w:p>
        </w:tc>
      </w:tr>
      <w:tr>
        <w:trPr>
          <w:trHeight w:val="75"/>
        </w:trPr>
        <w:tc>
          <w:tcPr>
            <w:tcW w:w="5740" w:type="dxa"/>
            <w:vAlign w:val="bottom"/>
            <w:tcBorders>
              <w:top w:val="single" w:sz="8" w:color="CFF0FC"/>
              <w:bottom w:val="single" w:sz="8" w:color="auto"/>
            </w:tcBorders>
          </w:tcPr>
          <w:p>
            <w:pPr>
              <w:spacing w:after="0"/>
              <w:rPr>
                <w:sz w:val="6"/>
                <w:szCs w:val="6"/>
                <w:color w:val="auto"/>
              </w:rPr>
            </w:pPr>
          </w:p>
        </w:tc>
        <w:tc>
          <w:tcPr>
            <w:tcW w:w="122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CFF0FC"/>
              <w:bottom w:val="single" w:sz="8" w:color="auto"/>
            </w:tcBorders>
          </w:tcPr>
          <w:p>
            <w:pPr>
              <w:spacing w:after="0"/>
              <w:rPr>
                <w:sz w:val="6"/>
                <w:szCs w:val="6"/>
                <w:color w:val="auto"/>
              </w:rPr>
            </w:pPr>
          </w:p>
        </w:tc>
        <w:tc>
          <w:tcPr>
            <w:tcW w:w="120" w:type="dxa"/>
            <w:vAlign w:val="bottom"/>
            <w:tcBorders>
              <w:top w:val="single" w:sz="8" w:color="CFF0FC"/>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0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CFF0FC"/>
              <w:bottom w:val="single" w:sz="8" w:color="auto"/>
            </w:tcBorders>
          </w:tcPr>
          <w:p>
            <w:pPr>
              <w:spacing w:after="0"/>
              <w:rPr>
                <w:sz w:val="6"/>
                <w:szCs w:val="6"/>
                <w:color w:val="auto"/>
              </w:rPr>
            </w:pPr>
          </w:p>
        </w:tc>
        <w:tc>
          <w:tcPr>
            <w:tcW w:w="120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CFF0FC"/>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FF0FC"/>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-385445</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-367665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-385445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-367665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-385445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-93345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-76835</wp:posOffset>
            </wp:positionV>
            <wp:extent cx="768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-93345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-76835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-76835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-76835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on the date of exercise. In connection with the exercise of stock options to purchase 306,518 shares of our common stock at an exercise price of</w:t>
      </w:r>
    </w:p>
    <w:p>
      <w:pPr>
        <w:spacing w:after="0" w:line="232" w:lineRule="auto"/>
        <w:rPr>
          <w:sz w:val="20"/>
          <w:szCs w:val="20"/>
          <w:color w:val="auto"/>
        </w:rPr>
      </w:pPr>
      <w:r>
        <w:rPr>
          <w:rFonts w:ascii="Arial" w:cs="Arial" w:eastAsia="Arial" w:hAnsi="Arial"/>
          <w:sz w:val="17"/>
          <w:szCs w:val="17"/>
          <w:color w:val="auto"/>
        </w:rPr>
        <w:t>$1.46 in 2022, option holders tendered 122,608 shares of our common stock previously acquired in consideration of the full aggregate exercise price</w:t>
      </w:r>
    </w:p>
    <w:p>
      <w:pPr>
        <w:spacing w:after="0" w:line="232" w:lineRule="auto"/>
        <w:rPr>
          <w:sz w:val="20"/>
          <w:szCs w:val="20"/>
          <w:color w:val="auto"/>
        </w:rPr>
      </w:pPr>
      <w:r>
        <w:rPr>
          <w:rFonts w:ascii="Arial" w:cs="Arial" w:eastAsia="Arial" w:hAnsi="Arial"/>
          <w:sz w:val="17"/>
          <w:szCs w:val="17"/>
          <w:color w:val="auto"/>
        </w:rPr>
        <w:t>in accordance with the terms of the option and the 2015 Plan. The shares tendered are recorded as treasury stock within the Company's</w:t>
      </w:r>
    </w:p>
    <w:p>
      <w:pPr>
        <w:spacing w:after="0"/>
        <w:rPr>
          <w:sz w:val="20"/>
          <w:szCs w:val="20"/>
          <w:color w:val="auto"/>
        </w:rPr>
      </w:pPr>
      <w:r>
        <w:rPr>
          <w:rFonts w:ascii="Arial" w:cs="Arial" w:eastAsia="Arial" w:hAnsi="Arial"/>
          <w:sz w:val="17"/>
          <w:szCs w:val="17"/>
          <w:color w:val="auto"/>
        </w:rPr>
        <w:t>consolidated financial statements at December 31, 2025.</w:t>
      </w:r>
    </w:p>
    <w:p>
      <w:pPr>
        <w:spacing w:after="0" w:line="8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range of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4960" w:type="dxa"/>
            <w:vAlign w:val="bottom"/>
            <w:gridSpan w:val="4"/>
          </w:tcPr>
          <w:p>
            <w:pPr>
              <w:jc w:val="right"/>
              <w:ind w:right="15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280" w:type="dxa"/>
            <w:vAlign w:val="bottom"/>
          </w:tcPr>
          <w:p>
            <w:pPr>
              <w:spacing w:after="0"/>
              <w:rPr>
                <w:sz w:val="13"/>
                <w:szCs w:val="13"/>
                <w:color w:val="auto"/>
              </w:rPr>
            </w:pPr>
          </w:p>
        </w:tc>
        <w:tc>
          <w:tcPr>
            <w:tcW w:w="2240" w:type="dxa"/>
            <w:vAlign w:val="bottom"/>
            <w:tcBorders>
              <w:top w:val="single" w:sz="8" w:color="auto"/>
              <w:bottom w:val="single" w:sz="8" w:color="auto"/>
            </w:tcBorders>
          </w:tcPr>
          <w:p>
            <w:pPr>
              <w:jc w:val="right"/>
              <w:ind w:right="879"/>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tcBorders>
          </w:tcPr>
          <w:p>
            <w:pPr>
              <w:spacing w:after="0"/>
              <w:rPr>
                <w:sz w:val="13"/>
                <w:szCs w:val="13"/>
                <w:color w:val="auto"/>
              </w:rPr>
            </w:pPr>
          </w:p>
        </w:tc>
        <w:tc>
          <w:tcPr>
            <w:tcW w:w="2240" w:type="dxa"/>
            <w:vAlign w:val="bottom"/>
            <w:tcBorders>
              <w:top w:val="single" w:sz="8" w:color="auto"/>
              <w:bottom w:val="single" w:sz="8" w:color="auto"/>
            </w:tcBorders>
          </w:tcPr>
          <w:p>
            <w:pPr>
              <w:jc w:val="right"/>
              <w:ind w:right="877"/>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r>
      <w:tr>
        <w:trPr>
          <w:trHeight w:val="183"/>
        </w:trPr>
        <w:tc>
          <w:tcPr>
            <w:tcW w:w="628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Expected option life (years)</w:t>
            </w:r>
          </w:p>
        </w:tc>
        <w:tc>
          <w:tcPr>
            <w:tcW w:w="2560" w:type="dxa"/>
            <w:vAlign w:val="bottom"/>
            <w:gridSpan w:val="2"/>
            <w:shd w:val="clear" w:color="auto" w:fill="CFF0FC"/>
          </w:tcPr>
          <w:p>
            <w:pPr>
              <w:jc w:val="right"/>
              <w:ind w:right="320"/>
              <w:spacing w:after="0" w:line="183" w:lineRule="exact"/>
              <w:rPr>
                <w:sz w:val="20"/>
                <w:szCs w:val="20"/>
                <w:color w:val="auto"/>
              </w:rPr>
            </w:pPr>
            <w:r>
              <w:rPr>
                <w:rFonts w:ascii="Arial" w:cs="Arial" w:eastAsia="Arial" w:hAnsi="Arial"/>
                <w:sz w:val="17"/>
                <w:szCs w:val="17"/>
                <w:color w:val="auto"/>
              </w:rPr>
              <w:t>5.50 - 6.08</w:t>
            </w:r>
          </w:p>
        </w:tc>
        <w:tc>
          <w:tcPr>
            <w:tcW w:w="2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7"/>
                <w:szCs w:val="17"/>
                <w:color w:val="auto"/>
              </w:rPr>
              <w:t>5.50 - 6.08</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256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3.69% - 4.52%</w:t>
            </w:r>
          </w:p>
        </w:tc>
        <w:tc>
          <w:tcPr>
            <w:tcW w:w="24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3.98% - 4.32%</w:t>
            </w:r>
          </w:p>
        </w:tc>
      </w:tr>
      <w:tr>
        <w:trPr>
          <w:trHeight w:val="189"/>
        </w:trPr>
        <w:tc>
          <w:tcPr>
            <w:tcW w:w="628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Expected volatility</w:t>
            </w:r>
          </w:p>
        </w:tc>
        <w:tc>
          <w:tcPr>
            <w:tcW w:w="2560" w:type="dxa"/>
            <w:vAlign w:val="bottom"/>
            <w:gridSpan w:val="2"/>
            <w:shd w:val="clear" w:color="auto" w:fill="CFF0FC"/>
          </w:tcPr>
          <w:p>
            <w:pPr>
              <w:jc w:val="right"/>
              <w:ind w:right="320"/>
              <w:spacing w:after="0" w:line="189" w:lineRule="exact"/>
              <w:rPr>
                <w:sz w:val="20"/>
                <w:szCs w:val="20"/>
                <w:color w:val="auto"/>
              </w:rPr>
            </w:pPr>
            <w:r>
              <w:rPr>
                <w:rFonts w:ascii="Arial" w:cs="Arial" w:eastAsia="Arial" w:hAnsi="Arial"/>
                <w:sz w:val="17"/>
                <w:szCs w:val="17"/>
                <w:color w:val="auto"/>
              </w:rPr>
              <w:t>117.03% - 121.09%</w:t>
            </w:r>
          </w:p>
        </w:tc>
        <w:tc>
          <w:tcPr>
            <w:tcW w:w="240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7"/>
                <w:szCs w:val="17"/>
                <w:color w:val="auto"/>
              </w:rPr>
              <w:t>99.30% - 114.68%</w:t>
            </w:r>
          </w:p>
        </w:tc>
      </w:tr>
      <w:tr>
        <w:trPr>
          <w:trHeight w:val="225"/>
        </w:trPr>
        <w:tc>
          <w:tcPr>
            <w:tcW w:w="62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56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2400" w:type="dxa"/>
            <w:vAlign w:val="bottom"/>
            <w:gridSpan w:val="2"/>
          </w:tcPr>
          <w:p>
            <w:pPr>
              <w:jc w:val="right"/>
              <w:spacing w:after="0"/>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total intrinsic value of stock options exercised during the years ended December 31, 2025 and 2024 was $0.7 million and $5.7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02"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660" w:type="dxa"/>
            <w:vAlign w:val="bottom"/>
          </w:tcPr>
          <w:p>
            <w:pPr>
              <w:jc w:val="center"/>
              <w:ind w:left="628"/>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400" w:type="dxa"/>
            <w:vAlign w:val="bottom"/>
          </w:tcPr>
          <w:p>
            <w:pPr>
              <w:spacing w:after="0"/>
              <w:rPr>
                <w:sz w:val="14"/>
                <w:szCs w:val="14"/>
                <w:color w:val="auto"/>
              </w:rPr>
            </w:pPr>
          </w:p>
        </w:tc>
        <w:tc>
          <w:tcPr>
            <w:tcW w:w="1660" w:type="dxa"/>
            <w:vAlign w:val="bottom"/>
          </w:tcPr>
          <w:p>
            <w:pPr>
              <w:jc w:val="center"/>
              <w:ind w:left="628"/>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GRANT</w:t>
            </w:r>
          </w:p>
        </w:tc>
      </w:tr>
      <w:tr>
        <w:trPr>
          <w:trHeight w:val="171"/>
        </w:trPr>
        <w:tc>
          <w:tcPr>
            <w:tcW w:w="6400" w:type="dxa"/>
            <w:vAlign w:val="bottom"/>
          </w:tcPr>
          <w:p>
            <w:pPr>
              <w:spacing w:after="0"/>
              <w:rPr>
                <w:sz w:val="14"/>
                <w:szCs w:val="14"/>
                <w:color w:val="auto"/>
              </w:rPr>
            </w:pPr>
          </w:p>
        </w:tc>
        <w:tc>
          <w:tcPr>
            <w:tcW w:w="166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b w:val="1"/>
                <w:bCs w:val="1"/>
                <w:color w:val="auto"/>
              </w:rPr>
              <w:t>OPTIONS</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Pr>
          <w:p>
            <w:pPr>
              <w:spacing w:after="0"/>
              <w:rPr>
                <w:sz w:val="14"/>
                <w:szCs w:val="14"/>
                <w:color w:val="auto"/>
              </w:rPr>
            </w:pPr>
          </w:p>
        </w:tc>
      </w:tr>
      <w:tr>
        <w:trPr>
          <w:trHeight w:val="183"/>
        </w:trPr>
        <w:tc>
          <w:tcPr>
            <w:tcW w:w="8060" w:type="dxa"/>
            <w:vAlign w:val="bottom"/>
            <w:gridSpan w:val="2"/>
            <w:shd w:val="clear" w:color="auto" w:fill="CFF0FC"/>
          </w:tcPr>
          <w:p>
            <w:pPr>
              <w:spacing w:after="0" w:line="183" w:lineRule="exact"/>
              <w:rPr>
                <w:sz w:val="20"/>
                <w:szCs w:val="20"/>
                <w:color w:val="auto"/>
              </w:rPr>
            </w:pPr>
            <w:r>
              <w:rPr>
                <w:rFonts w:ascii="Arial" w:cs="Arial" w:eastAsia="Arial" w:hAnsi="Arial"/>
                <w:sz w:val="17"/>
                <w:szCs w:val="17"/>
                <w:color w:val="auto"/>
              </w:rPr>
              <w:t>Unvested at December 31, 2024</w:t>
            </w:r>
          </w:p>
        </w:tc>
        <w:tc>
          <w:tcPr>
            <w:tcW w:w="9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7"/>
                <w:szCs w:val="17"/>
                <w:color w:val="auto"/>
              </w:rPr>
              <w:t>330,779</w:t>
            </w:r>
          </w:p>
        </w:tc>
        <w:tc>
          <w:tcPr>
            <w:tcW w:w="4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0.98</w:t>
            </w: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7"/>
                <w:szCs w:val="17"/>
                <w:color w:val="auto"/>
              </w:rPr>
              <w:t>Granted</w:t>
            </w: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060" w:type="dxa"/>
            <w:vAlign w:val="bottom"/>
            <w:gridSpan w:val="2"/>
            <w:shd w:val="clear" w:color="auto" w:fill="CFF0FC"/>
          </w:tcPr>
          <w:p>
            <w:pPr>
              <w:spacing w:after="0" w:line="189" w:lineRule="exact"/>
              <w:rPr>
                <w:sz w:val="20"/>
                <w:szCs w:val="20"/>
                <w:color w:val="auto"/>
              </w:rPr>
            </w:pPr>
            <w:r>
              <w:rPr>
                <w:rFonts w:ascii="Arial" w:cs="Arial" w:eastAsia="Arial" w:hAnsi="Arial"/>
                <w:sz w:val="17"/>
                <w:szCs w:val="17"/>
                <w:color w:val="auto"/>
              </w:rPr>
              <w:t>Vested</w:t>
            </w:r>
          </w:p>
        </w:tc>
        <w:tc>
          <w:tcPr>
            <w:tcW w:w="9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(330,779)</w:t>
            </w:r>
          </w:p>
        </w:tc>
        <w:tc>
          <w:tcPr>
            <w:tcW w:w="4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0.98</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Forfeited</w:t>
            </w:r>
          </w:p>
        </w:tc>
        <w:tc>
          <w:tcPr>
            <w:tcW w:w="16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20"/>
        </w:trPr>
        <w:tc>
          <w:tcPr>
            <w:tcW w:w="64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0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Unvested at December 31, 2025</w:t>
            </w:r>
          </w:p>
        </w:tc>
        <w:tc>
          <w:tcPr>
            <w:tcW w:w="16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r>
      <w:tr>
        <w:trPr>
          <w:trHeight w:val="615"/>
        </w:trPr>
        <w:tc>
          <w:tcPr>
            <w:tcW w:w="6400" w:type="dxa"/>
            <w:vAlign w:val="bottom"/>
            <w:tcBorders>
              <w:top w:val="single" w:sz="8" w:color="CFF0FC"/>
            </w:tcBorders>
          </w:tcPr>
          <w:p>
            <w:pPr>
              <w:ind w:left="5440"/>
              <w:spacing w:after="0"/>
              <w:rPr>
                <w:sz w:val="20"/>
                <w:szCs w:val="20"/>
                <w:color w:val="auto"/>
              </w:rPr>
            </w:pPr>
            <w:r>
              <w:rPr>
                <w:rFonts w:ascii="Arial" w:cs="Arial" w:eastAsia="Arial" w:hAnsi="Arial"/>
                <w:sz w:val="17"/>
                <w:szCs w:val="17"/>
                <w:color w:val="auto"/>
              </w:rPr>
              <w:t>F-20</w:t>
            </w:r>
          </w:p>
        </w:tc>
        <w:tc>
          <w:tcPr>
            <w:tcW w:w="1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64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-916305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-899160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52" w:name="page153"/>
    <w:bookmarkEnd w:id="152"/>
    <w:p>
      <w:pPr>
        <w:ind w:right="520"/>
        <w:spacing w:after="0" w:line="267" w:lineRule="auto"/>
        <w:rPr>
          <w:sz w:val="20"/>
          <w:szCs w:val="20"/>
          <w:color w:val="auto"/>
        </w:rPr>
      </w:pPr>
      <w:r>
        <w:rPr>
          <w:rFonts w:ascii="Arial" w:cs="Arial" w:eastAsia="Arial" w:hAnsi="Arial"/>
          <w:sz w:val="17"/>
          <w:szCs w:val="17"/>
          <w:color w:val="auto"/>
        </w:rPr>
        <w:t>The aggregate fair value of restricted stock units that vested during the years ended December 31, 2025 and 2024 was $1.9 million and $16.8 million,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Stock-based compensation expense for the years ended December 31, 2025 and 2024 was classified in the consolidated statements of operations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54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Research and development</w:t>
            </w:r>
          </w:p>
        </w:tc>
        <w:tc>
          <w:tcPr>
            <w:tcW w:w="3320" w:type="dxa"/>
            <w:vAlign w:val="bottom"/>
            <w:gridSpan w:val="2"/>
            <w:shd w:val="clear" w:color="auto" w:fill="CFF0FC"/>
          </w:tcPr>
          <w:p>
            <w:pPr>
              <w:jc w:val="right"/>
              <w:ind w:right="868"/>
              <w:spacing w:after="0" w:line="183"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7"/>
                <w:szCs w:val="17"/>
                <w:color w:val="auto"/>
              </w:rPr>
              <w:t>1,494</w:t>
            </w:r>
          </w:p>
        </w:tc>
        <w:tc>
          <w:tcPr>
            <w:tcW w:w="1180" w:type="dxa"/>
            <w:vAlign w:val="bottom"/>
            <w:gridSpan w:val="2"/>
            <w:shd w:val="clear" w:color="auto" w:fill="CFF0FC"/>
          </w:tcPr>
          <w:p>
            <w:pPr>
              <w:jc w:val="right"/>
              <w:ind w:right="868"/>
              <w:spacing w:after="0" w:line="183"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3,276</w:t>
            </w: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2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2,323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2,036</w:t>
            </w:r>
          </w:p>
        </w:tc>
        <w:tc>
          <w:tcPr>
            <w:tcW w:w="100" w:type="dxa"/>
            <w:vAlign w:val="bottom"/>
          </w:tcPr>
          <w:p>
            <w:pPr>
              <w:spacing w:after="0"/>
              <w:rPr>
                <w:sz w:val="16"/>
                <w:szCs w:val="16"/>
                <w:color w:val="auto"/>
              </w:rPr>
            </w:pPr>
          </w:p>
        </w:tc>
      </w:tr>
      <w:tr>
        <w:trPr>
          <w:trHeight w:val="223"/>
        </w:trPr>
        <w:tc>
          <w:tcPr>
            <w:tcW w:w="54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Total stock-based compensation expense</w:t>
            </w:r>
          </w:p>
        </w:tc>
        <w:tc>
          <w:tcPr>
            <w:tcW w:w="3320" w:type="dxa"/>
            <w:vAlign w:val="bottom"/>
            <w:gridSpan w:val="2"/>
            <w:shd w:val="clear" w:color="auto" w:fill="CFF0FC"/>
          </w:tcPr>
          <w:p>
            <w:pPr>
              <w:jc w:val="right"/>
              <w:ind w:right="868"/>
              <w:spacing w:after="0" w:line="183"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7"/>
                <w:szCs w:val="17"/>
                <w:color w:val="auto"/>
              </w:rPr>
              <w:t>3,817</w:t>
            </w:r>
          </w:p>
        </w:tc>
        <w:tc>
          <w:tcPr>
            <w:tcW w:w="1180" w:type="dxa"/>
            <w:vAlign w:val="bottom"/>
            <w:gridSpan w:val="2"/>
            <w:shd w:val="clear" w:color="auto" w:fill="CFF0FC"/>
          </w:tcPr>
          <w:p>
            <w:pPr>
              <w:jc w:val="right"/>
              <w:ind w:right="868"/>
              <w:spacing w:after="0" w:line="183"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5,312</w:t>
            </w:r>
          </w:p>
        </w:tc>
      </w:tr>
      <w:tr>
        <w:trPr>
          <w:trHeight w:val="88"/>
        </w:trPr>
        <w:tc>
          <w:tcPr>
            <w:tcW w:w="5460" w:type="dxa"/>
            <w:vAlign w:val="bottom"/>
            <w:tcBorders>
              <w:top w:val="single" w:sz="8" w:color="CFF0FC"/>
              <w:bottom w:val="single" w:sz="8" w:color="auto"/>
            </w:tcBorders>
          </w:tcPr>
          <w:p>
            <w:pPr>
              <w:spacing w:after="0"/>
              <w:rPr>
                <w:sz w:val="7"/>
                <w:szCs w:val="7"/>
                <w:color w:val="auto"/>
              </w:rPr>
            </w:pPr>
          </w:p>
        </w:tc>
        <w:tc>
          <w:tcPr>
            <w:tcW w:w="2280" w:type="dxa"/>
            <w:vAlign w:val="bottom"/>
            <w:tcBorders>
              <w:top w:val="single" w:sz="8" w:color="CFF0FC"/>
              <w:bottom w:val="single" w:sz="8" w:color="auto"/>
            </w:tcBorders>
          </w:tcPr>
          <w:p>
            <w:pPr>
              <w:spacing w:after="0"/>
              <w:rPr>
                <w:sz w:val="7"/>
                <w:szCs w:val="7"/>
                <w:color w:val="auto"/>
              </w:rPr>
            </w:pPr>
          </w:p>
        </w:tc>
        <w:tc>
          <w:tcPr>
            <w:tcW w:w="104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CFF0FC"/>
              <w:bottom w:val="single" w:sz="8" w:color="auto"/>
            </w:tcBorders>
          </w:tcPr>
          <w:p>
            <w:pPr>
              <w:spacing w:after="0"/>
              <w:rPr>
                <w:sz w:val="7"/>
                <w:szCs w:val="7"/>
                <w:color w:val="auto"/>
              </w:rPr>
            </w:pPr>
          </w:p>
        </w:tc>
        <w:tc>
          <w:tcPr>
            <w:tcW w:w="140" w:type="dxa"/>
            <w:vAlign w:val="bottom"/>
            <w:tcBorders>
              <w:top w:val="single" w:sz="8" w:color="CFF0FC"/>
              <w:bottom w:val="single" w:sz="8" w:color="auto"/>
            </w:tcBorders>
          </w:tcPr>
          <w:p>
            <w:pPr>
              <w:spacing w:after="0"/>
              <w:rPr>
                <w:sz w:val="7"/>
                <w:szCs w:val="7"/>
                <w:color w:val="auto"/>
              </w:rPr>
            </w:pPr>
          </w:p>
        </w:tc>
        <w:tc>
          <w:tcPr>
            <w:tcW w:w="104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CFF0FC"/>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-102235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-85090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As of December 31, 2025 and 2024, total unrecognized compensation cost related to the unvested stock-based awards was $11.2 million and $1.9 million, respectively. As of December 31, 2025 and 2024, these amounts are expected to be recognized over a weighted average period of 2.86 and 2.29 years,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loss before income tax expense are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43"/>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Domestic</w:t>
            </w:r>
          </w:p>
        </w:tc>
        <w:tc>
          <w:tcPr>
            <w:tcW w:w="360" w:type="dxa"/>
            <w:vAlign w:val="bottom"/>
            <w:shd w:val="clear" w:color="auto" w:fill="CFF0FC"/>
          </w:tcPr>
          <w:p>
            <w:pPr>
              <w:jc w:val="right"/>
              <w:ind w:right="175"/>
              <w:spacing w:after="0" w:line="183" w:lineRule="exact"/>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(38,182)</w:t>
            </w:r>
          </w:p>
        </w:tc>
        <w:tc>
          <w:tcPr>
            <w:tcW w:w="62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(55,177)</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740" w:type="dxa"/>
            <w:vAlign w:val="bottom"/>
          </w:tcPr>
          <w:p>
            <w:pPr>
              <w:spacing w:after="0" w:line="183" w:lineRule="exact"/>
              <w:rPr>
                <w:sz w:val="20"/>
                <w:szCs w:val="20"/>
                <w:color w:val="auto"/>
              </w:rPr>
            </w:pPr>
            <w:r>
              <w:rPr>
                <w:rFonts w:ascii="Arial" w:cs="Arial" w:eastAsia="Arial" w:hAnsi="Arial"/>
                <w:sz w:val="17"/>
                <w:szCs w:val="17"/>
                <w:color w:val="auto"/>
              </w:rPr>
              <w:t>Total</w:t>
            </w:r>
          </w:p>
        </w:tc>
        <w:tc>
          <w:tcPr>
            <w:tcW w:w="360" w:type="dxa"/>
            <w:vAlign w:val="bottom"/>
          </w:tcPr>
          <w:p>
            <w:pPr>
              <w:jc w:val="right"/>
              <w:ind w:right="175"/>
              <w:spacing w:after="0" w:line="183" w:lineRule="exact"/>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(38,182)</w:t>
            </w:r>
          </w:p>
        </w:tc>
        <w:tc>
          <w:tcPr>
            <w:tcW w:w="62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(55,177)</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Due to the Company's net losses for 2025 and 2024, as well as the full valuation allowance on its net deferred tax assets as discussed below, the Company did not record any income tax expense or benefit for the years ended December 31, 2025 and 2024 .</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Company's statutory income tax rate to the Company’s effective income tax rate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DECEMBER 31,</w:t>
            </w:r>
          </w:p>
        </w:tc>
      </w:tr>
      <w:tr>
        <w:trPr>
          <w:trHeight w:val="146"/>
        </w:trPr>
        <w:tc>
          <w:tcPr>
            <w:tcW w:w="56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left="699"/>
              <w:spacing w:after="0" w:line="147" w:lineRule="exact"/>
              <w:rPr>
                <w:sz w:val="20"/>
                <w:szCs w:val="20"/>
                <w:color w:val="auto"/>
              </w:rPr>
            </w:pPr>
            <w:r>
              <w:rPr>
                <w:rFonts w:ascii="Arial" w:cs="Arial" w:eastAsia="Arial" w:hAnsi="Arial"/>
                <w:sz w:val="14"/>
                <w:szCs w:val="14"/>
                <w:b w:val="1"/>
                <w:bCs w:val="1"/>
                <w:color w:val="auto"/>
              </w:rPr>
              <w:t>2025</w:t>
            </w: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left="679"/>
              <w:spacing w:after="0" w:line="147" w:lineRule="exact"/>
              <w:rPr>
                <w:sz w:val="20"/>
                <w:szCs w:val="20"/>
                <w:color w:val="auto"/>
              </w:rPr>
            </w:pPr>
            <w:r>
              <w:rPr>
                <w:rFonts w:ascii="Arial" w:cs="Arial" w:eastAsia="Arial" w:hAnsi="Arial"/>
                <w:sz w:val="14"/>
                <w:szCs w:val="14"/>
                <w:b w:val="1"/>
                <w:bCs w:val="1"/>
                <w:color w:val="auto"/>
              </w:rPr>
              <w:t>2024</w:t>
            </w: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5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4"/>
                <w:szCs w:val="14"/>
                <w:color w:val="auto"/>
              </w:rPr>
            </w:pPr>
          </w:p>
        </w:tc>
      </w:tr>
      <w:tr>
        <w:trPr>
          <w:trHeight w:val="183"/>
        </w:trPr>
        <w:tc>
          <w:tcPr>
            <w:tcW w:w="568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Pretax Loss</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7"/>
                <w:szCs w:val="17"/>
                <w:color w:val="auto"/>
              </w:rPr>
              <w:t>(38,182)</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7"/>
                <w:szCs w:val="17"/>
                <w:color w:val="auto"/>
              </w:rPr>
              <w:t>(55,177)</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378"/>
        </w:trPr>
        <w:tc>
          <w:tcPr>
            <w:tcW w:w="5680" w:type="dxa"/>
            <w:vAlign w:val="bottom"/>
          </w:tcPr>
          <w:p>
            <w:pPr>
              <w:spacing w:after="0"/>
              <w:rPr>
                <w:sz w:val="20"/>
                <w:szCs w:val="20"/>
                <w:color w:val="auto"/>
              </w:rPr>
            </w:pPr>
            <w:r>
              <w:rPr>
                <w:rFonts w:ascii="Arial" w:cs="Arial" w:eastAsia="Arial" w:hAnsi="Arial"/>
                <w:sz w:val="17"/>
                <w:szCs w:val="17"/>
                <w:color w:val="auto"/>
              </w:rPr>
              <w:t>US Federal Statutory Tax Rate</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(8,018)</w:t>
            </w:r>
          </w:p>
        </w:tc>
        <w:tc>
          <w:tcPr>
            <w:tcW w:w="20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(11,587)</w:t>
            </w:r>
          </w:p>
        </w:tc>
        <w:tc>
          <w:tcPr>
            <w:tcW w:w="20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21.0%</w:t>
            </w:r>
          </w:p>
        </w:tc>
      </w:tr>
      <w:tr>
        <w:trPr>
          <w:trHeight w:val="189"/>
        </w:trPr>
        <w:tc>
          <w:tcPr>
            <w:tcW w:w="568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Tax Credits:</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189"/>
        </w:trPr>
        <w:tc>
          <w:tcPr>
            <w:tcW w:w="5680" w:type="dxa"/>
            <w:vAlign w:val="bottom"/>
          </w:tcPr>
          <w:p>
            <w:pPr>
              <w:ind w:left="160"/>
              <w:spacing w:after="0" w:line="189" w:lineRule="exact"/>
              <w:rPr>
                <w:sz w:val="20"/>
                <w:szCs w:val="20"/>
                <w:color w:val="auto"/>
              </w:rPr>
            </w:pPr>
            <w:r>
              <w:rPr>
                <w:rFonts w:ascii="Arial" w:cs="Arial" w:eastAsia="Arial" w:hAnsi="Arial"/>
                <w:sz w:val="17"/>
                <w:szCs w:val="17"/>
                <w:color w:val="auto"/>
              </w:rPr>
              <w:t>Tax Credits - Orphan Drug</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(7)</w:t>
            </w:r>
          </w:p>
        </w:tc>
        <w:tc>
          <w:tcPr>
            <w:tcW w:w="200" w:type="dxa"/>
            <w:vAlign w:val="bottom"/>
          </w:tcPr>
          <w:p>
            <w:pPr>
              <w:spacing w:after="0"/>
              <w:rPr>
                <w:sz w:val="16"/>
                <w:szCs w:val="16"/>
                <w:color w:val="auto"/>
              </w:rPr>
            </w:pPr>
          </w:p>
        </w:tc>
        <w:tc>
          <w:tcPr>
            <w:tcW w:w="12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(30)</w:t>
            </w:r>
          </w:p>
        </w:tc>
        <w:tc>
          <w:tcPr>
            <w:tcW w:w="20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0.1%</w:t>
            </w:r>
          </w:p>
        </w:tc>
      </w:tr>
      <w:tr>
        <w:trPr>
          <w:trHeight w:val="189"/>
        </w:trPr>
        <w:tc>
          <w:tcPr>
            <w:tcW w:w="568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color w:val="auto"/>
              </w:rPr>
              <w:t>Tax Credits - Federal R&amp;D</w:t>
            </w: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7"/>
                <w:szCs w:val="17"/>
                <w:color w:val="auto"/>
              </w:rPr>
              <w:t>(662)</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1.7%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(508)</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0.9%</w:t>
            </w:r>
          </w:p>
        </w:tc>
      </w:tr>
      <w:tr>
        <w:trPr>
          <w:trHeight w:val="189"/>
        </w:trPr>
        <w:tc>
          <w:tcPr>
            <w:tcW w:w="568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10,219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9,521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(17.3)%</w:t>
            </w:r>
          </w:p>
        </w:tc>
      </w:tr>
      <w:tr>
        <w:trPr>
          <w:trHeight w:val="189"/>
        </w:trPr>
        <w:tc>
          <w:tcPr>
            <w:tcW w:w="568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Nontaxable or Nondeductible Items:</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189"/>
        </w:trPr>
        <w:tc>
          <w:tcPr>
            <w:tcW w:w="5680" w:type="dxa"/>
            <w:vAlign w:val="bottom"/>
          </w:tcPr>
          <w:p>
            <w:pPr>
              <w:ind w:left="160"/>
              <w:spacing w:after="0" w:line="189" w:lineRule="exact"/>
              <w:rPr>
                <w:sz w:val="20"/>
                <w:szCs w:val="20"/>
                <w:color w:val="auto"/>
              </w:rPr>
            </w:pPr>
            <w:r>
              <w:rPr>
                <w:rFonts w:ascii="Arial" w:cs="Arial" w:eastAsia="Arial" w:hAnsi="Arial"/>
                <w:sz w:val="17"/>
                <w:szCs w:val="17"/>
                <w:color w:val="auto"/>
              </w:rPr>
              <w:t>Mark to Market</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(1,722)</w:t>
            </w:r>
          </w:p>
        </w:tc>
        <w:tc>
          <w:tcPr>
            <w:tcW w:w="20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4,368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(7.9)%</w:t>
            </w:r>
          </w:p>
        </w:tc>
      </w:tr>
      <w:tr>
        <w:trPr>
          <w:trHeight w:val="189"/>
        </w:trPr>
        <w:tc>
          <w:tcPr>
            <w:tcW w:w="568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color w:val="auto"/>
              </w:rPr>
              <w:t>Equity Compensation</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(0.1)%</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(1,843)</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3.3%</w:t>
            </w:r>
          </w:p>
        </w:tc>
      </w:tr>
      <w:tr>
        <w:trPr>
          <w:trHeight w:val="189"/>
        </w:trPr>
        <w:tc>
          <w:tcPr>
            <w:tcW w:w="5680" w:type="dxa"/>
            <w:vAlign w:val="bottom"/>
          </w:tcPr>
          <w:p>
            <w:pPr>
              <w:ind w:left="160"/>
              <w:spacing w:after="0" w:line="189" w:lineRule="exact"/>
              <w:rPr>
                <w:sz w:val="20"/>
                <w:szCs w:val="20"/>
                <w:color w:val="auto"/>
              </w:rPr>
            </w:pPr>
            <w:r>
              <w:rPr>
                <w:rFonts w:ascii="Arial" w:cs="Arial" w:eastAsia="Arial" w:hAnsi="Arial"/>
                <w:sz w:val="17"/>
                <w:szCs w:val="17"/>
                <w:color w:val="auto"/>
              </w:rPr>
              <w:t>Other</w:t>
            </w: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149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(0.1)%</w:t>
            </w: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80" w:type="dxa"/>
            <w:vAlign w:val="bottom"/>
            <w:shd w:val="clear" w:color="auto" w:fill="CFF0FC"/>
          </w:tcPr>
          <w:p>
            <w:pPr>
              <w:spacing w:after="0" w:line="169" w:lineRule="exact"/>
              <w:rPr>
                <w:sz w:val="20"/>
                <w:szCs w:val="20"/>
                <w:color w:val="auto"/>
              </w:rPr>
            </w:pPr>
            <w:r>
              <w:rPr>
                <w:rFonts w:ascii="Arial" w:cs="Arial" w:eastAsia="Arial" w:hAnsi="Arial"/>
                <w:sz w:val="17"/>
                <w:szCs w:val="17"/>
                <w:color w:val="auto"/>
              </w:rPr>
              <w:t>Total</w:t>
            </w: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7"/>
                <w:szCs w:val="17"/>
                <w:color w:val="auto"/>
              </w:rPr>
              <w:t>0.0%</w:t>
            </w:r>
          </w:p>
        </w:tc>
        <w:tc>
          <w:tcPr>
            <w:tcW w:w="3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7"/>
                <w:szCs w:val="17"/>
                <w:color w:val="auto"/>
              </w:rPr>
              <w:t>$</w:t>
            </w:r>
          </w:p>
        </w:tc>
        <w:tc>
          <w:tcPr>
            <w:tcW w:w="1320" w:type="dxa"/>
            <w:vAlign w:val="bottom"/>
            <w:gridSpan w:val="3"/>
            <w:shd w:val="clear" w:color="auto" w:fill="CFF0FC"/>
          </w:tcPr>
          <w:p>
            <w:pPr>
              <w:jc w:val="right"/>
              <w:ind w:right="420"/>
              <w:spacing w:after="0" w:line="16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7"/>
                <w:szCs w:val="17"/>
                <w:color w:val="auto"/>
              </w:rPr>
              <w:t>0.0%</w:t>
            </w:r>
          </w:p>
        </w:tc>
      </w:tr>
      <w:tr>
        <w:trPr>
          <w:trHeight w:val="89"/>
        </w:trPr>
        <w:tc>
          <w:tcPr>
            <w:tcW w:w="5680" w:type="dxa"/>
            <w:vAlign w:val="bottom"/>
            <w:tcBorders>
              <w:top w:val="single" w:sz="8" w:color="CFF0FC"/>
              <w:bottom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CFF0FC"/>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96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CFF0FC"/>
              <w:bottom w:val="single" w:sz="8" w:color="auto"/>
            </w:tcBorders>
          </w:tcPr>
          <w:p>
            <w:pPr>
              <w:spacing w:after="0"/>
              <w:rPr>
                <w:sz w:val="7"/>
                <w:szCs w:val="7"/>
                <w:color w:val="auto"/>
              </w:rPr>
            </w:pPr>
          </w:p>
        </w:tc>
        <w:tc>
          <w:tcPr>
            <w:tcW w:w="120" w:type="dxa"/>
            <w:vAlign w:val="bottom"/>
            <w:tcBorders>
              <w:top w:val="single" w:sz="8" w:color="CFF0FC"/>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CFF0FC"/>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98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CFF0FC"/>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-102235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-85090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-102235</wp:posOffset>
            </wp:positionV>
            <wp:extent cx="14605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-85090</wp:posOffset>
            </wp:positionV>
            <wp:extent cx="14605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-102235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-85090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-102235</wp:posOffset>
            </wp:positionV>
            <wp:extent cx="1454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-85090</wp:posOffset>
            </wp:positionV>
            <wp:extent cx="1454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3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Company’s effective tax rate differs from the statutory rate primarily due to continued losses and the maintenance of a full valuation allowance on deferred tax assets, resulting in zero income tax expense for the period.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Net deferred tax assets as of December 31, 2025 and 2024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7740" w:type="dxa"/>
            <w:vAlign w:val="bottom"/>
            <w:vMerge w:val="restart"/>
          </w:tcPr>
          <w:p>
            <w:pPr>
              <w:spacing w:after="0"/>
              <w:rPr>
                <w:sz w:val="20"/>
                <w:szCs w:val="20"/>
                <w:color w:val="auto"/>
              </w:rPr>
            </w:pPr>
            <w:r>
              <w:rPr>
                <w:rFonts w:ascii="Arial" w:cs="Arial" w:eastAsia="Arial" w:hAnsi="Arial"/>
                <w:sz w:val="17"/>
                <w:szCs w:val="17"/>
                <w:color w:val="auto"/>
              </w:rPr>
              <w:t>Deferred tax assets:</w:t>
            </w:r>
          </w:p>
        </w:tc>
        <w:tc>
          <w:tcPr>
            <w:tcW w:w="94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7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100"/>
              <w:spacing w:after="0" w:line="189" w:lineRule="exact"/>
              <w:rPr>
                <w:sz w:val="20"/>
                <w:szCs w:val="20"/>
                <w:color w:val="auto"/>
              </w:rPr>
            </w:pPr>
            <w:r>
              <w:rPr>
                <w:rFonts w:ascii="Arial" w:cs="Arial" w:eastAsia="Arial" w:hAnsi="Arial"/>
                <w:sz w:val="17"/>
                <w:szCs w:val="17"/>
                <w:color w:val="auto"/>
              </w:rPr>
              <w:t>Net operating losses</w:t>
            </w:r>
          </w:p>
        </w:tc>
        <w:tc>
          <w:tcPr>
            <w:tcW w:w="940" w:type="dxa"/>
            <w:vAlign w:val="bottom"/>
            <w:shd w:val="clear" w:color="auto" w:fill="CFF0FC"/>
          </w:tcPr>
          <w:p>
            <w:pPr>
              <w:jc w:val="right"/>
              <w:ind w:right="759"/>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37,934</w:t>
            </w:r>
          </w:p>
        </w:tc>
        <w:tc>
          <w:tcPr>
            <w:tcW w:w="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29,876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100"/>
              <w:spacing w:after="0" w:line="189" w:lineRule="exact"/>
              <w:rPr>
                <w:sz w:val="20"/>
                <w:szCs w:val="20"/>
                <w:color w:val="auto"/>
              </w:rPr>
            </w:pPr>
            <w:r>
              <w:rPr>
                <w:rFonts w:ascii="Arial" w:cs="Arial" w:eastAsia="Arial" w:hAnsi="Arial"/>
                <w:sz w:val="17"/>
                <w:szCs w:val="17"/>
                <w:color w:val="auto"/>
              </w:rPr>
              <w:t>Intangibles</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362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100"/>
              <w:spacing w:after="0" w:line="189" w:lineRule="exact"/>
              <w:rPr>
                <w:sz w:val="20"/>
                <w:szCs w:val="20"/>
                <w:color w:val="auto"/>
              </w:rPr>
            </w:pPr>
            <w:r>
              <w:rPr>
                <w:rFonts w:ascii="Arial" w:cs="Arial" w:eastAsia="Arial" w:hAnsi="Arial"/>
                <w:sz w:val="17"/>
                <w:szCs w:val="17"/>
                <w:color w:val="auto"/>
              </w:rPr>
              <w:t>Accrued expenses and other</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756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100"/>
              <w:spacing w:after="0" w:line="189" w:lineRule="exact"/>
              <w:rPr>
                <w:sz w:val="20"/>
                <w:szCs w:val="20"/>
                <w:color w:val="auto"/>
              </w:rPr>
            </w:pPr>
            <w:r>
              <w:rPr>
                <w:rFonts w:ascii="Arial" w:cs="Arial" w:eastAsia="Arial" w:hAnsi="Arial"/>
                <w:sz w:val="17"/>
                <w:szCs w:val="17"/>
                <w:color w:val="auto"/>
              </w:rPr>
              <w:t>Lease liability</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502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100"/>
              <w:spacing w:after="0" w:line="189" w:lineRule="exact"/>
              <w:rPr>
                <w:sz w:val="20"/>
                <w:szCs w:val="20"/>
                <w:color w:val="auto"/>
              </w:rPr>
            </w:pPr>
            <w:r>
              <w:rPr>
                <w:rFonts w:ascii="Arial" w:cs="Arial" w:eastAsia="Arial" w:hAnsi="Arial"/>
                <w:sz w:val="17"/>
                <w:szCs w:val="17"/>
                <w:color w:val="auto"/>
              </w:rPr>
              <w:t>Stock compensation</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1,375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987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100"/>
              <w:spacing w:after="0" w:line="189" w:lineRule="exact"/>
              <w:rPr>
                <w:sz w:val="20"/>
                <w:szCs w:val="20"/>
                <w:color w:val="auto"/>
              </w:rPr>
            </w:pPr>
            <w:r>
              <w:rPr>
                <w:rFonts w:ascii="Arial" w:cs="Arial" w:eastAsia="Arial" w:hAnsi="Arial"/>
                <w:sz w:val="17"/>
                <w:szCs w:val="17"/>
                <w:color w:val="auto"/>
              </w:rPr>
              <w:t>Capitalized R&amp;D expenditures</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17,008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13,456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100"/>
              <w:spacing w:after="0" w:line="189" w:lineRule="exact"/>
              <w:rPr>
                <w:sz w:val="20"/>
                <w:szCs w:val="20"/>
                <w:color w:val="auto"/>
              </w:rPr>
            </w:pPr>
            <w:r>
              <w:rPr>
                <w:rFonts w:ascii="Arial" w:cs="Arial" w:eastAsia="Arial" w:hAnsi="Arial"/>
                <w:sz w:val="17"/>
                <w:szCs w:val="17"/>
                <w:color w:val="auto"/>
              </w:rPr>
              <w:t>Credits</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7,736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6,873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100"/>
              <w:spacing w:after="0" w:line="189" w:lineRule="exact"/>
              <w:rPr>
                <w:sz w:val="20"/>
                <w:szCs w:val="20"/>
                <w:color w:val="auto"/>
              </w:rPr>
            </w:pPr>
            <w:r>
              <w:rPr>
                <w:rFonts w:ascii="Arial" w:cs="Arial" w:eastAsia="Arial" w:hAnsi="Arial"/>
                <w:sz w:val="17"/>
                <w:szCs w:val="17"/>
                <w:color w:val="auto"/>
              </w:rPr>
              <w:t>Other</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ind w:left="200"/>
              <w:spacing w:after="0" w:line="183" w:lineRule="exact"/>
              <w:rPr>
                <w:sz w:val="20"/>
                <w:szCs w:val="20"/>
                <w:color w:val="auto"/>
              </w:rPr>
            </w:pPr>
            <w:r>
              <w:rPr>
                <w:rFonts w:ascii="Arial" w:cs="Arial" w:eastAsia="Arial" w:hAnsi="Arial"/>
                <w:sz w:val="17"/>
                <w:szCs w:val="17"/>
                <w:color w:val="auto"/>
              </w:rPr>
              <w:t>Total deferred tax assets</w:t>
            </w:r>
          </w:p>
        </w:tc>
        <w:tc>
          <w:tcPr>
            <w:tcW w:w="9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65,706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52,462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Arial" w:cs="Arial" w:eastAsia="Arial" w:hAnsi="Arial"/>
                <w:sz w:val="17"/>
                <w:szCs w:val="17"/>
                <w:color w:val="auto"/>
              </w:rPr>
              <w:t>Valuation allowance</w:t>
            </w:r>
          </w:p>
        </w:tc>
        <w:tc>
          <w:tcPr>
            <w:tcW w:w="94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(65,268)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(52,185)</w:t>
            </w:r>
          </w:p>
        </w:tc>
        <w:tc>
          <w:tcPr>
            <w:tcW w:w="0" w:type="dxa"/>
            <w:vAlign w:val="bottom"/>
          </w:tcPr>
          <w:p>
            <w:pPr>
              <w:spacing w:after="0"/>
              <w:rPr>
                <w:sz w:val="1"/>
                <w:szCs w:val="1"/>
                <w:color w:val="auto"/>
              </w:rPr>
            </w:pPr>
          </w:p>
        </w:tc>
      </w:tr>
      <w:tr>
        <w:trPr>
          <w:trHeight w:val="183"/>
        </w:trPr>
        <w:tc>
          <w:tcPr>
            <w:tcW w:w="7740" w:type="dxa"/>
            <w:vAlign w:val="bottom"/>
            <w:tcBorders>
              <w:bottom w:val="single" w:sz="8" w:color="CFF0FC"/>
            </w:tcBorders>
            <w:shd w:val="clear" w:color="auto" w:fill="CFF0FC"/>
          </w:tcPr>
          <w:p>
            <w:pPr>
              <w:ind w:left="300"/>
              <w:spacing w:after="0" w:line="183" w:lineRule="exact"/>
              <w:rPr>
                <w:sz w:val="20"/>
                <w:szCs w:val="20"/>
                <w:color w:val="auto"/>
              </w:rPr>
            </w:pPr>
            <w:r>
              <w:rPr>
                <w:rFonts w:ascii="Arial" w:cs="Arial" w:eastAsia="Arial" w:hAnsi="Arial"/>
                <w:sz w:val="17"/>
                <w:szCs w:val="17"/>
                <w:color w:val="auto"/>
              </w:rPr>
              <w:t>Net deferred tax assets</w:t>
            </w: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438</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277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40" w:type="dxa"/>
            <w:vAlign w:val="bottom"/>
          </w:tcPr>
          <w:p>
            <w:pPr>
              <w:spacing w:after="0" w:line="183" w:lineRule="exact"/>
              <w:rPr>
                <w:sz w:val="20"/>
                <w:szCs w:val="20"/>
                <w:color w:val="auto"/>
              </w:rPr>
            </w:pPr>
            <w:r>
              <w:rPr>
                <w:rFonts w:ascii="Arial" w:cs="Arial" w:eastAsia="Arial" w:hAnsi="Arial"/>
                <w:sz w:val="17"/>
                <w:szCs w:val="17"/>
                <w:color w:val="auto"/>
              </w:rPr>
              <w:t>Deferred tax liabilities: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100"/>
              <w:spacing w:after="0" w:line="189" w:lineRule="exact"/>
              <w:rPr>
                <w:sz w:val="20"/>
                <w:szCs w:val="20"/>
                <w:color w:val="auto"/>
              </w:rPr>
            </w:pPr>
            <w:r>
              <w:rPr>
                <w:rFonts w:ascii="Arial" w:cs="Arial" w:eastAsia="Arial" w:hAnsi="Arial"/>
                <w:sz w:val="17"/>
                <w:szCs w:val="17"/>
                <w:color w:val="auto"/>
              </w:rPr>
              <w:t>Right of use asset</w:t>
            </w:r>
          </w:p>
        </w:tc>
        <w:tc>
          <w:tcPr>
            <w:tcW w:w="9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(438)</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89"/>
        </w:trPr>
        <w:tc>
          <w:tcPr>
            <w:tcW w:w="7740" w:type="dxa"/>
            <w:vAlign w:val="bottom"/>
          </w:tcPr>
          <w:p>
            <w:pPr>
              <w:ind w:left="100"/>
              <w:spacing w:after="0" w:line="189" w:lineRule="exact"/>
              <w:rPr>
                <w:sz w:val="20"/>
                <w:szCs w:val="20"/>
                <w:color w:val="auto"/>
              </w:rPr>
            </w:pPr>
            <w:r>
              <w:rPr>
                <w:rFonts w:ascii="Arial" w:cs="Arial" w:eastAsia="Arial" w:hAnsi="Arial"/>
                <w:sz w:val="17"/>
                <w:szCs w:val="17"/>
                <w:color w:val="auto"/>
              </w:rPr>
              <w:t>Other</w:t>
            </w:r>
          </w:p>
        </w:tc>
        <w:tc>
          <w:tcPr>
            <w:tcW w:w="9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0"/>
              <w:spacing w:after="0" w:line="183" w:lineRule="exact"/>
              <w:rPr>
                <w:sz w:val="20"/>
                <w:szCs w:val="20"/>
                <w:color w:val="auto"/>
              </w:rPr>
            </w:pPr>
            <w:r>
              <w:rPr>
                <w:rFonts w:ascii="Arial" w:cs="Arial" w:eastAsia="Arial" w:hAnsi="Arial"/>
                <w:sz w:val="17"/>
                <w:szCs w:val="17"/>
                <w:color w:val="auto"/>
              </w:rPr>
              <w:t>Total deferred tax liabilities</w:t>
            </w: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(438)</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Pr>
          <w:p>
            <w:pPr>
              <w:ind w:left="200"/>
              <w:spacing w:after="0" w:line="183" w:lineRule="exact"/>
              <w:rPr>
                <w:sz w:val="20"/>
                <w:szCs w:val="20"/>
                <w:color w:val="auto"/>
              </w:rPr>
            </w:pPr>
            <w:r>
              <w:rPr>
                <w:rFonts w:ascii="Arial" w:cs="Arial" w:eastAsia="Arial" w:hAnsi="Arial"/>
                <w:sz w:val="17"/>
                <w:szCs w:val="17"/>
                <w:color w:val="auto"/>
              </w:rPr>
              <w:t>Net deferred tax assets (liabilities)</w:t>
            </w:r>
          </w:p>
        </w:tc>
        <w:tc>
          <w:tcPr>
            <w:tcW w:w="940" w:type="dxa"/>
            <w:vAlign w:val="bottom"/>
          </w:tcPr>
          <w:p>
            <w:pPr>
              <w:jc w:val="right"/>
              <w:ind w:right="759"/>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7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-719455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-222250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color w:val="auto"/>
        </w:rPr>
        <w:t>As of December 31, 2025, the Company has gross federal and state net operating loss carryforwards of approximately $141.1 million and $131.2 million, respectively. The federal net operating loss carryforwards include $8.8 million that begins to expire in 2027 and $132.3 million that can be carried forward indefinitely. The state net operating loss carryforwards begin to expire in 2032.</w:t>
      </w:r>
    </w:p>
    <w:p>
      <w:pPr>
        <w:spacing w:after="0" w:line="67" w:lineRule="exact"/>
        <w:rPr>
          <w:sz w:val="20"/>
          <w:szCs w:val="20"/>
          <w:color w:val="auto"/>
        </w:rPr>
      </w:pPr>
    </w:p>
    <w:p>
      <w:pPr>
        <w:ind w:right="740"/>
        <w:spacing w:after="0" w:line="267" w:lineRule="auto"/>
        <w:rPr>
          <w:sz w:val="20"/>
          <w:szCs w:val="20"/>
          <w:color w:val="auto"/>
        </w:rPr>
      </w:pPr>
      <w:r>
        <w:rPr>
          <w:rFonts w:ascii="Arial" w:cs="Arial" w:eastAsia="Arial" w:hAnsi="Arial"/>
          <w:sz w:val="17"/>
          <w:szCs w:val="17"/>
          <w:color w:val="auto"/>
        </w:rPr>
        <w:t>As of December 31, 2025, the Company has gross federal and state tax credit carryforwards of approximately $5.7 million and $2.6 million, respectively, which begin to expire in 2036 and 2030, respectively.</w:t>
      </w:r>
    </w:p>
    <w:p>
      <w:pPr>
        <w:spacing w:after="0" w:line="51"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color w:val="auto"/>
        </w:rPr>
        <w:t>Management of the Company has evaluated the positive and negative evidence bearing upon the realizability of its deferred tax assets, which are comprised principally of net operating loss carryforwards and certain tax credits. Management has considered the Company’s history of cumulative net losses incurred since inception, as well as its lack of product revenue since inception, and has determined that it is more likely than not that the Company will not realize the benefits of its deferred tax assets. As a result, a full valuation allowance has been established at December 31, 2025 and 2024.</w:t>
      </w:r>
    </w:p>
    <w:p>
      <w:pPr>
        <w:spacing w:after="0" w:line="7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Section 382 of the Internal Revenue Code of 1986, as amended (Section 382), contains rules that limit the ability of a company that undergoes in ownership change to utilize its net operating losses (NOLs) and tax credits existing as of the date of such ownership change. Under the rules, such an ownership change is generally any change in ownership of more than 50% of a company’s stock within a rolling three-year period. The rules generally operate by focusing on changes in ownership of all stock considered by the rules as owning, directly or indirectly, 5% or more of the stock of a company and any change in ownership arising from new issuances of stock by the company. The Company has not yet determined if such a limitation would be placed against its available net operating losses. The Company will make such a determination prior to the utilization of any future net operating losses.</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For tax years beginning after December 31, 2024, OBBBA enacted a new rule under Section 174A allowing companies to immediately expense any domestic research and developmental (R&amp;D) expenditures. For domestic R&amp;D, companies may either immediately expense or elect to capitalize and amortize over at least 60 months under Section 174A. However, foreign R&amp;D continues to require capitalization subject to the mandatory 15-year amortization period under Section 174.</w:t>
      </w:r>
    </w:p>
    <w:p>
      <w:pPr>
        <w:spacing w:after="0" w:line="150"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The Company has elected to continue amortizing the previously capitalized costs over their remaining life. Beginning in tax year 2025, instead of immediately expensing domestic R&amp;D expenditures under Section 174A, the Company elected to capitalize and amortize its domestic R&amp;D expenditures under Section 59(e) over a 10 year period. Any foreign R&amp;D costs will continue to be capitalized and amortized over 15 years in accordance with the requirements of Section 174.</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A summary of changes in the valuation allowance for deferred tax assets during the years ended December 31, 2025 and 2024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Valuation allowance</w:t>
            </w:r>
          </w:p>
        </w:tc>
        <w:tc>
          <w:tcPr>
            <w:tcW w:w="980" w:type="dxa"/>
            <w:vAlign w:val="bottom"/>
            <w:gridSpan w:val="2"/>
            <w:shd w:val="clear" w:color="auto" w:fill="CFF0FC"/>
          </w:tcPr>
          <w:p>
            <w:pPr>
              <w:jc w:val="right"/>
              <w:ind w:right="808"/>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52,185</w:t>
            </w:r>
          </w:p>
        </w:tc>
        <w:tc>
          <w:tcPr>
            <w:tcW w:w="7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40,548</w:t>
            </w:r>
          </w:p>
        </w:tc>
      </w:tr>
      <w:tr>
        <w:trPr>
          <w:trHeight w:val="189"/>
        </w:trPr>
        <w:tc>
          <w:tcPr>
            <w:tcW w:w="7740" w:type="dxa"/>
            <w:vAlign w:val="bottom"/>
          </w:tcPr>
          <w:p>
            <w:pPr>
              <w:ind w:left="200"/>
              <w:spacing w:after="0" w:line="189" w:lineRule="exact"/>
              <w:rPr>
                <w:sz w:val="20"/>
                <w:szCs w:val="20"/>
                <w:color w:val="auto"/>
              </w:rPr>
            </w:pPr>
            <w:r>
              <w:rPr>
                <w:rFonts w:ascii="Arial" w:cs="Arial" w:eastAsia="Arial" w:hAnsi="Arial"/>
                <w:sz w:val="17"/>
                <w:szCs w:val="17"/>
                <w:color w:val="auto"/>
              </w:rPr>
              <w:t>Increases recorded to income tax provision</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13,083</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11,637</w:t>
            </w:r>
          </w:p>
        </w:tc>
      </w:tr>
      <w:tr>
        <w:trPr>
          <w:trHeight w:val="189"/>
        </w:trPr>
        <w:tc>
          <w:tcPr>
            <w:tcW w:w="7740" w:type="dxa"/>
            <w:vAlign w:val="bottom"/>
            <w:tcBorders>
              <w:bottom w:val="single" w:sz="8" w:color="CFF0FC"/>
            </w:tcBorders>
            <w:shd w:val="clear" w:color="auto" w:fill="CFF0FC"/>
          </w:tcPr>
          <w:p>
            <w:pPr>
              <w:ind w:left="200"/>
              <w:spacing w:after="0" w:line="189" w:lineRule="exact"/>
              <w:rPr>
                <w:sz w:val="20"/>
                <w:szCs w:val="20"/>
                <w:color w:val="auto"/>
              </w:rPr>
            </w:pPr>
            <w:r>
              <w:rPr>
                <w:rFonts w:ascii="Arial" w:cs="Arial" w:eastAsia="Arial" w:hAnsi="Arial"/>
                <w:sz w:val="17"/>
                <w:szCs w:val="17"/>
                <w:color w:val="auto"/>
              </w:rPr>
              <w:t>Decreases recorded to income tax provision</w:t>
            </w:r>
          </w:p>
        </w:tc>
        <w:tc>
          <w:tcPr>
            <w:tcW w:w="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40" w:type="dxa"/>
            <w:vAlign w:val="bottom"/>
          </w:tcPr>
          <w:p>
            <w:pPr>
              <w:spacing w:after="0" w:line="183" w:lineRule="exact"/>
              <w:rPr>
                <w:sz w:val="20"/>
                <w:szCs w:val="20"/>
                <w:color w:val="auto"/>
              </w:rPr>
            </w:pPr>
            <w:r>
              <w:rPr>
                <w:rFonts w:ascii="Arial" w:cs="Arial" w:eastAsia="Arial" w:hAnsi="Arial"/>
                <w:sz w:val="17"/>
                <w:szCs w:val="17"/>
                <w:color w:val="auto"/>
              </w:rPr>
              <w:t>Valuation allowance</w:t>
            </w:r>
          </w:p>
        </w:tc>
        <w:tc>
          <w:tcPr>
            <w:tcW w:w="980" w:type="dxa"/>
            <w:vAlign w:val="bottom"/>
            <w:gridSpan w:val="2"/>
          </w:tcPr>
          <w:p>
            <w:pPr>
              <w:jc w:val="right"/>
              <w:ind w:right="808"/>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65,268</w:t>
            </w:r>
          </w:p>
        </w:tc>
        <w:tc>
          <w:tcPr>
            <w:tcW w:w="78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52,185</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7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-222250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The Company files income tax returns in the United States and various state and local jurisdictions. The federal and state tax returns are generally subject to examination for the years ended December 31, 2014 through December 31, 2025. There are currently no pending tax examinations. To the extent the Company has tax attribute carryforwards, the tax year in which the attribute was generated may still be adjusted upon examination.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Exclusive Licensing Agreement with a Related Party</w:t>
      </w:r>
    </w:p>
    <w:p>
      <w:pPr>
        <w:spacing w:after="0" w:line="10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the $1.0 million upfront license fee as research and development service revenue as of December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Technology License Agreement</w:t>
      </w:r>
    </w:p>
    <w:p>
      <w:pPr>
        <w:spacing w:after="0" w:line="10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the years ended December 31, 2025 and 2024, the Company did not expense any startup and patient fees for clinical trials performed by MGB.</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76" w:lineRule="exact"/>
        <w:rPr>
          <w:sz w:val="20"/>
          <w:szCs w:val="20"/>
          <w:color w:val="auto"/>
        </w:rPr>
      </w:pPr>
    </w:p>
    <w:p>
      <w:pPr>
        <w:ind w:right="8240" w:firstLine="8"/>
        <w:spacing w:after="0" w:line="364" w:lineRule="auto"/>
        <w:tabs>
          <w:tab w:leader="none" w:pos="285"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Guarantees</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The Company has identified the guarantees described below as disclosable, in accordance with ASC 460, Guarantees.</w:t>
      </w:r>
    </w:p>
    <w:p>
      <w:pPr>
        <w:spacing w:after="0" w:line="10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55" w:name="page156"/>
    <w:bookmarkEnd w:id="155"/>
    <w:p>
      <w:pPr>
        <w:ind w:right="540"/>
        <w:spacing w:after="0" w:line="267" w:lineRule="auto"/>
        <w:rPr>
          <w:sz w:val="20"/>
          <w:szCs w:val="20"/>
          <w:color w:val="auto"/>
        </w:rPr>
      </w:pPr>
      <w:r>
        <w:rPr>
          <w:rFonts w:ascii="Arial" w:cs="Arial" w:eastAsia="Arial" w:hAnsi="Arial"/>
          <w:sz w:val="17"/>
          <w:szCs w:val="17"/>
          <w:color w:val="auto"/>
        </w:rPr>
        <w:t>amount of future payments the Company could be required to make is unlimited; however, the Company has directors’ and officers’ insurance coverage that should limit its exposure and enable it to recover a portion of any future amounts paid.</w:t>
      </w:r>
    </w:p>
    <w:p>
      <w:pPr>
        <w:spacing w:after="0" w:line="5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69" w:lineRule="exact"/>
        <w:rPr>
          <w:sz w:val="20"/>
          <w:szCs w:val="20"/>
          <w:color w:val="auto"/>
        </w:rPr>
      </w:pPr>
    </w:p>
    <w:p>
      <w:pPr>
        <w:ind w:right="480"/>
        <w:spacing w:after="0" w:line="249" w:lineRule="auto"/>
        <w:rPr>
          <w:sz w:val="20"/>
          <w:szCs w:val="20"/>
          <w:color w:val="auto"/>
        </w:rPr>
      </w:pPr>
      <w:r>
        <w:rPr>
          <w:rFonts w:ascii="Arial" w:cs="Arial" w:eastAsia="Arial" w:hAnsi="Arial"/>
          <w:sz w:val="17"/>
          <w:szCs w:val="17"/>
          <w:color w:val="auto"/>
        </w:rPr>
        <w:t>The Company leases office space under a noncancelable operating lease expiring in 2029.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67" w:lineRule="exact"/>
        <w:rPr>
          <w:sz w:val="20"/>
          <w:szCs w:val="20"/>
          <w:color w:val="auto"/>
        </w:rPr>
      </w:pPr>
    </w:p>
    <w:p>
      <w:pPr>
        <w:jc w:val="both"/>
        <w:ind w:right="220"/>
        <w:spacing w:after="0" w:line="249" w:lineRule="auto"/>
        <w:rPr>
          <w:sz w:val="20"/>
          <w:szCs w:val="20"/>
          <w:color w:val="auto"/>
        </w:rPr>
      </w:pPr>
      <w:r>
        <w:rPr>
          <w:rFonts w:ascii="Arial" w:cs="Arial" w:eastAsia="Arial" w:hAnsi="Arial"/>
          <w:sz w:val="17"/>
          <w:szCs w:val="17"/>
          <w:color w:val="auto"/>
        </w:rPr>
        <w:t>As of December 31, 2025,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9" w:lineRule="exact"/>
        <w:rPr>
          <w:sz w:val="20"/>
          <w:szCs w:val="20"/>
          <w:color w:val="auto"/>
        </w:rPr>
      </w:pPr>
    </w:p>
    <w:p>
      <w:pPr>
        <w:ind w:right="9380" w:firstLine="8"/>
        <w:spacing w:after="0" w:line="364" w:lineRule="auto"/>
        <w:tabs>
          <w:tab w:leader="none" w:pos="285"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Loss Per Share </w:t>
      </w:r>
      <w:r>
        <w:rPr>
          <w:rFonts w:ascii="Arial" w:cs="Arial" w:eastAsia="Arial" w:hAnsi="Arial"/>
          <w:sz w:val="17"/>
          <w:szCs w:val="17"/>
          <w:b w:val="1"/>
          <w:bCs w:val="1"/>
          <w:i w:val="1"/>
          <w:iCs w:val="1"/>
          <w:color w:val="auto"/>
        </w:rPr>
        <w:t>Net Loss Per Share</w:t>
      </w:r>
    </w:p>
    <w:p>
      <w:pPr>
        <w:spacing w:after="0" w:line="1"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Basic and diluted net loss per share attributable to common stockholders was computed by dividing net loss by the weighted-average common shares outstanding for the period, including the pre-funded warrants given their nominal exercise price for the year ended December 31, 2024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40"/>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Numerator:</w:t>
            </w: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780" w:type="dxa"/>
            <w:vAlign w:val="bottom"/>
          </w:tcPr>
          <w:p>
            <w:pPr>
              <w:ind w:left="200"/>
              <w:spacing w:after="0" w:line="189" w:lineRule="exact"/>
              <w:rPr>
                <w:sz w:val="20"/>
                <w:szCs w:val="20"/>
                <w:color w:val="auto"/>
              </w:rPr>
            </w:pPr>
            <w:r>
              <w:rPr>
                <w:rFonts w:ascii="Arial" w:cs="Arial" w:eastAsia="Arial" w:hAnsi="Arial"/>
                <w:sz w:val="17"/>
                <w:szCs w:val="17"/>
                <w:color w:val="auto"/>
              </w:rPr>
              <w:t>Net loss</w:t>
            </w: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(38,182)</w:t>
            </w:r>
          </w:p>
        </w:tc>
        <w:tc>
          <w:tcPr>
            <w:tcW w:w="4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(55,177)</w:t>
            </w: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Denominator:</w:t>
            </w:r>
          </w:p>
        </w:tc>
        <w:tc>
          <w:tcPr>
            <w:tcW w:w="96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780" w:type="dxa"/>
            <w:vAlign w:val="bottom"/>
          </w:tcPr>
          <w:p>
            <w:pPr>
              <w:ind w:left="200"/>
              <w:spacing w:after="0" w:line="189" w:lineRule="exact"/>
              <w:rPr>
                <w:sz w:val="20"/>
                <w:szCs w:val="20"/>
                <w:color w:val="auto"/>
              </w:rPr>
            </w:pPr>
            <w:r>
              <w:rPr>
                <w:rFonts w:ascii="Arial" w:cs="Arial" w:eastAsia="Arial" w:hAnsi="Arial"/>
                <w:sz w:val="17"/>
                <w:szCs w:val="17"/>
                <w:color w:val="auto"/>
              </w:rPr>
              <w:t>Weighted-average shares of common stock outstanding, basic and diluted</w:t>
            </w:r>
          </w:p>
        </w:tc>
        <w:tc>
          <w:tcPr>
            <w:tcW w:w="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52,958,644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31,675,076</w:t>
            </w:r>
          </w:p>
        </w:tc>
        <w:tc>
          <w:tcPr>
            <w:tcW w:w="100" w:type="dxa"/>
            <w:vAlign w:val="bottom"/>
          </w:tcPr>
          <w:p>
            <w:pPr>
              <w:spacing w:after="0"/>
              <w:rPr>
                <w:sz w:val="16"/>
                <w:szCs w:val="16"/>
                <w:color w:val="auto"/>
              </w:rPr>
            </w:pPr>
          </w:p>
        </w:tc>
      </w:tr>
      <w:tr>
        <w:trPr>
          <w:trHeight w:val="223"/>
        </w:trPr>
        <w:tc>
          <w:tcPr>
            <w:tcW w:w="678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Net loss per share, basic and diluted</w:t>
            </w:r>
          </w:p>
        </w:tc>
        <w:tc>
          <w:tcPr>
            <w:tcW w:w="13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(0.72)</w:t>
            </w:r>
          </w:p>
        </w:tc>
        <w:tc>
          <w:tcPr>
            <w:tcW w:w="48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(1.74)</w:t>
            </w:r>
          </w:p>
        </w:tc>
      </w:tr>
      <w:tr>
        <w:trPr>
          <w:trHeight w:val="183"/>
        </w:trPr>
        <w:tc>
          <w:tcPr>
            <w:tcW w:w="6780" w:type="dxa"/>
            <w:vAlign w:val="bottom"/>
            <w:tcBorders>
              <w:top w:val="single" w:sz="8" w:color="CFF0FC"/>
              <w:bottom w:val="single" w:sz="8" w:color="auto"/>
            </w:tcBorders>
          </w:tcPr>
          <w:p>
            <w:pPr>
              <w:spacing w:after="0"/>
              <w:rPr>
                <w:sz w:val="15"/>
                <w:szCs w:val="15"/>
                <w:color w:val="auto"/>
              </w:rPr>
            </w:pPr>
          </w:p>
        </w:tc>
        <w:tc>
          <w:tcPr>
            <w:tcW w:w="960" w:type="dxa"/>
            <w:vAlign w:val="bottom"/>
            <w:tcBorders>
              <w:top w:val="single" w:sz="8" w:color="CFF0FC"/>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FF0FC"/>
              <w:bottom w:val="single" w:sz="8" w:color="auto"/>
            </w:tcBorders>
          </w:tcPr>
          <w:p>
            <w:pPr>
              <w:spacing w:after="0"/>
              <w:rPr>
                <w:sz w:val="15"/>
                <w:szCs w:val="15"/>
                <w:color w:val="auto"/>
              </w:rPr>
            </w:pPr>
          </w:p>
        </w:tc>
        <w:tc>
          <w:tcPr>
            <w:tcW w:w="120" w:type="dxa"/>
            <w:vAlign w:val="bottom"/>
            <w:tcBorders>
              <w:top w:val="single" w:sz="8" w:color="CFF0FC"/>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6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560" w:type="dxa"/>
            <w:vAlign w:val="bottom"/>
            <w:gridSpan w:val="4"/>
          </w:tcPr>
          <w:p>
            <w:pPr>
              <w:ind w:left="7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68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Outstanding warrants for common stock</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7,762,350</w:t>
            </w:r>
          </w:p>
        </w:tc>
        <w:tc>
          <w:tcPr>
            <w:tcW w:w="24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7,507,708</w:t>
            </w: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7"/>
                <w:szCs w:val="17"/>
                <w:color w:val="auto"/>
              </w:rPr>
              <w:t>Outstanding stock options (as converted to common stock)</w:t>
            </w: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6,246,920</w:t>
            </w:r>
          </w:p>
        </w:tc>
        <w:tc>
          <w:tcPr>
            <w:tcW w:w="240" w:type="dxa"/>
            <w:vAlign w:val="bottom"/>
          </w:tcPr>
          <w:p>
            <w:pPr>
              <w:spacing w:after="0"/>
              <w:rPr>
                <w:sz w:val="16"/>
                <w:szCs w:val="16"/>
                <w:color w:val="auto"/>
              </w:rPr>
            </w:pPr>
          </w:p>
        </w:tc>
        <w:tc>
          <w:tcPr>
            <w:tcW w:w="1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4,486,181</w:t>
            </w:r>
          </w:p>
        </w:tc>
      </w:tr>
      <w:tr>
        <w:trPr>
          <w:trHeight w:val="189"/>
        </w:trPr>
        <w:tc>
          <w:tcPr>
            <w:tcW w:w="768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Unvested restricted stock</w:t>
            </w:r>
          </w:p>
        </w:tc>
        <w:tc>
          <w:tcPr>
            <w:tcW w:w="184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72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330,779</w:t>
            </w:r>
          </w:p>
        </w:tc>
      </w:tr>
      <w:tr>
        <w:trPr>
          <w:trHeight w:val="183"/>
        </w:trPr>
        <w:tc>
          <w:tcPr>
            <w:tcW w:w="7680" w:type="dxa"/>
            <w:vAlign w:val="bottom"/>
            <w:tcBorders>
              <w:top w:val="single" w:sz="8" w:color="CFF0FC"/>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14,009,270</w:t>
            </w:r>
          </w:p>
        </w:tc>
        <w:tc>
          <w:tcPr>
            <w:tcW w:w="240" w:type="dxa"/>
            <w:vAlign w:val="bottom"/>
            <w:tcBorders>
              <w:top w:val="single" w:sz="8" w:color="CFF0FC"/>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12,324,668</w:t>
            </w:r>
          </w:p>
        </w:tc>
        <w:tc>
          <w:tcPr>
            <w:tcW w:w="120" w:type="dxa"/>
            <w:vAlign w:val="bottom"/>
            <w:tcBorders>
              <w:top w:val="single" w:sz="8" w:color="CFF0FC"/>
            </w:tcBorders>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6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-290830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Reporting</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56" w:name="page157"/>
    <w:bookmarkEnd w:id="156"/>
    <w:p>
      <w:pPr>
        <w:spacing w:after="0" w:line="241" w:lineRule="auto"/>
        <w:rPr>
          <w:sz w:val="20"/>
          <w:szCs w:val="20"/>
          <w:color w:val="auto"/>
        </w:rPr>
      </w:pPr>
      <w:r>
        <w:rPr>
          <w:rFonts w:ascii="Arial" w:cs="Arial" w:eastAsia="Arial" w:hAnsi="Arial"/>
          <w:sz w:val="17"/>
          <w:szCs w:val="17"/>
          <w:color w:val="auto"/>
        </w:rPr>
        <w:t>The Company operates in one business segment, which includes all activities related to the discovery, development, and potential commercialization of off-the-shelf viral immunotherapies that help patients fight cancer.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w:t>
      </w:r>
    </w:p>
    <w:p>
      <w:pPr>
        <w:spacing w:after="0" w:line="99"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In addition to the significant expense categories included within consolidated net loss presented on the Company's consolidated statements of operations, see below for disaggregated amounts that comprise research and development and general and administrative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3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Operating expenses:</w:t>
            </w:r>
          </w:p>
        </w:tc>
        <w:tc>
          <w:tcPr>
            <w:tcW w:w="10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Research and development:</w:t>
            </w: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color w:val="auto"/>
              </w:rPr>
              <w:t>Clinical development</w:t>
            </w:r>
          </w:p>
        </w:tc>
        <w:tc>
          <w:tcPr>
            <w:tcW w:w="2300" w:type="dxa"/>
            <w:vAlign w:val="bottom"/>
            <w:gridSpan w:val="2"/>
            <w:shd w:val="clear" w:color="auto" w:fill="CFF0FC"/>
          </w:tcPr>
          <w:p>
            <w:pPr>
              <w:jc w:val="right"/>
              <w:ind w:right="1101"/>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14,738</w:t>
            </w: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5,196</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color w:val="auto"/>
              </w:rPr>
              <w:t>Employee-related</w:t>
            </w: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12,308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11,669</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color w:val="auto"/>
              </w:rPr>
              <w:t>Facility and equipment costs</w:t>
            </w:r>
          </w:p>
        </w:tc>
        <w:tc>
          <w:tcPr>
            <w:tcW w:w="10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1,879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1,566</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color w:val="auto"/>
              </w:rPr>
              <w:t>Pre-clinical research</w:t>
            </w: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634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384</w:t>
            </w:r>
          </w:p>
        </w:tc>
        <w:tc>
          <w:tcPr>
            <w:tcW w:w="120" w:type="dxa"/>
            <w:vAlign w:val="bottom"/>
          </w:tcPr>
          <w:p>
            <w:pPr>
              <w:spacing w:after="0"/>
              <w:rPr>
                <w:sz w:val="16"/>
                <w:szCs w:val="16"/>
                <w:color w:val="auto"/>
              </w:rPr>
            </w:pPr>
          </w:p>
        </w:tc>
      </w:tr>
      <w:tr>
        <w:trPr>
          <w:trHeight w:val="189"/>
        </w:trPr>
        <w:tc>
          <w:tcPr>
            <w:tcW w:w="5420" w:type="dxa"/>
            <w:vAlign w:val="bottom"/>
            <w:tcBorders>
              <w:bottom w:val="single" w:sz="8" w:color="CFF0FC"/>
            </w:tcBorders>
            <w:shd w:val="clear" w:color="auto" w:fill="CFF0FC"/>
          </w:tcPr>
          <w:p>
            <w:pPr>
              <w:ind w:left="160"/>
              <w:spacing w:after="0" w:line="189" w:lineRule="exact"/>
              <w:rPr>
                <w:sz w:val="20"/>
                <w:szCs w:val="20"/>
                <w:color w:val="auto"/>
              </w:rPr>
            </w:pPr>
            <w:r>
              <w:rPr>
                <w:rFonts w:ascii="Arial" w:cs="Arial" w:eastAsia="Arial" w:hAnsi="Arial"/>
                <w:sz w:val="17"/>
                <w:szCs w:val="17"/>
                <w:color w:val="auto"/>
              </w:rPr>
              <w:t>Other research and development segment expenses</w:t>
            </w:r>
          </w:p>
        </w:tc>
        <w:tc>
          <w:tcPr>
            <w:tcW w:w="102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937</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499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420" w:type="dxa"/>
            <w:vAlign w:val="bottom"/>
          </w:tcPr>
          <w:p>
            <w:pPr>
              <w:ind w:left="160"/>
              <w:spacing w:after="0" w:line="183" w:lineRule="exact"/>
              <w:rPr>
                <w:sz w:val="20"/>
                <w:szCs w:val="20"/>
                <w:color w:val="auto"/>
              </w:rPr>
            </w:pPr>
            <w:r>
              <w:rPr>
                <w:rFonts w:ascii="Arial" w:cs="Arial" w:eastAsia="Arial" w:hAnsi="Arial"/>
                <w:sz w:val="17"/>
                <w:szCs w:val="17"/>
                <w:b w:val="1"/>
                <w:bCs w:val="1"/>
                <w:color w:val="auto"/>
              </w:rPr>
              <w:t>Total research and development</w:t>
            </w:r>
          </w:p>
        </w:tc>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color w:val="auto"/>
              </w:rPr>
              <w:t>30,496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7"/>
                <w:szCs w:val="17"/>
                <w:color w:val="auto"/>
              </w:rPr>
              <w:t>19,314</w:t>
            </w:r>
          </w:p>
        </w:tc>
        <w:tc>
          <w:tcPr>
            <w:tcW w:w="120" w:type="dxa"/>
            <w:vAlign w:val="bottom"/>
          </w:tcPr>
          <w:p>
            <w:pPr>
              <w:spacing w:after="0"/>
              <w:rPr>
                <w:sz w:val="15"/>
                <w:szCs w:val="15"/>
                <w:color w:val="auto"/>
              </w:rPr>
            </w:pPr>
          </w:p>
        </w:tc>
      </w:tr>
      <w:tr>
        <w:trPr>
          <w:trHeight w:val="189"/>
        </w:trPr>
        <w:tc>
          <w:tcPr>
            <w:tcW w:w="542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b w:val="1"/>
                <w:bCs w:val="1"/>
                <w:color w:val="auto"/>
              </w:rPr>
              <w:t>General and administrative:</w:t>
            </w:r>
          </w:p>
        </w:tc>
        <w:tc>
          <w:tcPr>
            <w:tcW w:w="10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color w:val="auto"/>
              </w:rPr>
              <w:t>Employee-related</w:t>
            </w: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7,624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6,831</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160"/>
              <w:spacing w:after="0" w:line="189" w:lineRule="exact"/>
              <w:rPr>
                <w:sz w:val="20"/>
                <w:szCs w:val="20"/>
                <w:color w:val="auto"/>
              </w:rPr>
            </w:pPr>
            <w:r>
              <w:rPr>
                <w:rFonts w:ascii="Arial" w:cs="Arial" w:eastAsia="Arial" w:hAnsi="Arial"/>
                <w:sz w:val="17"/>
                <w:szCs w:val="17"/>
                <w:color w:val="auto"/>
              </w:rPr>
              <w:t>Professional and consulting fees</w:t>
            </w:r>
          </w:p>
        </w:tc>
        <w:tc>
          <w:tcPr>
            <w:tcW w:w="10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5,609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5,263</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7"/>
                <w:szCs w:val="17"/>
                <w:color w:val="auto"/>
              </w:rPr>
              <w:t>Commercial readiness</w:t>
            </w: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2,689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9"/>
        </w:trPr>
        <w:tc>
          <w:tcPr>
            <w:tcW w:w="5420" w:type="dxa"/>
            <w:vAlign w:val="bottom"/>
            <w:tcBorders>
              <w:bottom w:val="single" w:sz="8" w:color="CFF0FC"/>
            </w:tcBorders>
            <w:shd w:val="clear" w:color="auto" w:fill="CFF0FC"/>
          </w:tcPr>
          <w:p>
            <w:pPr>
              <w:ind w:left="160"/>
              <w:spacing w:after="0" w:line="189" w:lineRule="exact"/>
              <w:rPr>
                <w:sz w:val="20"/>
                <w:szCs w:val="20"/>
                <w:color w:val="auto"/>
              </w:rPr>
            </w:pPr>
            <w:r>
              <w:rPr>
                <w:rFonts w:ascii="Arial" w:cs="Arial" w:eastAsia="Arial" w:hAnsi="Arial"/>
                <w:sz w:val="17"/>
                <w:szCs w:val="17"/>
                <w:color w:val="auto"/>
              </w:rPr>
              <w:t>Other general and administrative segment expenses (1)</w:t>
            </w:r>
          </w:p>
        </w:tc>
        <w:tc>
          <w:tcPr>
            <w:tcW w:w="102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1,848</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1,963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420" w:type="dxa"/>
            <w:vAlign w:val="bottom"/>
          </w:tcPr>
          <w:p>
            <w:pPr>
              <w:ind w:left="160"/>
              <w:spacing w:after="0" w:line="183" w:lineRule="exact"/>
              <w:rPr>
                <w:sz w:val="20"/>
                <w:szCs w:val="20"/>
                <w:color w:val="auto"/>
              </w:rPr>
            </w:pPr>
            <w:r>
              <w:rPr>
                <w:rFonts w:ascii="Arial" w:cs="Arial" w:eastAsia="Arial" w:hAnsi="Arial"/>
                <w:sz w:val="17"/>
                <w:szCs w:val="17"/>
                <w:b w:val="1"/>
                <w:bCs w:val="1"/>
                <w:color w:val="auto"/>
              </w:rPr>
              <w:t>Total general and administrative</w:t>
            </w:r>
          </w:p>
        </w:tc>
        <w:tc>
          <w:tcPr>
            <w:tcW w:w="10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17,770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14,057</w:t>
            </w:r>
          </w:p>
        </w:tc>
        <w:tc>
          <w:tcPr>
            <w:tcW w:w="120" w:type="dxa"/>
            <w:vAlign w:val="bottom"/>
          </w:tcPr>
          <w:p>
            <w:pPr>
              <w:spacing w:after="0"/>
              <w:rPr>
                <w:sz w:val="15"/>
                <w:szCs w:val="15"/>
                <w:color w:val="auto"/>
              </w:rPr>
            </w:pPr>
          </w:p>
        </w:tc>
      </w:tr>
      <w:tr>
        <w:trPr>
          <w:trHeight w:val="183"/>
        </w:trPr>
        <w:tc>
          <w:tcPr>
            <w:tcW w:w="5420" w:type="dxa"/>
            <w:vAlign w:val="bottom"/>
            <w:tcBorders>
              <w:bottom w:val="single" w:sz="8" w:color="CFF0FC"/>
            </w:tcBorders>
            <w:shd w:val="clear" w:color="auto" w:fill="CFF0FC"/>
          </w:tcPr>
          <w:p>
            <w:pPr>
              <w:ind w:left="320"/>
              <w:spacing w:after="0" w:line="183" w:lineRule="exact"/>
              <w:rPr>
                <w:sz w:val="20"/>
                <w:szCs w:val="20"/>
                <w:color w:val="auto"/>
              </w:rPr>
            </w:pPr>
            <w:r>
              <w:rPr>
                <w:rFonts w:ascii="Arial" w:cs="Arial" w:eastAsia="Arial" w:hAnsi="Arial"/>
                <w:sz w:val="17"/>
                <w:szCs w:val="17"/>
                <w:b w:val="1"/>
                <w:bCs w:val="1"/>
                <w:color w:val="auto"/>
              </w:rPr>
              <w:t>Total operating expenses</w:t>
            </w:r>
          </w:p>
        </w:tc>
        <w:tc>
          <w:tcPr>
            <w:tcW w:w="10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48,266</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33,371</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5420" w:type="dxa"/>
            <w:vAlign w:val="bottom"/>
          </w:tcPr>
          <w:p>
            <w:pPr>
              <w:spacing w:after="0" w:line="183" w:lineRule="exact"/>
              <w:rPr>
                <w:sz w:val="20"/>
                <w:szCs w:val="20"/>
                <w:color w:val="auto"/>
              </w:rPr>
            </w:pPr>
            <w:r>
              <w:rPr>
                <w:rFonts w:ascii="Arial" w:cs="Arial" w:eastAsia="Arial" w:hAnsi="Arial"/>
                <w:sz w:val="17"/>
                <w:szCs w:val="17"/>
                <w:color w:val="auto"/>
              </w:rPr>
              <w:t>Loss from operations</w:t>
            </w:r>
          </w:p>
        </w:tc>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gridSpan w:val="2"/>
          </w:tcPr>
          <w:p>
            <w:pPr>
              <w:jc w:val="right"/>
              <w:ind w:right="140"/>
              <w:spacing w:after="0" w:line="183" w:lineRule="exact"/>
              <w:rPr>
                <w:sz w:val="20"/>
                <w:szCs w:val="20"/>
                <w:color w:val="auto"/>
              </w:rPr>
            </w:pPr>
            <w:r>
              <w:rPr>
                <w:rFonts w:ascii="Arial" w:cs="Arial" w:eastAsia="Arial" w:hAnsi="Arial"/>
                <w:sz w:val="17"/>
                <w:szCs w:val="17"/>
                <w:color w:val="auto"/>
              </w:rPr>
              <w:t>(48,266)</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(33,371)</w:t>
            </w:r>
          </w:p>
        </w:tc>
      </w:tr>
      <w:tr>
        <w:trPr>
          <w:trHeight w:val="189"/>
        </w:trPr>
        <w:tc>
          <w:tcPr>
            <w:tcW w:w="54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Grant income</w:t>
            </w:r>
          </w:p>
        </w:tc>
        <w:tc>
          <w:tcPr>
            <w:tcW w:w="10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Interest income</w:t>
            </w: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3,915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1,086</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Interest expense</w:t>
            </w:r>
          </w:p>
        </w:tc>
        <w:tc>
          <w:tcPr>
            <w:tcW w:w="10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(2,119)</w:t>
            </w: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(2,090)</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Change in fair value of warrant liabilities</w:t>
            </w: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8,199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(20,802)</w:t>
            </w: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542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Net loss</w:t>
            </w:r>
          </w:p>
        </w:tc>
        <w:tc>
          <w:tcPr>
            <w:tcW w:w="10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101"/>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7"/>
                <w:szCs w:val="17"/>
                <w:color w:val="auto"/>
              </w:rPr>
              <w:t>(38,182)</w:t>
            </w:r>
          </w:p>
        </w:tc>
        <w:tc>
          <w:tcPr>
            <w:tcW w:w="1040" w:type="dxa"/>
            <w:vAlign w:val="bottom"/>
            <w:gridSpan w:val="2"/>
            <w:shd w:val="clear" w:color="auto" w:fill="CFF0FC"/>
          </w:tcPr>
          <w:p>
            <w:pPr>
              <w:jc w:val="right"/>
              <w:ind w:right="780"/>
              <w:spacing w:after="0" w:line="183"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(55,177)</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-1748155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-1748155</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-1019810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-1019810</wp:posOffset>
            </wp:positionV>
            <wp:extent cx="774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-762635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-762635</wp:posOffset>
            </wp:positionV>
            <wp:extent cx="77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(1) Other general and administrative segment expenses primarily consist of insurance, occupancy, and information technology costs.</w:t>
      </w:r>
    </w:p>
    <w:p>
      <w:pPr>
        <w:spacing w:after="0" w:line="142" w:lineRule="exact"/>
        <w:rPr>
          <w:sz w:val="20"/>
          <w:szCs w:val="20"/>
          <w:color w:val="auto"/>
        </w:rPr>
      </w:pPr>
    </w:p>
    <w:p>
      <w:pPr>
        <w:ind w:right="9260" w:firstLine="8"/>
        <w:spacing w:after="0" w:line="381" w:lineRule="auto"/>
        <w:tabs>
          <w:tab w:leader="none" w:pos="285"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2026 Follow-On Offering</w:t>
      </w:r>
    </w:p>
    <w:p>
      <w:pPr>
        <w:ind w:right="200"/>
        <w:spacing w:after="0" w:line="241" w:lineRule="auto"/>
        <w:rPr>
          <w:sz w:val="20"/>
          <w:szCs w:val="20"/>
          <w:color w:val="auto"/>
        </w:rPr>
      </w:pPr>
      <w:r>
        <w:rPr>
          <w:rFonts w:ascii="Arial" w:cs="Arial" w:eastAsia="Arial" w:hAnsi="Arial"/>
          <w:sz w:val="17"/>
          <w:szCs w:val="17"/>
          <w:color w:val="auto"/>
        </w:rPr>
        <w:t>On February 23, 2026, the Company issued and sold 18,348,624 shares of common stock at a price to the public of $5.45 per share for aggregate gross proceeds of approximately $100 million (the 2026 Follow-On Offering). The Company received approximately $93.5 million in net proceeds from the 2026 Follow-On Offering after deducting underwriting discounts and commissions and offering expenses. The Company also granted the underwriters a 30-day option to purchase up to 2,752,293 additional shares of common stock at the public offering price, less the underwriting discount.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RTW Purchase Agreement</w:t>
      </w:r>
    </w:p>
    <w:p>
      <w:pPr>
        <w:spacing w:after="0" w:line="14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February 19, 2026, the Company entered into a purchase and sale agreement (the RTW Purchase Agreement) with funds managed by RTW Investments, LP (RTW). Under the terms of the RTW Purchase Agreement, RTW has agreed to pay the Company $100 million (the RTW Purchase Price) upon the marketing approval of aglatimagene for the treatment of intermediate-risk and high-risk localized prostate cancer by the FDA in exchange for a tiered royalty on future net sales of aglatimagene in the United States. RTW will be entitled to a 4.67% royalty on the portion of annual net sales in the United States that is less than or equal to $1 billion, and a 1.33% royalty on the portion of annual net sales in the United States, exceeding $1 billion. The 4.67% tier will increase to 6.67% if annual net sales do not achieve certain specified levels (the Ratchet), subject to a cure opportunity by the Company (provided that such Ratchet and cure opportunity may each subsequently occur more than once).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57" w:name="page158"/>
    <w:bookmarkEnd w:id="157"/>
    <w:p>
      <w:pPr>
        <w:ind w:right="40"/>
        <w:spacing w:after="0" w:line="239" w:lineRule="auto"/>
        <w:rPr>
          <w:sz w:val="20"/>
          <w:szCs w:val="20"/>
          <w:color w:val="auto"/>
        </w:rPr>
      </w:pPr>
      <w:r>
        <w:rPr>
          <w:rFonts w:ascii="Arial" w:cs="Arial" w:eastAsia="Arial" w:hAnsi="Arial"/>
          <w:sz w:val="17"/>
          <w:szCs w:val="17"/>
          <w:color w:val="auto"/>
        </w:rPr>
        <w:t>The royalty payments become payable following the first commercial sale of aglatimagene in the United States and end upon RTW’s receipt of $250 million in royalty payments (the RTW Royalty Cap). If the Company undergoes a change of control with, or sells aglatimagene and all of the aglatimagene rights to, a third party, the RTW Purchase Agreement provides the Company and RTW with an option for the Company to pay certain specified amounts to terminate the RTW Purchase Agreement, depending upon the timing for such transaction, up to the RTW Royalty Cap (the Buy-Out Option). If either party exercises the Buy-Out Option, the RTW Purchase Agreement will automatically terminate upon payment of the specified amount.</w:t>
      </w:r>
    </w:p>
    <w:p>
      <w:pPr>
        <w:spacing w:after="0" w:line="74"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The transaction is subject to certain closing conditions, including that FDA approval must occur by a specified date, conditions related to our indebtedness and other customary closing conditions. The RTW Purchase Agreement also contains customary representations, warranties and indemnities on the part of the Company and RTW and customary covenants on the part of the Company, including around the Company's indebtedness as well as licensing and other activities related to aglatimagene and its rights.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Trinity LSA Amendment</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March 10, 2026, we entered into that certain First Amendment to Loan and Security Agreement among the Company and Trinity Capital Inc. (the First Amendment to Trinity LSA). The First Amendment to Trinity LSA amended our financial covenant such that the period in which we are required, if our market capitalization is less than $550 million, to maintain minimum cash and cash equivalents of 67.5% of all of the aggregate principal amount of outstanding obligations under the Trinity LSA shall be through the date that we have raised at least $93.5 million in unrestricted net cash proceeds from one or more bona fide equity financings and/or upfront proceeds from business development after the Closing Date (as defined in the Trinity LSA). The First Amendment to Trinity LSA also makes corresponding amendments and additions to defined terms.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b w:val="1"/>
          <w:bCs w:val="1"/>
          <w:color w:val="auto"/>
        </w:rPr>
        <w:t>SIGNATURES</w:t>
      </w:r>
    </w:p>
    <w:p>
      <w:pPr>
        <w:spacing w:after="0" w:line="318"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111"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Candel Therapeutics, Inc.</w:t>
      </w:r>
    </w:p>
    <w:p>
      <w:pPr>
        <w:spacing w:after="0" w:line="183" w:lineRule="exact"/>
        <w:rPr>
          <w:sz w:val="20"/>
          <w:szCs w:val="20"/>
          <w:color w:val="auto"/>
        </w:rPr>
      </w:pPr>
    </w:p>
    <w:p>
      <w:pPr>
        <w:spacing w:after="0"/>
        <w:tabs>
          <w:tab w:leader="none" w:pos="5380" w:val="left"/>
          <w:tab w:leader="none" w:pos="7900" w:val="left"/>
        </w:tabs>
        <w:rPr>
          <w:sz w:val="20"/>
          <w:szCs w:val="20"/>
          <w:color w:val="auto"/>
        </w:rPr>
      </w:pPr>
      <w:r>
        <w:rPr>
          <w:rFonts w:ascii="Arial" w:cs="Arial" w:eastAsia="Arial" w:hAnsi="Arial"/>
          <w:sz w:val="17"/>
          <w:szCs w:val="17"/>
          <w:color w:val="auto"/>
        </w:rPr>
        <w:t>Date: March 12,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10160</wp:posOffset>
            </wp:positionV>
            <wp:extent cx="33432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7"/>
          <w:szCs w:val="17"/>
          <w:b w:val="1"/>
          <w:bCs w:val="1"/>
          <w:color w:val="auto"/>
        </w:rPr>
        <w:t>Paul Peter Tak, M.D., Ph.D., FMedSci</w:t>
      </w:r>
    </w:p>
    <w:p>
      <w:pPr>
        <w:ind w:left="708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Each person whose individual signature appears below hereby constitutes and appoints Paul Peter Tak and Charles Schoch,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74"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145" w:lineRule="exact"/>
        <w:rPr>
          <w:sz w:val="20"/>
          <w:szCs w:val="20"/>
          <w:color w:val="auto"/>
        </w:rPr>
      </w:pPr>
    </w:p>
    <w:p>
      <w:pPr>
        <w:ind w:left="164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4300" w:type="dxa"/>
            <w:vAlign w:val="bottom"/>
          </w:tcPr>
          <w:p>
            <w:pPr>
              <w:ind w:left="140"/>
              <w:spacing w:after="0"/>
              <w:rPr>
                <w:sz w:val="20"/>
                <w:szCs w:val="20"/>
                <w:color w:val="auto"/>
              </w:rPr>
            </w:pPr>
            <w:r>
              <w:rPr>
                <w:rFonts w:ascii="Arial" w:cs="Arial" w:eastAsia="Arial" w:hAnsi="Arial"/>
                <w:sz w:val="17"/>
                <w:szCs w:val="17"/>
                <w:color w:val="auto"/>
              </w:rPr>
              <w:t>President and Chief Executive Officer</w:t>
            </w:r>
          </w:p>
        </w:tc>
        <w:tc>
          <w:tcPr>
            <w:tcW w:w="3260" w:type="dxa"/>
            <w:vAlign w:val="bottom"/>
          </w:tcPr>
          <w:p>
            <w:pPr>
              <w:spacing w:after="0"/>
              <w:rPr>
                <w:sz w:val="16"/>
                <w:szCs w:val="16"/>
                <w:color w:val="auto"/>
              </w:rPr>
            </w:pPr>
          </w:p>
        </w:tc>
      </w:tr>
      <w:tr>
        <w:trPr>
          <w:trHeight w:val="21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Paul Peter Tak</w:t>
            </w:r>
          </w:p>
        </w:tc>
        <w:tc>
          <w:tcPr>
            <w:tcW w:w="4300" w:type="dxa"/>
            <w:vAlign w:val="bottom"/>
          </w:tcPr>
          <w:p>
            <w:pPr>
              <w:ind w:left="140"/>
              <w:spacing w:after="0"/>
              <w:rPr>
                <w:sz w:val="20"/>
                <w:szCs w:val="20"/>
                <w:color w:val="auto"/>
              </w:rPr>
            </w:pPr>
            <w:r>
              <w:rPr>
                <w:rFonts w:ascii="Arial" w:cs="Arial" w:eastAsia="Arial" w:hAnsi="Arial"/>
                <w:sz w:val="17"/>
                <w:szCs w:val="17"/>
                <w:color w:val="auto"/>
              </w:rPr>
              <w:t>(Principal Executive Officer)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Paul Peter Tak, M.D., Ph.D. FMedSci</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14"/>
        </w:trPr>
        <w:tc>
          <w:tcPr>
            <w:tcW w:w="368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7"/>
                <w:szCs w:val="17"/>
                <w:color w:val="auto"/>
              </w:rPr>
              <w:t>Chief Financial Officer</w:t>
            </w:r>
          </w:p>
        </w:tc>
        <w:tc>
          <w:tcPr>
            <w:tcW w:w="3260" w:type="dxa"/>
            <w:vAlign w:val="bottom"/>
          </w:tcPr>
          <w:p>
            <w:pPr>
              <w:spacing w:after="0"/>
              <w:rPr>
                <w:sz w:val="18"/>
                <w:szCs w:val="18"/>
                <w:color w:val="auto"/>
              </w:rPr>
            </w:pPr>
          </w:p>
        </w:tc>
      </w:tr>
      <w:tr>
        <w:trPr>
          <w:trHeight w:val="21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Charles Schoch</w:t>
            </w:r>
          </w:p>
        </w:tc>
        <w:tc>
          <w:tcPr>
            <w:tcW w:w="4300" w:type="dxa"/>
            <w:vAlign w:val="bottom"/>
          </w:tcPr>
          <w:p>
            <w:pPr>
              <w:ind w:left="140"/>
              <w:spacing w:after="0"/>
              <w:rPr>
                <w:sz w:val="20"/>
                <w:szCs w:val="20"/>
                <w:color w:val="auto"/>
              </w:rPr>
            </w:pPr>
            <w:r>
              <w:rPr>
                <w:rFonts w:ascii="Arial" w:cs="Arial" w:eastAsia="Arial" w:hAnsi="Arial"/>
                <w:sz w:val="17"/>
                <w:szCs w:val="17"/>
                <w:color w:val="auto"/>
              </w:rPr>
              <w:t>(Principal Financial and Accounting Officer)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Charles Schoch</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Paul B. Manning</w:t>
            </w:r>
          </w:p>
        </w:tc>
        <w:tc>
          <w:tcPr>
            <w:tcW w:w="4300" w:type="dxa"/>
            <w:vAlign w:val="bottom"/>
          </w:tcPr>
          <w:p>
            <w:pPr>
              <w:ind w:left="140"/>
              <w:spacing w:after="0"/>
              <w:rPr>
                <w:sz w:val="20"/>
                <w:szCs w:val="20"/>
                <w:color w:val="auto"/>
              </w:rPr>
            </w:pPr>
            <w:r>
              <w:rPr>
                <w:rFonts w:ascii="Arial" w:cs="Arial" w:eastAsia="Arial" w:hAnsi="Arial"/>
                <w:sz w:val="17"/>
                <w:szCs w:val="17"/>
                <w:color w:val="auto"/>
              </w:rPr>
              <w:t>Chairman</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Paul B. Manning</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Edward J. Benz Jr.</w:t>
            </w:r>
          </w:p>
        </w:tc>
        <w:tc>
          <w:tcPr>
            <w:tcW w:w="43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Edward J. Benz, Jr, M.D.</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Chris Martell</w:t>
            </w:r>
          </w:p>
        </w:tc>
        <w:tc>
          <w:tcPr>
            <w:tcW w:w="43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Chris Martell</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Renee Gaeta</w:t>
            </w:r>
          </w:p>
        </w:tc>
        <w:tc>
          <w:tcPr>
            <w:tcW w:w="43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Renee Gaeta</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4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Gary Nabel</w:t>
            </w:r>
          </w:p>
        </w:tc>
        <w:tc>
          <w:tcPr>
            <w:tcW w:w="43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Gary Nabel, Ph.D., M.D.</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Joseph Papa</w:t>
            </w:r>
          </w:p>
        </w:tc>
        <w:tc>
          <w:tcPr>
            <w:tcW w:w="43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Joseph Papa</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4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Diem Nguyen</w:t>
            </w:r>
          </w:p>
        </w:tc>
        <w:tc>
          <w:tcPr>
            <w:tcW w:w="43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Diem Nguyen, Ph.D., MBA</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33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Nicoletta Loggia</w:t>
            </w:r>
          </w:p>
        </w:tc>
        <w:tc>
          <w:tcPr>
            <w:tcW w:w="43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3260" w:type="dxa"/>
            <w:vAlign w:val="bottom"/>
          </w:tcPr>
          <w:p>
            <w:pPr>
              <w:ind w:left="92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Nicoletta Loggia, Ph.D., R.Ph</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31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Maha Radhakrishnan</w:t>
            </w:r>
          </w:p>
        </w:tc>
        <w:tc>
          <w:tcPr>
            <w:tcW w:w="43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3260" w:type="dxa"/>
            <w:vAlign w:val="bottom"/>
          </w:tcPr>
          <w:p>
            <w:pPr>
              <w:ind w:left="880"/>
              <w:spacing w:after="0"/>
              <w:rPr>
                <w:sz w:val="20"/>
                <w:szCs w:val="20"/>
                <w:color w:val="auto"/>
              </w:rPr>
            </w:pPr>
            <w:r>
              <w:rPr>
                <w:rFonts w:ascii="Arial" w:cs="Arial" w:eastAsia="Arial" w:hAnsi="Arial"/>
                <w:sz w:val="17"/>
                <w:szCs w:val="17"/>
                <w:color w:val="auto"/>
              </w:rPr>
              <w:t>March 12, 2026</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Maha Radhakrishnan, M.D.</w:t>
            </w:r>
          </w:p>
        </w:tc>
        <w:tc>
          <w:tcPr>
            <w:tcW w:w="43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600"/>
        </w:trPr>
        <w:tc>
          <w:tcPr>
            <w:tcW w:w="3680" w:type="dxa"/>
            <w:vAlign w:val="bottom"/>
          </w:tcPr>
          <w:p>
            <w:pPr>
              <w:spacing w:after="0"/>
              <w:rPr>
                <w:sz w:val="24"/>
                <w:szCs w:val="24"/>
                <w:color w:val="auto"/>
              </w:rPr>
            </w:pPr>
          </w:p>
        </w:tc>
        <w:tc>
          <w:tcPr>
            <w:tcW w:w="4300" w:type="dxa"/>
            <w:vAlign w:val="bottom"/>
          </w:tcPr>
          <w:p>
            <w:pPr>
              <w:ind w:left="1760"/>
              <w:spacing w:after="0"/>
              <w:rPr>
                <w:sz w:val="20"/>
                <w:szCs w:val="20"/>
                <w:color w:val="auto"/>
              </w:rPr>
            </w:pPr>
            <w:r>
              <w:rPr>
                <w:rFonts w:ascii="Arial" w:cs="Arial" w:eastAsia="Arial" w:hAnsi="Arial"/>
                <w:sz w:val="17"/>
                <w:szCs w:val="17"/>
                <w:color w:val="auto"/>
              </w:rPr>
              <w:t>F-27</w:t>
            </w:r>
          </w:p>
        </w:tc>
        <w:tc>
          <w:tcPr>
            <w:tcW w:w="3260" w:type="dxa"/>
            <w:vAlign w:val="bottom"/>
          </w:tcPr>
          <w:p>
            <w:pPr>
              <w:spacing w:after="0"/>
              <w:rPr>
                <w:sz w:val="24"/>
                <w:szCs w:val="24"/>
                <w:color w:val="auto"/>
              </w:rPr>
            </w:pPr>
          </w:p>
        </w:tc>
      </w:tr>
      <w:tr>
        <w:trPr>
          <w:trHeight w:val="749"/>
        </w:trPr>
        <w:tc>
          <w:tcPr>
            <w:tcW w:w="36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39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CANDEL THERAPEUTICS, INC.</w:t>
      </w:r>
    </w:p>
    <w:p>
      <w:pPr>
        <w:spacing w:after="0" w:line="20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2025 INDUCEMENT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w:t>
      </w:r>
      <w:r>
        <w:rPr>
          <w:rFonts w:ascii="Times New Roman" w:cs="Times New Roman" w:eastAsia="Times New Roman" w:hAnsi="Times New Roman"/>
          <w:sz w:val="22"/>
          <w:szCs w:val="22"/>
          <w:u w:val="single" w:color="auto"/>
          <w:color w:val="auto"/>
        </w:rPr>
        <w:t>GENERAL PURPOSE OF THE PLAN; DEFINITIONS</w:t>
      </w:r>
    </w:p>
    <w:p>
      <w:pPr>
        <w:spacing w:after="0" w:line="206"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The name of the plan is the Candel Therapeutics, Inc. 2025 Inducement Plan (as amended from time to time, the “Plan”). The purpose of the Plan is to enable Candel Therapeutics, Inc. (the “Company”) and its Affiliates to grant equity awards to induce highly-qualified prospective officers and employees who are Eligible Employees to accept employment and to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Company intends that the Plan be reserved for persons to whom the Company may issue securities without stockholder approval as an inducement pursuant to Rule 5635(c)(4) of the Marketplace Rules of The Nasdaq Stock Market LLC.</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terms shall be defined as set forth below:</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means the Securities Act of 1933, as amended, and the rules and regulations thereunder.</w:t>
      </w:r>
    </w:p>
    <w:p>
      <w:pPr>
        <w:spacing w:after="0" w:line="206"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“Administrator” </w:t>
      </w:r>
      <w:r>
        <w:rPr>
          <w:rFonts w:ascii="Times New Roman" w:cs="Times New Roman" w:eastAsia="Times New Roman" w:hAnsi="Times New Roman"/>
          <w:sz w:val="22"/>
          <w:szCs w:val="22"/>
          <w:color w:val="auto"/>
        </w:rPr>
        <w:t>means either the Board or the compensation committee of the Board or a similar committee performing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functions of the compensation committee and which is comprised of not less than two Non-Employee Directors who are independent.</w:t>
      </w:r>
    </w:p>
    <w:p>
      <w:pPr>
        <w:spacing w:after="0" w:line="16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67"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“Award”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“Awards,” </w:t>
      </w:r>
      <w:r>
        <w:rPr>
          <w:rFonts w:ascii="Times New Roman" w:cs="Times New Roman" w:eastAsia="Times New Roman" w:hAnsi="Times New Roman"/>
          <w:sz w:val="22"/>
          <w:szCs w:val="22"/>
          <w:color w:val="auto"/>
        </w:rPr>
        <w:t>except where referring to a particular category of grant under the Plan, shall include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Options, Stock Appreciation Rights, Restricted Stock Units, Restricted Stock Awards, Unrestricted Stock Awards, and Dividend Equivalent Rights.</w:t>
      </w:r>
    </w:p>
    <w:p>
      <w:pPr>
        <w:spacing w:after="0" w:line="167" w:lineRule="exact"/>
        <w:rPr>
          <w:sz w:val="20"/>
          <w:szCs w:val="20"/>
          <w:color w:val="auto"/>
        </w:rPr>
      </w:pPr>
    </w:p>
    <w:p>
      <w:pPr>
        <w:ind w:right="5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“Award Certificate” </w:t>
      </w:r>
      <w:r>
        <w:rPr>
          <w:rFonts w:ascii="Times New Roman" w:cs="Times New Roman" w:eastAsia="Times New Roman" w:hAnsi="Times New Roman"/>
          <w:sz w:val="22"/>
          <w:szCs w:val="22"/>
          <w:color w:val="auto"/>
        </w:rPr>
        <w:t>means a written or electronic document setting forth the terms and provisions applicable to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granted under the Plan. Each Award Certificate is subject to the terms and conditions of the Plan.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“Board”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ind w:right="78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U.S. Internal Revenue Code of 1986, as amended, and any successor Code, and related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and interpretations.</w:t>
      </w:r>
    </w:p>
    <w:p>
      <w:pPr>
        <w:spacing w:after="0" w:line="150" w:lineRule="exact"/>
        <w:rPr>
          <w:sz w:val="20"/>
          <w:szCs w:val="20"/>
          <w:color w:val="auto"/>
        </w:rPr>
      </w:pPr>
    </w:p>
    <w:p>
      <w:pPr>
        <w:ind w:right="560" w:firstLine="749"/>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“Consultant” </w:t>
      </w:r>
      <w:r>
        <w:rPr>
          <w:rFonts w:ascii="Times New Roman" w:cs="Times New Roman" w:eastAsia="Times New Roman" w:hAnsi="Times New Roman"/>
          <w:sz w:val="21"/>
          <w:szCs w:val="21"/>
          <w:color w:val="auto"/>
        </w:rPr>
        <w:t>means a consultant or adviser who provides</w:t>
      </w:r>
      <w:r>
        <w:rPr>
          <w:rFonts w:ascii="Times New Roman" w:cs="Times New Roman" w:eastAsia="Times New Roman" w:hAnsi="Times New Roman"/>
          <w:sz w:val="21"/>
          <w:szCs w:val="21"/>
          <w:i w:val="1"/>
          <w:iCs w:val="1"/>
          <w:color w:val="auto"/>
        </w:rPr>
        <w:t xml:space="preserve"> bona fide </w:t>
      </w:r>
      <w:r>
        <w:rPr>
          <w:rFonts w:ascii="Times New Roman" w:cs="Times New Roman" w:eastAsia="Times New Roman" w:hAnsi="Times New Roman"/>
          <w:sz w:val="21"/>
          <w:szCs w:val="21"/>
          <w:color w:val="auto"/>
        </w:rPr>
        <w:t>services to the Company or an Affiliate as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independent contractor and who qualifies as a consultant or advisor under Instruction A.1.(a)(1) of Form S-8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60" w:name="page161"/>
    <w:bookmarkEnd w:id="160"/>
    <w:p>
      <w:pPr>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“Dividend Equivalent Right” </w:t>
      </w:r>
      <w:r>
        <w:rPr>
          <w:rFonts w:ascii="Times New Roman" w:cs="Times New Roman" w:eastAsia="Times New Roman" w:hAnsi="Times New Roman"/>
          <w:sz w:val="22"/>
          <w:szCs w:val="22"/>
          <w:color w:val="auto"/>
        </w:rPr>
        <w:t>means an Award entitling the grantee to receive credits based on ordinary cash dividends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would have been paid on the shares of Stock specified in the Dividend Equivalent Right (or other award to which it relates) if such shares had been issued to and held by the grantee.</w:t>
      </w:r>
    </w:p>
    <w:p>
      <w:pPr>
        <w:spacing w:after="0" w:line="167" w:lineRule="exact"/>
        <w:rPr>
          <w:sz w:val="20"/>
          <w:szCs w:val="20"/>
          <w:color w:val="auto"/>
        </w:rPr>
      </w:pPr>
    </w:p>
    <w:p>
      <w:pPr>
        <w:ind w:right="14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“Eligible Employee” </w:t>
      </w:r>
      <w:r>
        <w:rPr>
          <w:rFonts w:ascii="Times New Roman" w:cs="Times New Roman" w:eastAsia="Times New Roman" w:hAnsi="Times New Roman"/>
          <w:sz w:val="22"/>
          <w:szCs w:val="22"/>
          <w:color w:val="auto"/>
        </w:rPr>
        <w:t>means any individual to whom the Company may issue securities without stockholder approval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the NASDAQ Inducement Exception.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the date on which the Plan becomes effective as set forth in Section 19.</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 and regulations thereunder.</w:t>
      </w:r>
    </w:p>
    <w:p>
      <w:pPr>
        <w:spacing w:after="0" w:line="206"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“Fair Market Value” </w:t>
      </w:r>
      <w:r>
        <w:rPr>
          <w:rFonts w:ascii="Times New Roman" w:cs="Times New Roman" w:eastAsia="Times New Roman" w:hAnsi="Times New Roman"/>
          <w:sz w:val="22"/>
          <w:szCs w:val="22"/>
          <w:color w:val="auto"/>
        </w:rPr>
        <w:t>of the Stock on any given date means the fair market value of the Stock determined in good faith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Administrator; provided, however, that if the Stock is listed on the National Association of Securities Dealers Automated Quotation System,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78" w:lineRule="exact"/>
        <w:rPr>
          <w:sz w:val="20"/>
          <w:szCs w:val="20"/>
          <w:color w:val="auto"/>
        </w:rPr>
      </w:pPr>
    </w:p>
    <w:p>
      <w:pPr>
        <w:ind w:right="4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“NASDAQ Inducement Exception” </w:t>
      </w:r>
      <w:r>
        <w:rPr>
          <w:rFonts w:ascii="Times New Roman" w:cs="Times New Roman" w:eastAsia="Times New Roman" w:hAnsi="Times New Roman"/>
          <w:sz w:val="22"/>
          <w:szCs w:val="22"/>
          <w:color w:val="auto"/>
        </w:rPr>
        <w:t>means Rule 5635(c)(4) of the Marketplace Rules of the NASDAQ Stock Market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LLC, or any successor rule, and related guidance thereunder.</w:t>
      </w:r>
    </w:p>
    <w:p>
      <w:pPr>
        <w:spacing w:after="0" w:line="150" w:lineRule="exact"/>
        <w:rPr>
          <w:sz w:val="20"/>
          <w:szCs w:val="20"/>
          <w:color w:val="auto"/>
        </w:rPr>
      </w:pPr>
    </w:p>
    <w:p>
      <w:pPr>
        <w:ind w:right="96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“Non-Employee Director” </w:t>
      </w:r>
      <w:r>
        <w:rPr>
          <w:rFonts w:ascii="Times New Roman" w:cs="Times New Roman" w:eastAsia="Times New Roman" w:hAnsi="Times New Roman"/>
          <w:sz w:val="22"/>
          <w:szCs w:val="22"/>
          <w:color w:val="auto"/>
        </w:rPr>
        <w:t>means a member of the Board who is not also an employee of the Company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“Option”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“Stock Option” </w:t>
      </w:r>
      <w:r>
        <w:rPr>
          <w:rFonts w:ascii="Times New Roman" w:cs="Times New Roman" w:eastAsia="Times New Roman" w:hAnsi="Times New Roman"/>
          <w:sz w:val="22"/>
          <w:szCs w:val="22"/>
          <w:color w:val="auto"/>
        </w:rPr>
        <w:t>means any option to purchase shares of Stock granted pursuant to Section 5.</w:t>
      </w:r>
    </w:p>
    <w:p>
      <w:pPr>
        <w:spacing w:after="0" w:line="206" w:lineRule="exact"/>
        <w:rPr>
          <w:sz w:val="20"/>
          <w:szCs w:val="20"/>
          <w:color w:val="auto"/>
        </w:rPr>
      </w:pPr>
    </w:p>
    <w:p>
      <w:pPr>
        <w:ind w:right="4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“Registration Date” </w:t>
      </w:r>
      <w:r>
        <w:rPr>
          <w:rFonts w:ascii="Times New Roman" w:cs="Times New Roman" w:eastAsia="Times New Roman" w:hAnsi="Times New Roman"/>
          <w:sz w:val="22"/>
          <w:szCs w:val="22"/>
          <w:color w:val="auto"/>
        </w:rPr>
        <w:t>means the date upon which the registration statement on Form S-1 that is filed by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its initial public offering is declared effective by the Securities and Exchange Commission.</w:t>
      </w:r>
    </w:p>
    <w:p>
      <w:pPr>
        <w:spacing w:after="0" w:line="150" w:lineRule="exact"/>
        <w:rPr>
          <w:sz w:val="20"/>
          <w:szCs w:val="20"/>
          <w:color w:val="auto"/>
        </w:rPr>
      </w:pPr>
    </w:p>
    <w:p>
      <w:pPr>
        <w:ind w:right="48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Shares” </w:t>
      </w:r>
      <w:r>
        <w:rPr>
          <w:rFonts w:ascii="Times New Roman" w:cs="Times New Roman" w:eastAsia="Times New Roman" w:hAnsi="Times New Roman"/>
          <w:sz w:val="22"/>
          <w:szCs w:val="22"/>
          <w:color w:val="auto"/>
        </w:rPr>
        <w:t>means the shares of Stock underlying a Restricted Stock Award that remain subject to a risk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forfeiture or the Company’s right of repurchase.</w:t>
      </w:r>
    </w:p>
    <w:p>
      <w:pPr>
        <w:spacing w:after="0" w:line="150" w:lineRule="exact"/>
        <w:rPr>
          <w:sz w:val="20"/>
          <w:szCs w:val="20"/>
          <w:color w:val="auto"/>
        </w:rPr>
      </w:pPr>
    </w:p>
    <w:p>
      <w:pPr>
        <w:ind w:right="7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Stock Award” </w:t>
      </w:r>
      <w:r>
        <w:rPr>
          <w:rFonts w:ascii="Times New Roman" w:cs="Times New Roman" w:eastAsia="Times New Roman" w:hAnsi="Times New Roman"/>
          <w:sz w:val="22"/>
          <w:szCs w:val="22"/>
          <w:color w:val="auto"/>
        </w:rPr>
        <w:t>means an Award of Restricted Shares subject to such restrictions and conditions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 may determine at the time of grant.</w:t>
      </w:r>
    </w:p>
    <w:p>
      <w:pPr>
        <w:spacing w:after="0" w:line="150"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Stock Units” </w:t>
      </w:r>
      <w:r>
        <w:rPr>
          <w:rFonts w:ascii="Times New Roman" w:cs="Times New Roman" w:eastAsia="Times New Roman" w:hAnsi="Times New Roman"/>
          <w:sz w:val="22"/>
          <w:szCs w:val="22"/>
          <w:color w:val="auto"/>
        </w:rPr>
        <w:t>means an Award of stock units subject to such restrictions and conditions as the Administrator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determine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1" w:name="page162"/>
    <w:bookmarkEnd w:id="161"/>
    <w:p>
      <w:pPr>
        <w:ind w:right="120"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“Sale Event” </w:t>
      </w:r>
      <w:r>
        <w:rPr>
          <w:rFonts w:ascii="Times New Roman" w:cs="Times New Roman" w:eastAsia="Times New Roman" w:hAnsi="Times New Roman"/>
          <w:sz w:val="22"/>
          <w:szCs w:val="22"/>
          <w:color w:val="auto"/>
        </w:rPr>
        <w:t>means (i) the sale of all or substantially all of the assets of the Company on a consolidated basis to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4" w:lineRule="exact"/>
        <w:rPr>
          <w:sz w:val="20"/>
          <w:szCs w:val="20"/>
          <w:color w:val="auto"/>
        </w:rPr>
      </w:pPr>
    </w:p>
    <w:p>
      <w:pPr>
        <w:ind w:right="68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 Price</w:t>
      </w:r>
      <w:r>
        <w:rPr>
          <w:rFonts w:ascii="Times New Roman" w:cs="Times New Roman" w:eastAsia="Times New Roman" w:hAnsi="Times New Roman"/>
          <w:sz w:val="22"/>
          <w:szCs w:val="22"/>
          <w:color w:val="auto"/>
        </w:rPr>
        <w:t>” means the value as determined by the Administrator of the consideration payable, or otherwise to be received by stockholders, per share of Stock pursuant to a Sale Event.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“Section 409A” </w:t>
      </w:r>
      <w:r>
        <w:rPr>
          <w:rFonts w:ascii="Times New Roman" w:cs="Times New Roman" w:eastAsia="Times New Roman" w:hAnsi="Times New Roman"/>
          <w:sz w:val="22"/>
          <w:szCs w:val="22"/>
          <w:color w:val="auto"/>
        </w:rPr>
        <w:t>means Section 409A of the Code and the regulations and other guidance promulgated thereunder.</w:t>
      </w:r>
    </w:p>
    <w:p>
      <w:pPr>
        <w:spacing w:after="0" w:line="206"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“Service Relationship” </w:t>
      </w:r>
      <w:r>
        <w:rPr>
          <w:rFonts w:ascii="Times New Roman" w:cs="Times New Roman" w:eastAsia="Times New Roman" w:hAnsi="Times New Roman"/>
          <w:sz w:val="22"/>
          <w:szCs w:val="22"/>
          <w:color w:val="auto"/>
        </w:rPr>
        <w:t>means any relationship as an employee, Non-Employee Director or Consultant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 Affiliate. Unless as otherwise set forth in the Award Certificate, a Service Relationship shall be deemed to continue without interruption in the event a grantee’s status changes from full-time employee to part-time employee or a grantee’s status changes from employee to Consultant or Non-Employee Director or vice versa, provided that there is no interruption or other termination of Service Relationship in connection with the grantee’s change in capacity.</w:t>
      </w:r>
    </w:p>
    <w:p>
      <w:pPr>
        <w:spacing w:after="0" w:line="177" w:lineRule="exact"/>
        <w:rPr>
          <w:sz w:val="20"/>
          <w:szCs w:val="20"/>
          <w:color w:val="auto"/>
        </w:rPr>
      </w:pPr>
    </w:p>
    <w:p>
      <w:pPr>
        <w:ind w:right="4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“Stock” </w:t>
      </w:r>
      <w:r>
        <w:rPr>
          <w:rFonts w:ascii="Times New Roman" w:cs="Times New Roman" w:eastAsia="Times New Roman" w:hAnsi="Times New Roman"/>
          <w:sz w:val="22"/>
          <w:szCs w:val="22"/>
          <w:color w:val="auto"/>
        </w:rPr>
        <w:t>means the Common Stock, par value $0.0001 per share, of the Company, subject to adjustments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3.</w:t>
      </w:r>
    </w:p>
    <w:p>
      <w:pPr>
        <w:spacing w:after="0" w:line="150" w:lineRule="exact"/>
        <w:rPr>
          <w:sz w:val="20"/>
          <w:szCs w:val="20"/>
          <w:color w:val="auto"/>
        </w:rPr>
      </w:pPr>
    </w:p>
    <w:p>
      <w:pPr>
        <w:ind w:right="80"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“Stock Appreciation Right” </w:t>
      </w:r>
      <w:r>
        <w:rPr>
          <w:rFonts w:ascii="Times New Roman" w:cs="Times New Roman" w:eastAsia="Times New Roman" w:hAnsi="Times New Roman"/>
          <w:sz w:val="22"/>
          <w:szCs w:val="22"/>
          <w:color w:val="auto"/>
        </w:rPr>
        <w:t>means an Award entitling the recipient to receive shares of Stock (or cash,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72" w:lineRule="exact"/>
        <w:rPr>
          <w:sz w:val="20"/>
          <w:szCs w:val="20"/>
          <w:color w:val="auto"/>
        </w:rPr>
      </w:pPr>
    </w:p>
    <w:p>
      <w:pPr>
        <w:ind w:right="3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any corporation or other entity (other than the Company) in which the Company has at least a 50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 interest, either directly or indirectly.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“Unrestricted Stock Award” </w:t>
      </w:r>
      <w:r>
        <w:rPr>
          <w:rFonts w:ascii="Times New Roman" w:cs="Times New Roman" w:eastAsia="Times New Roman" w:hAnsi="Times New Roman"/>
          <w:sz w:val="22"/>
          <w:szCs w:val="22"/>
          <w:color w:val="auto"/>
        </w:rPr>
        <w:t>means an Award of shares of Stock free of any restrictions.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Section 2.</w:t>
      </w:r>
      <w:r>
        <w:rPr>
          <w:rFonts w:ascii="Times New Roman" w:cs="Times New Roman" w:eastAsia="Times New Roman" w:hAnsi="Times New Roman"/>
          <w:sz w:val="22"/>
          <w:szCs w:val="22"/>
          <w:u w:val="single" w:color="auto"/>
          <w:color w:val="auto"/>
        </w:rPr>
        <w:t>ADMINISTRATION OF PLAN; ADMINISTRATOR AUTHORITY TO SELECT GRANTEES AND DETERMINE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AWARDS</w:t>
      </w:r>
    </w:p>
    <w:p>
      <w:pPr>
        <w:spacing w:after="0" w:line="158"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Plan</w:t>
      </w:r>
      <w:r>
        <w:rPr>
          <w:rFonts w:ascii="Times New Roman" w:cs="Times New Roman" w:eastAsia="Times New Roman" w:hAnsi="Times New Roman"/>
          <w:sz w:val="22"/>
          <w:szCs w:val="22"/>
          <w:color w:val="auto"/>
        </w:rPr>
        <w:t>. The Plan shall be administered by the Administrator.</w:t>
      </w:r>
    </w:p>
    <w:p>
      <w:pPr>
        <w:spacing w:after="0" w:line="206"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the power and authority to grant Awards consistent with the terms of the Plan, including the power and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2" w:name="page163"/>
    <w:bookmarkEnd w:id="162"/>
    <w:p>
      <w:pPr>
        <w:ind w:right="20" w:firstLine="757"/>
        <w:spacing w:after="0" w:line="258"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individuals to whom Awards may from time to time be granted; provided, such individuals are Eligible Employees;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(ii)to determine the time or times of grant, and the extent, if any, of Stock Options, Stock Appreciation Rights, Restricted Stock Awards, Restricted Stock Units, Unrestricted Stock Awards, and Dividend Equivalent Rights, or any combination of the foregoing, granted to any one or more grantees;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(iii)to determine the number of shares of Stock to be covered by any Award;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(iv)to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(v)to accelerate at any time the exercisability or vesting of all or any portion of any Award;</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(vi)subject to the provisions of Section 5(c) or 6(d), to extend at any time the period in which Stock Options or Stock Appreciation Rights, respectively, may be exercised; and</w:t>
      </w:r>
    </w:p>
    <w:p>
      <w:pPr>
        <w:spacing w:after="0" w:line="158"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(vii)at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All decisions and interpretations of the Administrator shall be binding on all persons, including the Company and Plan grantees.</w:t>
      </w:r>
    </w:p>
    <w:p>
      <w:pPr>
        <w:spacing w:after="0" w:line="158" w:lineRule="exact"/>
        <w:rPr>
          <w:sz w:val="20"/>
          <w:szCs w:val="20"/>
          <w:color w:val="auto"/>
        </w:rPr>
      </w:pPr>
    </w:p>
    <w:p>
      <w:pPr>
        <w:jc w:val="both"/>
        <w:ind w:firstLine="8"/>
        <w:spacing w:after="0" w:line="234" w:lineRule="auto"/>
        <w:tabs>
          <w:tab w:leader="none" w:pos="50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of Authority to Grant Awards</w:t>
      </w:r>
      <w:r>
        <w:rPr>
          <w:rFonts w:ascii="Times New Roman" w:cs="Times New Roman" w:eastAsia="Times New Roman" w:hAnsi="Times New Roman"/>
          <w:sz w:val="22"/>
          <w:szCs w:val="22"/>
          <w:color w:val="auto"/>
        </w:rPr>
        <w:t>. Subject to applicable law and the NASDAQ Inducement Exception,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3"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Certificate</w:t>
      </w:r>
      <w:r>
        <w:rPr>
          <w:rFonts w:ascii="Times New Roman" w:cs="Times New Roman" w:eastAsia="Times New Roman" w:hAnsi="Times New Roman"/>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73"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Neither the Board nor the Administrator, nor any member of either or any delegate thereof, shall be liable for any act, omission, interpretation, construction or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ind w:firstLine="509"/>
        <w:spacing w:after="0" w:line="238" w:lineRule="auto"/>
        <w:rPr>
          <w:sz w:val="20"/>
          <w:szCs w:val="20"/>
          <w:color w:val="auto"/>
        </w:rPr>
      </w:pPr>
      <w:r>
        <w:rPr>
          <w:rFonts w:ascii="Times New Roman" w:cs="Times New Roman" w:eastAsia="Times New Roman" w:hAnsi="Times New Roman"/>
          <w:sz w:val="22"/>
          <w:szCs w:val="22"/>
          <w:color w:val="auto"/>
        </w:rPr>
        <w:t>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77" w:lineRule="exact"/>
        <w:rPr>
          <w:sz w:val="20"/>
          <w:szCs w:val="20"/>
          <w:color w:val="auto"/>
        </w:rPr>
      </w:pPr>
    </w:p>
    <w:p>
      <w:pPr>
        <w:jc w:val="both"/>
        <w:ind w:firstLine="8"/>
        <w:spacing w:after="0" w:line="233" w:lineRule="auto"/>
        <w:tabs>
          <w:tab w:leader="none" w:pos="50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Non-U.S. Award Recipients</w:t>
      </w:r>
      <w:r>
        <w:rPr>
          <w:rFonts w:ascii="Times New Roman" w:cs="Times New Roman" w:eastAsia="Times New Roman" w:hAnsi="Times New Roman"/>
          <w:sz w:val="22"/>
          <w:szCs w:val="22"/>
          <w:color w:val="auto"/>
        </w:rPr>
        <w:t>. Notwithstanding any provision of the Plan to the contrary, in order to comply with the laws in other countries in which the Company and its Affiliates operate or have employees eligible for Awards, the Administrator, in its sole discretion, shall have the power and authority to: (i) determine which Affiliates shall be covered by the Plan; (ii) determine which Eligible Employees outside the United States are eligible to participate in the Plan; (iii) modify the terms and conditions of any Award granted to individuals outside the United States to comply with applicable laws; (iv) subject to the NASDAQ Inducement Exception,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the NASDAQ Inducement Exception or any other applicable United States securities law, the Code, or any other applicable United States governing statute or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w:t>
      </w:r>
      <w:r>
        <w:rPr>
          <w:rFonts w:ascii="Times New Roman" w:cs="Times New Roman" w:eastAsia="Times New Roman" w:hAnsi="Times New Roman"/>
          <w:sz w:val="22"/>
          <w:szCs w:val="22"/>
          <w:u w:val="single" w:color="auto"/>
          <w:color w:val="auto"/>
        </w:rPr>
        <w:t>STOCK ISSUABLE UNDER THE PLAN; MERGERS; SUBSTITUTION</w:t>
      </w:r>
    </w:p>
    <w:p>
      <w:pPr>
        <w:spacing w:after="0" w:line="206" w:lineRule="exact"/>
        <w:rPr>
          <w:sz w:val="20"/>
          <w:szCs w:val="20"/>
          <w:color w:val="auto"/>
        </w:rPr>
      </w:pPr>
    </w:p>
    <w:p>
      <w:pPr>
        <w:jc w:val="both"/>
        <w:ind w:firstLine="8"/>
        <w:spacing w:after="0" w:line="233" w:lineRule="auto"/>
        <w:tabs>
          <w:tab w:leader="none" w:pos="50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Issuable</w:t>
      </w:r>
      <w:r>
        <w:rPr>
          <w:rFonts w:ascii="Times New Roman" w:cs="Times New Roman" w:eastAsia="Times New Roman" w:hAnsi="Times New Roman"/>
          <w:sz w:val="22"/>
          <w:szCs w:val="22"/>
          <w:color w:val="auto"/>
        </w:rPr>
        <w:t>. The maximum number of shares of Stock reserved and available for issuance under the Plan shall be 1,000,000 shares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w:t>
      </w:r>
    </w:p>
    <w:p>
      <w:pPr>
        <w:spacing w:after="0" w:line="187"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Stock</w:t>
      </w:r>
      <w:r>
        <w:rPr>
          <w:rFonts w:ascii="Times New Roman" w:cs="Times New Roman" w:eastAsia="Times New Roman" w:hAnsi="Times New Roman"/>
          <w:sz w:val="22"/>
          <w:szCs w:val="22"/>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ind w:firstLine="509"/>
        <w:spacing w:after="0" w:line="233" w:lineRule="auto"/>
        <w:rPr>
          <w:sz w:val="20"/>
          <w:szCs w:val="20"/>
          <w:color w:val="auto"/>
        </w:rPr>
      </w:pPr>
      <w:r>
        <w:rPr>
          <w:rFonts w:ascii="Times New Roman" w:cs="Times New Roman" w:eastAsia="Times New Roman" w:hAnsi="Times New Roman"/>
          <w:sz w:val="22"/>
          <w:szCs w:val="22"/>
          <w:color w:val="auto"/>
        </w:rPr>
        <w:t>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77" w:lineRule="exact"/>
        <w:rPr>
          <w:sz w:val="20"/>
          <w:szCs w:val="20"/>
          <w:color w:val="auto"/>
        </w:rPr>
      </w:pPr>
    </w:p>
    <w:p>
      <w:pPr>
        <w:jc w:val="both"/>
        <w:ind w:firstLine="8"/>
        <w:spacing w:after="0" w:line="232" w:lineRule="auto"/>
        <w:tabs>
          <w:tab w:leader="none" w:pos="50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and Other Transactions</w:t>
      </w:r>
      <w:r>
        <w:rPr>
          <w:rFonts w:ascii="Times New Roman" w:cs="Times New Roman" w:eastAsia="Times New Roman" w:hAnsi="Times New Roman"/>
          <w:sz w:val="22"/>
          <w:szCs w:val="22"/>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22"/>
          <w:szCs w:val="22"/>
          <w:u w:val="single" w:color="auto"/>
          <w:color w:val="auto"/>
        </w:rPr>
        <w:t>ELIGIBILITY</w:t>
      </w:r>
    </w:p>
    <w:p>
      <w:pPr>
        <w:spacing w:after="0" w:line="206"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Grantees under the Plan will be such Eligible Employees as are selected from time to time by the Administrator in its sole discretion.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w:t>
      </w:r>
      <w:r>
        <w:rPr>
          <w:rFonts w:ascii="Times New Roman" w:cs="Times New Roman" w:eastAsia="Times New Roman" w:hAnsi="Times New Roman"/>
          <w:sz w:val="22"/>
          <w:szCs w:val="22"/>
          <w:u w:val="single" w:color="auto"/>
          <w:color w:val="auto"/>
        </w:rPr>
        <w:t>STOCK OPTIONS</w:t>
      </w:r>
    </w:p>
    <w:p>
      <w:pPr>
        <w:spacing w:after="0" w:line="20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21"/>
          <w:szCs w:val="21"/>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35" w:lineRule="exact"/>
        <w:rPr>
          <w:sz w:val="20"/>
          <w:szCs w:val="20"/>
          <w:color w:val="auto"/>
        </w:rPr>
      </w:pPr>
    </w:p>
    <w:p>
      <w:pPr>
        <w:jc w:val="both"/>
        <w:ind w:firstLine="8"/>
        <w:spacing w:after="0" w:line="244" w:lineRule="auto"/>
        <w:tabs>
          <w:tab w:leader="none" w:pos="50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Stock Options</w:t>
      </w:r>
      <w:r>
        <w:rPr>
          <w:rFonts w:ascii="Times New Roman" w:cs="Times New Roman" w:eastAsia="Times New Roman" w:hAnsi="Times New Roman"/>
          <w:sz w:val="22"/>
          <w:szCs w:val="22"/>
          <w:color w:val="auto"/>
        </w:rPr>
        <w:t>. The Administrator may grant Stock Options under the Plan. All Stock Options granted under the Plan shall be non-qualified stock options and are not intended to qualify as “incentive stock options” as defined in Section 422 of the Code.</w:t>
      </w:r>
    </w:p>
    <w:p>
      <w:pPr>
        <w:spacing w:after="0" w:line="173"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for the Stock covered by a Stock Option granted pursuant to this Section 5 shall be determined by the Administrator at the time of grant but shall not be less than 100 percent of the Fair Market Value on the date of grant.</w:t>
      </w:r>
    </w:p>
    <w:p>
      <w:pPr>
        <w:spacing w:after="0" w:line="173"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Stock Option shall be fixed by the Administrator, but no Stock Option shall be exercisable more than ten years after the date the Stock Option is granted.</w:t>
      </w:r>
    </w:p>
    <w:p>
      <w:pPr>
        <w:spacing w:after="0" w:line="158"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Rights of a Stockholder</w:t>
      </w:r>
      <w:r>
        <w:rPr>
          <w:rFonts w:ascii="Times New Roman" w:cs="Times New Roman" w:eastAsia="Times New Roman" w:hAnsi="Times New Roman"/>
          <w:sz w:val="22"/>
          <w:szCs w:val="22"/>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0"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 In cash, by certified or bank check or other instrument acceptable to the Administrator;</w:t>
      </w:r>
    </w:p>
    <w:p>
      <w:pPr>
        <w:spacing w:after="0" w:line="206"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(ii)Through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(iii)By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ind w:firstLine="749"/>
        <w:spacing w:after="0" w:line="282" w:lineRule="auto"/>
        <w:rPr>
          <w:sz w:val="20"/>
          <w:szCs w:val="20"/>
          <w:color w:val="auto"/>
        </w:rPr>
      </w:pPr>
      <w:r>
        <w:rPr>
          <w:rFonts w:ascii="Times New Roman" w:cs="Times New Roman" w:eastAsia="Times New Roman" w:hAnsi="Times New Roman"/>
          <w:sz w:val="21"/>
          <w:szCs w:val="21"/>
          <w:color w:val="auto"/>
        </w:rPr>
        <w:t>(iv)By a “net exercise” arrangement pursuant to which the Company will reduce the number of shares of Stock issuable upon exercise by the largest whole number of shares with a Fair Market Value that does not exceed the aggregate exercise price.</w:t>
      </w:r>
    </w:p>
    <w:p>
      <w:pPr>
        <w:spacing w:after="0" w:line="135"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1"/>
          <w:szCs w:val="21"/>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w:t>
      </w:r>
      <w:r>
        <w:rPr>
          <w:rFonts w:ascii="Times New Roman" w:cs="Times New Roman" w:eastAsia="Times New Roman" w:hAnsi="Times New Roman"/>
          <w:sz w:val="22"/>
          <w:szCs w:val="22"/>
          <w:u w:val="single" w:color="auto"/>
          <w:color w:val="auto"/>
        </w:rPr>
        <w:t>STOCK APPRECIATION RIGHTS</w:t>
      </w:r>
    </w:p>
    <w:p>
      <w:pPr>
        <w:spacing w:after="0" w:line="206" w:lineRule="exact"/>
        <w:rPr>
          <w:sz w:val="20"/>
          <w:szCs w:val="20"/>
          <w:color w:val="auto"/>
        </w:rPr>
      </w:pPr>
    </w:p>
    <w:p>
      <w:pPr>
        <w:jc w:val="both"/>
        <w:ind w:firstLine="8"/>
        <w:spacing w:after="0" w:line="238" w:lineRule="auto"/>
        <w:tabs>
          <w:tab w:leader="none" w:pos="50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Stock Appreciation Rights</w:t>
      </w:r>
      <w:r>
        <w:rPr>
          <w:rFonts w:ascii="Times New Roman" w:cs="Times New Roman" w:eastAsia="Times New Roman" w:hAnsi="Times New Roman"/>
          <w:sz w:val="22"/>
          <w:szCs w:val="22"/>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6" w:lineRule="exact"/>
        <w:rPr>
          <w:rFonts w:ascii="Times New Roman" w:cs="Times New Roman" w:eastAsia="Times New Roman" w:hAnsi="Times New Roman"/>
          <w:sz w:val="22"/>
          <w:szCs w:val="22"/>
          <w:color w:val="auto"/>
        </w:rPr>
      </w:pPr>
    </w:p>
    <w:p>
      <w:pPr>
        <w:jc w:val="both"/>
        <w:ind w:firstLine="8"/>
        <w:spacing w:after="0" w:line="251" w:lineRule="auto"/>
        <w:tabs>
          <w:tab w:leader="none" w:pos="50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 of Stock Appreciation Rights</w:t>
      </w:r>
      <w:r>
        <w:rPr>
          <w:rFonts w:ascii="Times New Roman" w:cs="Times New Roman" w:eastAsia="Times New Roman" w:hAnsi="Times New Roman"/>
          <w:sz w:val="21"/>
          <w:szCs w:val="21"/>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168" w:lineRule="exact"/>
        <w:rPr>
          <w:rFonts w:ascii="Times New Roman" w:cs="Times New Roman" w:eastAsia="Times New Roman" w:hAnsi="Times New Roman"/>
          <w:sz w:val="21"/>
          <w:szCs w:val="21"/>
          <w:color w:val="auto"/>
        </w:rPr>
      </w:pPr>
    </w:p>
    <w:p>
      <w:pPr>
        <w:ind w:right="20" w:firstLine="8"/>
        <w:spacing w:after="0" w:line="258" w:lineRule="auto"/>
        <w:tabs>
          <w:tab w:leader="none" w:pos="50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and Exercise of Stock Appreciation Rights</w:t>
      </w:r>
      <w:r>
        <w:rPr>
          <w:rFonts w:ascii="Times New Roman" w:cs="Times New Roman" w:eastAsia="Times New Roman" w:hAnsi="Times New Roman"/>
          <w:sz w:val="22"/>
          <w:szCs w:val="22"/>
          <w:color w:val="auto"/>
        </w:rPr>
        <w:t>. Stock Appreciation Rights may be granted by the Administrator independently of any Stock Option granted pursuant to Section 5 of the Plan.</w:t>
      </w:r>
    </w:p>
    <w:p>
      <w:pPr>
        <w:spacing w:after="0" w:line="158"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Stock Appreciation Rights</w:t>
      </w:r>
      <w:r>
        <w:rPr>
          <w:rFonts w:ascii="Times New Roman" w:cs="Times New Roman" w:eastAsia="Times New Roman" w:hAnsi="Times New Roman"/>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Section 7.</w:t>
      </w:r>
      <w:r>
        <w:rPr>
          <w:rFonts w:ascii="Times New Roman" w:cs="Times New Roman" w:eastAsia="Times New Roman" w:hAnsi="Times New Roman"/>
          <w:sz w:val="22"/>
          <w:szCs w:val="22"/>
          <w:u w:val="single" w:color="auto"/>
          <w:color w:val="auto"/>
        </w:rPr>
        <w:t>RESTRICTED STOCK AWARDS</w:t>
      </w:r>
    </w:p>
    <w:p>
      <w:pPr>
        <w:spacing w:after="0" w:line="206" w:lineRule="exact"/>
        <w:rPr>
          <w:sz w:val="20"/>
          <w:szCs w:val="20"/>
          <w:color w:val="auto"/>
        </w:rPr>
      </w:pPr>
    </w:p>
    <w:p>
      <w:pPr>
        <w:jc w:val="both"/>
        <w:ind w:firstLine="8"/>
        <w:spacing w:after="0" w:line="239" w:lineRule="auto"/>
        <w:tabs>
          <w:tab w:leader="none" w:pos="50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Awards</w:t>
      </w:r>
      <w:r>
        <w:rPr>
          <w:rFonts w:ascii="Times New Roman" w:cs="Times New Roman" w:eastAsia="Times New Roman" w:hAnsi="Times New Roman"/>
          <w:sz w:val="22"/>
          <w:szCs w:val="22"/>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80"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during the vesting period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6" w:lineRule="exact"/>
        <w:rPr>
          <w:rFonts w:ascii="Times New Roman" w:cs="Times New Roman" w:eastAsia="Times New Roman" w:hAnsi="Times New Roman"/>
          <w:sz w:val="21"/>
          <w:szCs w:val="21"/>
          <w:color w:val="auto"/>
        </w:rPr>
      </w:pPr>
    </w:p>
    <w:p>
      <w:pPr>
        <w:jc w:val="both"/>
        <w:ind w:firstLine="8"/>
        <w:spacing w:after="0" w:line="235" w:lineRule="auto"/>
        <w:tabs>
          <w:tab w:leader="none" w:pos="35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77" w:lineRule="exact"/>
        <w:rPr>
          <w:rFonts w:ascii="Times New Roman" w:cs="Times New Roman" w:eastAsia="Times New Roman" w:hAnsi="Times New Roman"/>
          <w:sz w:val="22"/>
          <w:szCs w:val="22"/>
          <w:color w:val="auto"/>
        </w:rPr>
      </w:pPr>
    </w:p>
    <w:p>
      <w:pPr>
        <w:jc w:val="both"/>
        <w:ind w:firstLine="8"/>
        <w:spacing w:after="0" w:line="234" w:lineRule="auto"/>
        <w:tabs>
          <w:tab w:leader="none" w:pos="50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79" w:lineRule="exact"/>
        <w:rPr>
          <w:rFonts w:ascii="Times New Roman" w:cs="Times New Roman" w:eastAsia="Times New Roman" w:hAnsi="Times New Roman"/>
          <w:sz w:val="22"/>
          <w:szCs w:val="22"/>
          <w:color w:val="auto"/>
        </w:rPr>
      </w:pPr>
    </w:p>
    <w:p>
      <w:pPr>
        <w:jc w:val="both"/>
        <w:ind w:firstLine="8"/>
        <w:spacing w:after="0" w:line="238" w:lineRule="auto"/>
        <w:tabs>
          <w:tab w:leader="none" w:pos="50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Shares</w:t>
      </w:r>
      <w:r>
        <w:rPr>
          <w:rFonts w:ascii="Times New Roman" w:cs="Times New Roman" w:eastAsia="Times New Roman" w:hAnsi="Times New Roman"/>
          <w:sz w:val="22"/>
          <w:szCs w:val="22"/>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w:t>
      </w:r>
      <w:r>
        <w:rPr>
          <w:rFonts w:ascii="Times New Roman" w:cs="Times New Roman" w:eastAsia="Times New Roman" w:hAnsi="Times New Roman"/>
          <w:sz w:val="22"/>
          <w:szCs w:val="22"/>
          <w:u w:val="single" w:color="auto"/>
          <w:color w:val="auto"/>
        </w:rPr>
        <w:t>RESTRICTED STOCK UNITS</w:t>
      </w:r>
    </w:p>
    <w:p>
      <w:pPr>
        <w:spacing w:after="0" w:line="206" w:lineRule="exact"/>
        <w:rPr>
          <w:sz w:val="20"/>
          <w:szCs w:val="20"/>
          <w:color w:val="auto"/>
        </w:rPr>
      </w:pPr>
    </w:p>
    <w:p>
      <w:pPr>
        <w:ind w:firstLine="8"/>
        <w:spacing w:after="0" w:line="258" w:lineRule="auto"/>
        <w:tabs>
          <w:tab w:leader="none" w:pos="50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Units</w:t>
      </w:r>
      <w:r>
        <w:rPr>
          <w:rFonts w:ascii="Times New Roman" w:cs="Times New Roman" w:eastAsia="Times New Roman" w:hAnsi="Times New Roman"/>
          <w:sz w:val="22"/>
          <w:szCs w:val="22"/>
          <w:color w:val="auto"/>
        </w:rPr>
        <w:t>. The Administrator may grant Restricted Stock Units under the Plan. A Restricted Stock Unit is an Award of stock units that may be settled in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83"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r>
        <w:rPr>
          <w:rFonts w:ascii="Times New Roman" w:cs="Times New Roman" w:eastAsia="Times New Roman" w:hAnsi="Times New Roman"/>
          <w:sz w:val="22"/>
          <w:szCs w:val="22"/>
          <w:u w:val="single" w:color="auto"/>
          <w:color w:val="auto"/>
        </w:rPr>
        <w:t>]</w:t>
      </w:r>
    </w:p>
    <w:p>
      <w:pPr>
        <w:spacing w:after="0" w:line="206"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80"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w:t>
      </w:r>
      <w:r>
        <w:rPr>
          <w:rFonts w:ascii="Times New Roman" w:cs="Times New Roman" w:eastAsia="Times New Roman" w:hAnsi="Times New Roman"/>
          <w:sz w:val="22"/>
          <w:szCs w:val="22"/>
          <w:u w:val="single" w:color="auto"/>
          <w:color w:val="auto"/>
        </w:rPr>
        <w:t>UNRESTRICTED STOCK AWARDS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u w:val="single" w:color="auto"/>
          <w:color w:val="auto"/>
        </w:rPr>
        <w:t>Grant or Sale of Unrestricted Stock</w:t>
      </w:r>
      <w:r>
        <w:rPr>
          <w:rFonts w:ascii="Times New Roman" w:cs="Times New Roman" w:eastAsia="Times New Roman" w:hAnsi="Times New Roman"/>
          <w:sz w:val="22"/>
          <w:szCs w:val="22"/>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10.[RESERVED]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22"/>
          <w:szCs w:val="22"/>
          <w:u w:val="single" w:color="auto"/>
          <w:color w:val="auto"/>
        </w:rPr>
        <w:t>DIVIDEND EQUIVALENT RIGHTS</w:t>
      </w:r>
    </w:p>
    <w:p>
      <w:pPr>
        <w:spacing w:after="0" w:line="206" w:lineRule="exact"/>
        <w:rPr>
          <w:sz w:val="20"/>
          <w:szCs w:val="20"/>
          <w:color w:val="auto"/>
        </w:rPr>
      </w:pPr>
    </w:p>
    <w:p>
      <w:pPr>
        <w:jc w:val="both"/>
        <w:ind w:firstLine="8"/>
        <w:spacing w:after="0" w:line="234" w:lineRule="auto"/>
        <w:tabs>
          <w:tab w:leader="none" w:pos="50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ind w:firstLine="509"/>
        <w:spacing w:after="0" w:line="255" w:lineRule="auto"/>
        <w:rPr>
          <w:sz w:val="20"/>
          <w:szCs w:val="20"/>
          <w:color w:val="auto"/>
        </w:rPr>
      </w:pPr>
      <w:r>
        <w:rPr>
          <w:rFonts w:ascii="Times New Roman" w:cs="Times New Roman" w:eastAsia="Times New Roman" w:hAnsi="Times New Roman"/>
          <w:sz w:val="21"/>
          <w:szCs w:val="21"/>
          <w:color w:val="auto"/>
        </w:rPr>
        <w:t>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62" w:lineRule="exact"/>
        <w:rPr>
          <w:sz w:val="20"/>
          <w:szCs w:val="20"/>
          <w:color w:val="auto"/>
        </w:rPr>
      </w:pPr>
    </w:p>
    <w:p>
      <w:pPr>
        <w:jc w:val="both"/>
        <w:ind w:firstLine="8"/>
        <w:spacing w:after="0" w:line="239" w:lineRule="auto"/>
        <w:tabs>
          <w:tab w:leader="none" w:pos="50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w:t>
      </w:r>
      <w:r>
        <w:rPr>
          <w:rFonts w:ascii="Times New Roman" w:cs="Times New Roman" w:eastAsia="Times New Roman" w:hAnsi="Times New Roman"/>
          <w:sz w:val="22"/>
          <w:szCs w:val="22"/>
          <w:u w:val="single" w:color="auto"/>
          <w:color w:val="auto"/>
        </w:rPr>
        <w:t>TRANSFERABILITY OF AWARDS</w:t>
      </w:r>
    </w:p>
    <w:p>
      <w:pPr>
        <w:spacing w:after="0" w:line="206" w:lineRule="exact"/>
        <w:rPr>
          <w:sz w:val="20"/>
          <w:szCs w:val="20"/>
          <w:color w:val="auto"/>
        </w:rPr>
      </w:pPr>
    </w:p>
    <w:p>
      <w:pPr>
        <w:jc w:val="both"/>
        <w:ind w:firstLine="8"/>
        <w:spacing w:after="0" w:line="236" w:lineRule="auto"/>
        <w:tabs>
          <w:tab w:leader="none" w:pos="50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Section 12(b) below or otherwise determined by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1" w:lineRule="exact"/>
        <w:rPr>
          <w:rFonts w:ascii="Times New Roman" w:cs="Times New Roman" w:eastAsia="Times New Roman" w:hAnsi="Times New Roman"/>
          <w:sz w:val="22"/>
          <w:szCs w:val="22"/>
          <w:color w:val="auto"/>
        </w:rPr>
      </w:pPr>
    </w:p>
    <w:p>
      <w:pPr>
        <w:jc w:val="both"/>
        <w:ind w:firstLine="8"/>
        <w:spacing w:after="0" w:line="236" w:lineRule="auto"/>
        <w:tabs>
          <w:tab w:leader="none" w:pos="50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Action</w:t>
      </w:r>
      <w:r>
        <w:rPr>
          <w:rFonts w:ascii="Times New Roman" w:cs="Times New Roman" w:eastAsia="Times New Roman" w:hAnsi="Times New Roman"/>
          <w:sz w:val="22"/>
          <w:szCs w:val="22"/>
          <w:color w:val="auto"/>
        </w:rPr>
        <w:t>. Notwithstanding Section 12(a), the Administrator, in its discretion, may provide either in the Award Certificate regarding a given Award or by subsequent written approval that the grantee (who is an employee) may transfer his or her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Certificate. In no event may an Award be transferred by a grantee for value.</w:t>
      </w:r>
    </w:p>
    <w:p>
      <w:pPr>
        <w:spacing w:after="0" w:line="181" w:lineRule="exact"/>
        <w:rPr>
          <w:rFonts w:ascii="Times New Roman" w:cs="Times New Roman" w:eastAsia="Times New Roman" w:hAnsi="Times New Roman"/>
          <w:sz w:val="22"/>
          <w:szCs w:val="22"/>
          <w:color w:val="auto"/>
        </w:rPr>
      </w:pPr>
    </w:p>
    <w:p>
      <w:pPr>
        <w:jc w:val="both"/>
        <w:ind w:firstLine="8"/>
        <w:spacing w:after="0" w:line="236" w:lineRule="auto"/>
        <w:tabs>
          <w:tab w:leader="none" w:pos="50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81" w:lineRule="exact"/>
        <w:rPr>
          <w:rFonts w:ascii="Times New Roman" w:cs="Times New Roman" w:eastAsia="Times New Roman" w:hAnsi="Times New Roman"/>
          <w:sz w:val="22"/>
          <w:szCs w:val="22"/>
          <w:color w:val="auto"/>
        </w:rPr>
      </w:pPr>
    </w:p>
    <w:p>
      <w:pPr>
        <w:jc w:val="both"/>
        <w:ind w:firstLine="8"/>
        <w:spacing w:after="0" w:line="236" w:lineRule="auto"/>
        <w:tabs>
          <w:tab w:leader="none" w:pos="50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color w:val="auto"/>
        </w:rPr>
        <w:t>Section 13.</w:t>
      </w:r>
      <w:r>
        <w:rPr>
          <w:rFonts w:ascii="Times New Roman" w:cs="Times New Roman" w:eastAsia="Times New Roman" w:hAnsi="Times New Roman"/>
          <w:sz w:val="22"/>
          <w:szCs w:val="22"/>
          <w:u w:val="single" w:color="auto"/>
          <w:color w:val="auto"/>
        </w:rPr>
        <w:t>TAX WITHHOLDING</w:t>
      </w:r>
    </w:p>
    <w:p>
      <w:pPr>
        <w:spacing w:after="0" w:line="206" w:lineRule="exact"/>
        <w:rPr>
          <w:sz w:val="20"/>
          <w:szCs w:val="20"/>
          <w:color w:val="auto"/>
        </w:rPr>
      </w:pPr>
    </w:p>
    <w:p>
      <w:pPr>
        <w:jc w:val="both"/>
        <w:ind w:firstLine="8"/>
        <w:spacing w:after="0" w:line="247" w:lineRule="auto"/>
        <w:tabs>
          <w:tab w:leader="none" w:pos="509"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by Grantee</w:t>
      </w:r>
      <w:r>
        <w:rPr>
          <w:rFonts w:ascii="Times New Roman" w:cs="Times New Roman" w:eastAsia="Times New Roman" w:hAnsi="Times New Roman"/>
          <w:sz w:val="21"/>
          <w:szCs w:val="21"/>
          <w:color w:val="auto"/>
        </w:rPr>
        <w:t>. Each grantee shall, no later than the date as of which the value of an Award or of any Stock or other amount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 The Company’s obligation to deliver evidence of book entry (or stock certificates) to any grantee is subject to and conditioned on tax withholding obligations being satisfied by the grantee.</w:t>
      </w:r>
    </w:p>
    <w:p>
      <w:pPr>
        <w:spacing w:after="0" w:line="171" w:lineRule="exact"/>
        <w:rPr>
          <w:rFonts w:ascii="Times New Roman" w:cs="Times New Roman" w:eastAsia="Times New Roman" w:hAnsi="Times New Roman"/>
          <w:sz w:val="21"/>
          <w:szCs w:val="21"/>
          <w:color w:val="auto"/>
        </w:rPr>
      </w:pPr>
    </w:p>
    <w:p>
      <w:pPr>
        <w:jc w:val="both"/>
        <w:ind w:firstLine="8"/>
        <w:spacing w:after="0" w:line="234" w:lineRule="auto"/>
        <w:tabs>
          <w:tab w:leader="none" w:pos="50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 Stock</w:t>
      </w:r>
      <w:r>
        <w:rPr>
          <w:rFonts w:ascii="Times New Roman" w:cs="Times New Roman" w:eastAsia="Times New Roman" w:hAnsi="Times New Roman"/>
          <w:sz w:val="22"/>
          <w:szCs w:val="22"/>
          <w:color w:val="auto"/>
        </w:rPr>
        <w:t>.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14.</w:t>
      </w:r>
      <w:r>
        <w:rPr>
          <w:rFonts w:ascii="Times New Roman" w:cs="Times New Roman" w:eastAsia="Times New Roman" w:hAnsi="Times New Roman"/>
          <w:sz w:val="22"/>
          <w:szCs w:val="22"/>
          <w:u w:val="single" w:color="auto"/>
          <w:color w:val="auto"/>
        </w:rPr>
        <w:t>SECTION 409A AWARDS</w:t>
      </w:r>
    </w:p>
    <w:p>
      <w:pPr>
        <w:spacing w:after="0" w:line="20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Section 15.</w:t>
      </w:r>
      <w:r>
        <w:rPr>
          <w:rFonts w:ascii="Times New Roman" w:cs="Times New Roman" w:eastAsia="Times New Roman" w:hAnsi="Times New Roman"/>
          <w:sz w:val="22"/>
          <w:szCs w:val="22"/>
          <w:u w:val="single" w:color="auto"/>
          <w:color w:val="auto"/>
        </w:rPr>
        <w:t>TERMINATION OF SERVICE RELATIONSHIP, TRANSFER, LEAVE OF ABSENCE, ETC.</w:t>
      </w:r>
    </w:p>
    <w:p>
      <w:pPr>
        <w:spacing w:after="0" w:line="206" w:lineRule="exact"/>
        <w:rPr>
          <w:sz w:val="20"/>
          <w:szCs w:val="20"/>
          <w:color w:val="auto"/>
        </w:rPr>
      </w:pPr>
    </w:p>
    <w:p>
      <w:pPr>
        <w:ind w:firstLine="8"/>
        <w:spacing w:after="0" w:line="258" w:lineRule="auto"/>
        <w:tabs>
          <w:tab w:leader="none" w:pos="50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Service Relationship is with an Affiliate and such Affiliate ceases to be an Affiliate, the grantee shall be deemed to have terminated his or her Service Relationship for purposes of the Plan.</w:t>
      </w:r>
    </w:p>
    <w:p>
      <w:pPr>
        <w:spacing w:after="0" w:line="15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Plan, the following events shall not be deemed a termination of a Service Relationship:</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the Service Relationship of the Company from an Affiliate or from the Company to an Affiliate, or from one Affiliate to another; or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(ii)an approved leave of absence, if the employee’s right to re-employment is guaranteed either by a statute or by contract or under the policy pursuant to which the leave of absence was granted or if the Administrator otherwise so provides in writing.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16.</w:t>
      </w:r>
      <w:r>
        <w:rPr>
          <w:rFonts w:ascii="Times New Roman" w:cs="Times New Roman" w:eastAsia="Times New Roman" w:hAnsi="Times New Roman"/>
          <w:sz w:val="22"/>
          <w:szCs w:val="22"/>
          <w:u w:val="single" w:color="auto"/>
          <w:color w:val="auto"/>
        </w:rPr>
        <w:t>AMENDMENTS AND TERMINATION</w:t>
      </w:r>
    </w:p>
    <w:p>
      <w:pPr>
        <w:spacing w:after="0" w:line="206"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other Awards. Nothing in this Section 16 shall limit the Administrator’s authority to take any action permitted pursuant to Section 3(b) or 3(c).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17.</w:t>
      </w:r>
      <w:r>
        <w:rPr>
          <w:rFonts w:ascii="Times New Roman" w:cs="Times New Roman" w:eastAsia="Times New Roman" w:hAnsi="Times New Roman"/>
          <w:sz w:val="22"/>
          <w:szCs w:val="22"/>
          <w:u w:val="single" w:color="auto"/>
          <w:color w:val="auto"/>
        </w:rPr>
        <w:t>STATUS OF PLAN</w:t>
      </w:r>
    </w:p>
    <w:p>
      <w:pPr>
        <w:spacing w:after="0" w:line="206"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18.</w:t>
      </w:r>
      <w:r>
        <w:rPr>
          <w:rFonts w:ascii="Times New Roman" w:cs="Times New Roman" w:eastAsia="Times New Roman" w:hAnsi="Times New Roman"/>
          <w:sz w:val="22"/>
          <w:szCs w:val="22"/>
          <w:u w:val="single" w:color="auto"/>
          <w:color w:val="auto"/>
        </w:rPr>
        <w:t>GENERAL PROVISIONS</w:t>
      </w:r>
    </w:p>
    <w:p>
      <w:pPr>
        <w:spacing w:after="0" w:line="206" w:lineRule="exact"/>
        <w:rPr>
          <w:sz w:val="20"/>
          <w:szCs w:val="20"/>
          <w:color w:val="auto"/>
        </w:rPr>
      </w:pPr>
    </w:p>
    <w:p>
      <w:pPr>
        <w:ind w:firstLine="8"/>
        <w:spacing w:after="0" w:line="258" w:lineRule="auto"/>
        <w:tabs>
          <w:tab w:leader="none" w:pos="50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Distribution</w:t>
      </w:r>
      <w:r>
        <w:rPr>
          <w:rFonts w:ascii="Times New Roman" w:cs="Times New Roman" w:eastAsia="Times New Roman" w:hAnsi="Times New Roman"/>
          <w:sz w:val="22"/>
          <w:szCs w:val="22"/>
          <w:color w:val="auto"/>
        </w:rPr>
        <w:t>. The Administrator may require each person acquiring Stock pursuant to an Award to represent to and agree with the Company in writing that such person is acquiring the shares without a view to distribution thereof.</w:t>
      </w:r>
    </w:p>
    <w:p>
      <w:pPr>
        <w:spacing w:after="0" w:line="158"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Stock</w:t>
      </w:r>
      <w:r>
        <w:rPr>
          <w:rFonts w:ascii="Times New Roman" w:cs="Times New Roman" w:eastAsia="Times New Roman" w:hAnsi="Times New Roman"/>
          <w:sz w:val="22"/>
          <w:szCs w:val="22"/>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jc w:val="both"/>
        <w:ind w:firstLine="509"/>
        <w:spacing w:after="0" w:line="244" w:lineRule="auto"/>
        <w:rPr>
          <w:sz w:val="20"/>
          <w:szCs w:val="20"/>
          <w:color w:val="auto"/>
        </w:rPr>
      </w:pPr>
      <w:r>
        <w:rPr>
          <w:rFonts w:ascii="Times New Roman" w:cs="Times New Roman" w:eastAsia="Times New Roman" w:hAnsi="Times New Roman"/>
          <w:sz w:val="21"/>
          <w:szCs w:val="21"/>
          <w:color w:val="auto"/>
        </w:rPr>
        <w:t>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3" w:lineRule="exact"/>
        <w:rPr>
          <w:sz w:val="20"/>
          <w:szCs w:val="20"/>
          <w:color w:val="auto"/>
        </w:rPr>
      </w:pPr>
    </w:p>
    <w:p>
      <w:pPr>
        <w:jc w:val="both"/>
        <w:ind w:firstLine="8"/>
        <w:spacing w:after="0" w:line="244" w:lineRule="auto"/>
        <w:tabs>
          <w:tab w:leader="none" w:pos="50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3"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Incentive Arrangements; No Rights to Continued Service Relationship</w:t>
      </w:r>
      <w:r>
        <w:rPr>
          <w:rFonts w:ascii="Times New Roman" w:cs="Times New Roman" w:eastAsia="Times New Roman" w:hAnsi="Times New Roman"/>
          <w:sz w:val="22"/>
          <w:szCs w:val="22"/>
          <w:color w:val="auto"/>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spacing w:after="0" w:line="180"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Policy Restrictions</w:t>
      </w:r>
      <w:r>
        <w:rPr>
          <w:rFonts w:ascii="Times New Roman" w:cs="Times New Roman" w:eastAsia="Times New Roman" w:hAnsi="Times New Roman"/>
          <w:sz w:val="22"/>
          <w:szCs w:val="22"/>
          <w:color w:val="auto"/>
        </w:rPr>
        <w:t>. Option exercises and other Awards under the Plan shall be subject to the Company’s insider trading policies and procedures, as in effect from time to time.</w:t>
      </w:r>
    </w:p>
    <w:p>
      <w:pPr>
        <w:spacing w:after="0" w:line="158" w:lineRule="exact"/>
        <w:rPr>
          <w:rFonts w:ascii="Times New Roman" w:cs="Times New Roman" w:eastAsia="Times New Roman" w:hAnsi="Times New Roman"/>
          <w:sz w:val="22"/>
          <w:szCs w:val="22"/>
          <w:color w:val="auto"/>
        </w:rPr>
      </w:pPr>
    </w:p>
    <w:p>
      <w:pPr>
        <w:ind w:right="60" w:firstLine="8"/>
        <w:spacing w:after="0" w:line="435" w:lineRule="auto"/>
        <w:tabs>
          <w:tab w:leader="none" w:pos="50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Awards under the Plan shall be subject to the Company’s clawback policy, as in effect from time to time. Section 19.</w:t>
      </w:r>
      <w:r>
        <w:rPr>
          <w:rFonts w:ascii="Times New Roman" w:cs="Times New Roman" w:eastAsia="Times New Roman" w:hAnsi="Times New Roman"/>
          <w:sz w:val="22"/>
          <w:szCs w:val="22"/>
          <w:u w:val="single" w:color="auto"/>
          <w:color w:val="auto"/>
        </w:rPr>
        <w:t>EFFECTIVE DATE OF PLAN</w:t>
      </w: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become effective immediately upon approval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color w:val="auto"/>
        </w:rPr>
        <w:t>Section 20.</w:t>
      </w:r>
      <w:r>
        <w:rPr>
          <w:rFonts w:ascii="Times New Roman" w:cs="Times New Roman" w:eastAsia="Times New Roman" w:hAnsi="Times New Roman"/>
          <w:sz w:val="22"/>
          <w:szCs w:val="22"/>
          <w:u w:val="single" w:color="auto"/>
          <w:color w:val="auto"/>
        </w:rPr>
        <w:t>GOVERNING LAW</w:t>
      </w:r>
    </w:p>
    <w:p>
      <w:pPr>
        <w:spacing w:after="0" w:line="20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APPROVED BY BOARD OF DIRECTORS: December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1318260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08" w:right="679" w:bottom="1440" w:gutter="0" w:footer="0" w:header="0"/>
        </w:sectPr>
      </w:pPr>
    </w:p>
    <w:bookmarkStart w:id="174" w:name="page175"/>
    <w:bookmarkEnd w:id="174"/>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UNDER THE CANDEL THERAPEUTICS, INC. 2025 INDUCEMENT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Option Shares:</w:t>
      </w:r>
    </w:p>
    <w:p>
      <w:pPr>
        <w:sectPr>
          <w:pgSz w:w="11900" w:h="16838" w:orient="portrait"/>
          <w:cols w:equalWidth="0" w:num="1">
            <w:col w:w="11160"/>
          </w:cols>
          <w:pgMar w:left="320" w:top="1404" w:right="41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 Exercise Price per Share: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[FMV on Grant Date]</w:t>
      </w:r>
    </w:p>
    <w:p>
      <w:pPr>
        <w:spacing w:after="0" w:line="194" w:lineRule="exact"/>
        <w:rPr>
          <w:sz w:val="20"/>
          <w:szCs w:val="20"/>
          <w:color w:val="auto"/>
        </w:rPr>
      </w:pPr>
    </w:p>
    <w:p>
      <w:pPr>
        <w:sectPr>
          <w:pgSz w:w="11900" w:h="16838" w:orient="portrait"/>
          <w:cols w:equalWidth="0" w:num="2">
            <w:col w:w="3600" w:space="720"/>
            <w:col w:w="6840"/>
          </w:cols>
          <w:pgMar w:left="320" w:top="1404" w:right="4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Grant Date:</w:t>
      </w:r>
    </w:p>
    <w:p>
      <w:pPr>
        <w:sectPr>
          <w:pgSz w:w="11900" w:h="16838" w:orient="portrait"/>
          <w:cols w:equalWidth="0" w:num="1">
            <w:col w:w="11160"/>
          </w:cols>
          <w:pgMar w:left="320" w:top="1404" w:right="41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 more than 10 years]</w:t>
      </w:r>
    </w:p>
    <w:p>
      <w:pPr>
        <w:spacing w:after="0" w:line="204" w:lineRule="exact"/>
        <w:rPr>
          <w:sz w:val="20"/>
          <w:szCs w:val="20"/>
          <w:color w:val="auto"/>
        </w:rPr>
      </w:pPr>
    </w:p>
    <w:p>
      <w:pPr>
        <w:sectPr>
          <w:pgSz w:w="11900" w:h="16838" w:orient="portrait"/>
          <w:cols w:equalWidth="0" w:num="2">
            <w:col w:w="3600" w:space="720"/>
            <w:col w:w="6840"/>
          </w:cols>
          <w:pgMar w:left="320" w:top="1404" w:right="419" w:bottom="1440" w:gutter="0" w:footer="0" w:header="0"/>
          <w:type w:val="continuous"/>
        </w:sectPr>
      </w:pPr>
    </w:p>
    <w:p>
      <w:pPr>
        <w:spacing w:after="0" w:line="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Pursuant to the Candel Therapeutics, Inc. 2025 Inducement Plan, as amended through the date hereof (the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Candel Therapeutics, Inc. (the “Company”) hereby grants to the Optionee named above an option (the “Stock Option”) to</w:t>
      </w:r>
    </w:p>
    <w:p>
      <w:pPr>
        <w:spacing w:after="0" w:line="230" w:lineRule="auto"/>
        <w:rPr>
          <w:sz w:val="20"/>
          <w:szCs w:val="20"/>
          <w:color w:val="auto"/>
        </w:rPr>
      </w:pPr>
      <w:r>
        <w:rPr>
          <w:rFonts w:ascii="Times New Roman" w:cs="Times New Roman" w:eastAsia="Times New Roman" w:hAnsi="Times New Roman"/>
          <w:sz w:val="22"/>
          <w:szCs w:val="22"/>
          <w:color w:val="auto"/>
        </w:rPr>
        <w:t>purchase on or prior to the Expiration Date specified above all or part of the number of shares of Common Stock, par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$0.0001 per share (the “Stock”), of the Company specified above at the Option Exercise Price per Share specified above subject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the terms and conditions set forth herein and in the Plan. For the avoidance of doubt, this Stock Option is not issued under the</w:t>
      </w:r>
    </w:p>
    <w:p>
      <w:pPr>
        <w:spacing w:after="0" w:line="231" w:lineRule="auto"/>
        <w:rPr>
          <w:sz w:val="20"/>
          <w:szCs w:val="20"/>
          <w:color w:val="auto"/>
        </w:rPr>
      </w:pPr>
      <w:r>
        <w:rPr>
          <w:rFonts w:ascii="Times New Roman" w:cs="Times New Roman" w:eastAsia="Times New Roman" w:hAnsi="Times New Roman"/>
          <w:sz w:val="22"/>
          <w:szCs w:val="22"/>
          <w:color w:val="auto"/>
        </w:rPr>
        <w:t>Company’s 2021 Stock Option and Incentive Plan, as amended from time to time, and does not reduce the share reserve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equity plan. This Stock Option has been granted as an inducement pursuant to Rule 5635(c)(4) of the Marketplace Rules of</w:t>
      </w:r>
    </w:p>
    <w:p>
      <w:pPr>
        <w:spacing w:after="0" w:line="231" w:lineRule="auto"/>
        <w:rPr>
          <w:sz w:val="20"/>
          <w:szCs w:val="20"/>
          <w:color w:val="auto"/>
        </w:rPr>
      </w:pPr>
      <w:r>
        <w:rPr>
          <w:rFonts w:ascii="Times New Roman" w:cs="Times New Roman" w:eastAsia="Times New Roman" w:hAnsi="Times New Roman"/>
          <w:sz w:val="22"/>
          <w:szCs w:val="22"/>
          <w:color w:val="auto"/>
        </w:rPr>
        <w:t>The Nasdaq Stock Market LLC. This Stock Option is not intended to be an “incentive stock option” under Section 422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 Revenue Code of 1986, as amended.</w:t>
      </w:r>
    </w:p>
    <w:p>
      <w:pPr>
        <w:spacing w:after="0" w:line="182" w:lineRule="exact"/>
        <w:rPr>
          <w:sz w:val="20"/>
          <w:szCs w:val="20"/>
          <w:color w:val="auto"/>
        </w:rPr>
      </w:pPr>
    </w:p>
    <w:p>
      <w:pPr>
        <w:ind w:firstLine="8"/>
        <w:spacing w:after="0" w:line="255" w:lineRule="auto"/>
        <w:tabs>
          <w:tab w:leader="none" w:pos="21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 Schedule</w:t>
      </w:r>
      <w:r>
        <w:rPr>
          <w:rFonts w:ascii="Times New Roman" w:cs="Times New Roman" w:eastAsia="Times New Roman" w:hAnsi="Times New Roman"/>
          <w:sz w:val="21"/>
          <w:szCs w:val="21"/>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66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Incremental Number of</w:t>
            </w:r>
          </w:p>
        </w:tc>
        <w:tc>
          <w:tcPr>
            <w:tcW w:w="21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Exercisability Date</w:t>
            </w:r>
          </w:p>
        </w:tc>
      </w:tr>
      <w:tr>
        <w:trPr>
          <w:trHeight w:val="281"/>
        </w:trPr>
        <w:tc>
          <w:tcPr>
            <w:tcW w:w="6640" w:type="dxa"/>
            <w:vAlign w:val="bottom"/>
            <w:tcBorders>
              <w:bottom w:val="single" w:sz="8" w:color="45B0E1"/>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Option Shares Exercisable*</w:t>
            </w:r>
          </w:p>
        </w:tc>
        <w:tc>
          <w:tcPr>
            <w:tcW w:w="2120" w:type="dxa"/>
            <w:vAlign w:val="bottom"/>
            <w:tcBorders>
              <w:bottom w:val="single" w:sz="8" w:color="45B0E1"/>
            </w:tcBorders>
          </w:tcPr>
          <w:p>
            <w:pPr>
              <w:spacing w:after="0"/>
              <w:rPr>
                <w:sz w:val="24"/>
                <w:szCs w:val="24"/>
                <w:color w:val="auto"/>
              </w:rPr>
            </w:pPr>
          </w:p>
        </w:tc>
      </w:tr>
      <w:tr>
        <w:trPr>
          <w:trHeight w:val="243"/>
        </w:trPr>
        <w:tc>
          <w:tcPr>
            <w:tcW w:w="6640" w:type="dxa"/>
            <w:vAlign w:val="bottom"/>
            <w:tcBorders>
              <w:bottom w:val="single" w:sz="8" w:color="45B0E1"/>
              <w:right w:val="single" w:sz="8" w:color="45B0E1"/>
            </w:tcBorders>
            <w:shd w:val="clear" w:color="auto" w:fill="C1E4F5"/>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 %)</w:t>
            </w:r>
          </w:p>
        </w:tc>
        <w:tc>
          <w:tcPr>
            <w:tcW w:w="2120" w:type="dxa"/>
            <w:vAlign w:val="bottom"/>
            <w:tcBorders>
              <w:bottom w:val="single" w:sz="8" w:color="45B0E1"/>
            </w:tcBorders>
            <w:shd w:val="clear" w:color="auto" w:fill="C1E4F5"/>
          </w:tcPr>
          <w:p>
            <w:pPr>
              <w:spacing w:after="0"/>
              <w:rPr>
                <w:sz w:val="21"/>
                <w:szCs w:val="21"/>
                <w:color w:val="auto"/>
              </w:rPr>
            </w:pPr>
          </w:p>
        </w:tc>
      </w:tr>
      <w:tr>
        <w:trPr>
          <w:trHeight w:val="236"/>
        </w:trPr>
        <w:tc>
          <w:tcPr>
            <w:tcW w:w="6640" w:type="dxa"/>
            <w:vAlign w:val="bottom"/>
            <w:tcBorders>
              <w:bottom w:val="single" w:sz="8" w:color="45B0E1"/>
              <w:right w:val="single" w:sz="8" w:color="45B0E1"/>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 %)</w:t>
            </w:r>
          </w:p>
        </w:tc>
        <w:tc>
          <w:tcPr>
            <w:tcW w:w="2120" w:type="dxa"/>
            <w:vAlign w:val="bottom"/>
            <w:tcBorders>
              <w:bottom w:val="single" w:sz="8" w:color="45B0E1"/>
            </w:tcBorders>
          </w:tcPr>
          <w:p>
            <w:pPr>
              <w:spacing w:after="0"/>
              <w:rPr>
                <w:sz w:val="20"/>
                <w:szCs w:val="20"/>
                <w:color w:val="auto"/>
              </w:rPr>
            </w:pPr>
          </w:p>
        </w:tc>
      </w:tr>
      <w:tr>
        <w:trPr>
          <w:trHeight w:val="237"/>
        </w:trPr>
        <w:tc>
          <w:tcPr>
            <w:tcW w:w="6640" w:type="dxa"/>
            <w:vAlign w:val="bottom"/>
            <w:tcBorders>
              <w:bottom w:val="single" w:sz="8" w:color="45B0E1"/>
              <w:right w:val="single" w:sz="8" w:color="45B0E1"/>
            </w:tcBorders>
            <w:shd w:val="clear" w:color="auto" w:fill="C1E4F5"/>
          </w:tcPr>
          <w:p>
            <w:pPr>
              <w:ind w:left="120"/>
              <w:spacing w:after="0" w:line="237" w:lineRule="exact"/>
              <w:rPr>
                <w:sz w:val="20"/>
                <w:szCs w:val="20"/>
                <w:color w:val="auto"/>
              </w:rPr>
            </w:pPr>
            <w:r>
              <w:rPr>
                <w:rFonts w:ascii="Times New Roman" w:cs="Times New Roman" w:eastAsia="Times New Roman" w:hAnsi="Times New Roman"/>
                <w:sz w:val="22"/>
                <w:szCs w:val="22"/>
                <w:b w:val="1"/>
                <w:bCs w:val="1"/>
                <w:color w:val="auto"/>
              </w:rPr>
              <w:t>( %)</w:t>
            </w:r>
          </w:p>
        </w:tc>
        <w:tc>
          <w:tcPr>
            <w:tcW w:w="2120" w:type="dxa"/>
            <w:vAlign w:val="bottom"/>
            <w:tcBorders>
              <w:bottom w:val="single" w:sz="8" w:color="45B0E1"/>
            </w:tcBorders>
            <w:shd w:val="clear" w:color="auto" w:fill="C1E4F5"/>
          </w:tcPr>
          <w:p>
            <w:pPr>
              <w:spacing w:after="0"/>
              <w:rPr>
                <w:sz w:val="20"/>
                <w:szCs w:val="20"/>
                <w:color w:val="auto"/>
              </w:rPr>
            </w:pPr>
          </w:p>
        </w:tc>
      </w:tr>
      <w:tr>
        <w:trPr>
          <w:trHeight w:val="236"/>
        </w:trPr>
        <w:tc>
          <w:tcPr>
            <w:tcW w:w="6640" w:type="dxa"/>
            <w:vAlign w:val="bottom"/>
            <w:tcBorders>
              <w:bottom w:val="single" w:sz="8" w:color="45B0E1"/>
              <w:right w:val="single" w:sz="8" w:color="45B0E1"/>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 %)</w:t>
            </w:r>
          </w:p>
        </w:tc>
        <w:tc>
          <w:tcPr>
            <w:tcW w:w="2120" w:type="dxa"/>
            <w:vAlign w:val="bottom"/>
            <w:tcBorders>
              <w:bottom w:val="single" w:sz="8" w:color="45B0E1"/>
            </w:tcBorders>
          </w:tcPr>
          <w:p>
            <w:pPr>
              <w:spacing w:after="0"/>
              <w:rPr>
                <w:sz w:val="20"/>
                <w:szCs w:val="20"/>
                <w:color w:val="auto"/>
              </w:rPr>
            </w:pPr>
          </w:p>
        </w:tc>
      </w:tr>
      <w:tr>
        <w:trPr>
          <w:trHeight w:val="237"/>
        </w:trPr>
        <w:tc>
          <w:tcPr>
            <w:tcW w:w="6640" w:type="dxa"/>
            <w:vAlign w:val="bottom"/>
            <w:tcBorders>
              <w:bottom w:val="single" w:sz="8" w:color="45B0E1"/>
              <w:right w:val="single" w:sz="8" w:color="45B0E1"/>
            </w:tcBorders>
            <w:shd w:val="clear" w:color="auto" w:fill="C1E4F5"/>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 %)</w:t>
            </w:r>
          </w:p>
        </w:tc>
        <w:tc>
          <w:tcPr>
            <w:tcW w:w="2120" w:type="dxa"/>
            <w:vAlign w:val="bottom"/>
            <w:tcBorders>
              <w:bottom w:val="single" w:sz="8" w:color="45B0E1"/>
            </w:tcBorders>
            <w:shd w:val="clear" w:color="auto" w:fill="C1E4F5"/>
          </w:tcPr>
          <w:p>
            <w:pPr>
              <w:spacing w:after="0"/>
              <w:rPr>
                <w:sz w:val="20"/>
                <w:szCs w:val="20"/>
                <w:color w:val="auto"/>
              </w:rPr>
            </w:pPr>
          </w:p>
        </w:tc>
      </w:tr>
    </w:tbl>
    <w:p>
      <w:pPr>
        <w:spacing w:after="0" w:line="21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4" w:right="419" w:bottom="1440" w:gutter="0" w:footer="0" w:header="0"/>
          <w:type w:val="continuous"/>
        </w:sectPr>
      </w:pPr>
    </w:p>
    <w:bookmarkStart w:id="175" w:name="page176"/>
    <w:bookmarkEnd w:id="175"/>
    <w:p>
      <w:pPr>
        <w:ind w:left="220" w:hanging="212"/>
        <w:spacing w:after="0"/>
        <w:tabs>
          <w:tab w:leader="none" w:pos="2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1.1.1.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0"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w:t>
      </w:r>
    </w:p>
    <w:p>
      <w:pPr>
        <w:spacing w:after="0" w:line="26" w:lineRule="exact"/>
        <w:rPr>
          <w:sz w:val="20"/>
          <w:szCs w:val="20"/>
          <w:color w:val="auto"/>
        </w:rPr>
      </w:pPr>
    </w:p>
    <w:p>
      <w:pPr>
        <w:ind w:right="20" w:firstLine="8"/>
        <w:spacing w:after="0" w:line="232" w:lineRule="auto"/>
        <w:tabs>
          <w:tab w:leader="none" w:pos="25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1.1.2.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17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ind w:right="160"/>
        <w:spacing w:after="0" w:line="258" w:lineRule="auto"/>
        <w:rPr>
          <w:sz w:val="20"/>
          <w:szCs w:val="20"/>
          <w:color w:val="auto"/>
        </w:rPr>
      </w:pPr>
      <w:r>
        <w:rPr>
          <w:rFonts w:ascii="Times New Roman" w:cs="Times New Roman" w:eastAsia="Times New Roman" w:hAnsi="Times New Roman"/>
          <w:sz w:val="22"/>
          <w:szCs w:val="22"/>
          <w:color w:val="auto"/>
        </w:rPr>
        <w:t>entered as the stockholder of record on the books of the Company. Thereupon, the Optionee shall have full voting, dividend and other ownership rights with respect to such shares of Stock.</w:t>
      </w:r>
    </w:p>
    <w:p>
      <w:pPr>
        <w:spacing w:after="0" w:line="158"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1.1.3. 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1.1.4. Notwithstanding any other provision hereof or of the Plan, no portion of this Stock Option shall be exercisable after the Expiration Date hereof.</w:t>
      </w:r>
    </w:p>
    <w:p>
      <w:pPr>
        <w:spacing w:after="0" w:line="158" w:lineRule="exact"/>
        <w:rPr>
          <w:sz w:val="20"/>
          <w:szCs w:val="20"/>
          <w:color w:val="auto"/>
        </w:rPr>
      </w:pPr>
    </w:p>
    <w:p>
      <w:pPr>
        <w:jc w:val="both"/>
        <w:ind w:right="760" w:firstLine="8"/>
        <w:spacing w:after="0" w:line="282" w:lineRule="auto"/>
        <w:tabs>
          <w:tab w:leader="none" w:pos="21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If the Optionee’s employment with the Company or a Subsidiary (as defined in the Plan) terminates, the period within which to exercise the Stock Option may be subject to earlier termination as set forth below.</w:t>
      </w:r>
    </w:p>
    <w:p>
      <w:pPr>
        <w:spacing w:after="0" w:line="135"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7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ind w:right="20" w:firstLine="509"/>
        <w:spacing w:after="0" w:line="258" w:lineRule="auto"/>
        <w:rPr>
          <w:sz w:val="20"/>
          <w:szCs w:val="20"/>
          <w:color w:val="auto"/>
        </w:rPr>
      </w:pPr>
      <w:r>
        <w:rPr>
          <w:rFonts w:ascii="Times New Roman" w:cs="Times New Roman" w:eastAsia="Times New Roman" w:hAnsi="Times New Roman"/>
          <w:sz w:val="22"/>
          <w:szCs w:val="22"/>
          <w:color w:val="auto"/>
        </w:rPr>
        <w:t>of this Stock Option that is not exercisable on the date of termination shall terminate immediately and be of no further force or effect.</w:t>
      </w:r>
    </w:p>
    <w:p>
      <w:pPr>
        <w:spacing w:after="0" w:line="158"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of the Optionee’s employment with the Company or a Subsidiary shall be conclusive and binding on the Optionee and his or her representatives or legatees.</w:t>
      </w:r>
    </w:p>
    <w:p>
      <w:pPr>
        <w:spacing w:after="0" w:line="158" w:lineRule="exact"/>
        <w:rPr>
          <w:sz w:val="20"/>
          <w:szCs w:val="20"/>
          <w:color w:val="auto"/>
        </w:rPr>
      </w:pPr>
    </w:p>
    <w:p>
      <w:pPr>
        <w:ind w:right="180" w:firstLine="8"/>
        <w:spacing w:after="0" w:line="261" w:lineRule="auto"/>
        <w:tabs>
          <w:tab w:leader="none" w:pos="216"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7" w:lineRule="exact"/>
        <w:rPr>
          <w:rFonts w:ascii="Times New Roman" w:cs="Times New Roman" w:eastAsia="Times New Roman" w:hAnsi="Times New Roman"/>
          <w:sz w:val="21"/>
          <w:szCs w:val="21"/>
          <w:color w:val="auto"/>
        </w:rPr>
      </w:pPr>
    </w:p>
    <w:p>
      <w:pPr>
        <w:ind w:right="100" w:firstLine="8"/>
        <w:spacing w:after="0" w:line="244" w:lineRule="auto"/>
        <w:tabs>
          <w:tab w:leader="none" w:pos="21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3" w:lineRule="exact"/>
        <w:rPr>
          <w:rFonts w:ascii="Times New Roman" w:cs="Times New Roman" w:eastAsia="Times New Roman" w:hAnsi="Times New Roman"/>
          <w:sz w:val="22"/>
          <w:szCs w:val="22"/>
          <w:color w:val="auto"/>
        </w:rPr>
      </w:pPr>
    </w:p>
    <w:p>
      <w:pPr>
        <w:ind w:firstLine="8"/>
        <w:spacing w:after="0" w:line="235" w:lineRule="auto"/>
        <w:tabs>
          <w:tab w:leader="none" w:pos="21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78" w:lineRule="exact"/>
        <w:rPr>
          <w:rFonts w:ascii="Times New Roman" w:cs="Times New Roman" w:eastAsia="Times New Roman" w:hAnsi="Times New Roman"/>
          <w:sz w:val="22"/>
          <w:szCs w:val="22"/>
          <w:color w:val="auto"/>
        </w:rPr>
      </w:pPr>
    </w:p>
    <w:p>
      <w:pPr>
        <w:ind w:right="180" w:firstLine="8"/>
        <w:spacing w:after="0" w:line="239" w:lineRule="auto"/>
        <w:tabs>
          <w:tab w:leader="none" w:pos="21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Employment</w:t>
      </w:r>
      <w:r>
        <w:rPr>
          <w:rFonts w:ascii="Times New Roman" w:cs="Times New Roman" w:eastAsia="Times New Roman" w:hAnsi="Times New Roman"/>
          <w:sz w:val="22"/>
          <w:szCs w:val="22"/>
          <w:color w:val="auto"/>
        </w:rPr>
        <w:t>. Neither the Company nor any Subsidiary is obligated by or as a result of the Plan or this Agreement to continue the Optionee’s employment with the Company or a Subsidiary and neither the Plan nor this Agreement shall interfere in any way with the right of the Company or any Subsidiary to terminate the Optionee’s employment with the Company or a Subsidiary at any time.</w:t>
      </w:r>
    </w:p>
    <w:p>
      <w:pPr>
        <w:spacing w:after="0" w:line="180" w:lineRule="exact"/>
        <w:rPr>
          <w:rFonts w:ascii="Times New Roman" w:cs="Times New Roman" w:eastAsia="Times New Roman" w:hAnsi="Times New Roman"/>
          <w:sz w:val="22"/>
          <w:szCs w:val="22"/>
          <w:color w:val="auto"/>
        </w:rPr>
      </w:pPr>
    </w:p>
    <w:p>
      <w:pPr>
        <w:ind w:right="780" w:firstLine="8"/>
        <w:spacing w:after="0" w:line="258" w:lineRule="auto"/>
        <w:tabs>
          <w:tab w:leader="none" w:pos="21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58" w:lineRule="exact"/>
        <w:rPr>
          <w:rFonts w:ascii="Times New Roman" w:cs="Times New Roman" w:eastAsia="Times New Roman" w:hAnsi="Times New Roman"/>
          <w:sz w:val="22"/>
          <w:szCs w:val="22"/>
          <w:color w:val="auto"/>
        </w:rPr>
      </w:pPr>
    </w:p>
    <w:p>
      <w:pPr>
        <w:ind w:right="60" w:firstLine="8"/>
        <w:spacing w:after="0" w:line="235" w:lineRule="auto"/>
        <w:tabs>
          <w:tab w:leader="none" w:pos="21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ind w:right="160"/>
        <w:spacing w:after="0" w:line="244" w:lineRule="auto"/>
        <w:rPr>
          <w:sz w:val="20"/>
          <w:szCs w:val="20"/>
          <w:color w:val="auto"/>
        </w:rPr>
      </w:pPr>
      <w:r>
        <w:rPr>
          <w:rFonts w:ascii="Times New Roman" w:cs="Times New Roman" w:eastAsia="Times New Roman" w:hAnsi="Times New Roman"/>
          <w:sz w:val="22"/>
          <w:szCs w:val="22"/>
          <w:color w:val="auto"/>
        </w:rPr>
        <w:t>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73" w:lineRule="exact"/>
        <w:rPr>
          <w:sz w:val="20"/>
          <w:szCs w:val="20"/>
          <w:color w:val="auto"/>
        </w:rPr>
      </w:pPr>
    </w:p>
    <w:p>
      <w:pPr>
        <w:ind w:firstLine="8"/>
        <w:spacing w:after="0" w:line="244" w:lineRule="auto"/>
        <w:tabs>
          <w:tab w:leader="none" w:pos="32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CANDEL THERAPEUTICS, INC.</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7156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-13970</wp:posOffset>
            </wp:positionV>
            <wp:extent cx="9137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1644015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259715</wp:posOffset>
            </wp:positionV>
            <wp:extent cx="91376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913765"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465455</wp:posOffset>
            </wp:positionV>
            <wp:extent cx="9137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671195</wp:posOffset>
            </wp:positionV>
            <wp:extent cx="9137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179" w:name="page180"/>
    <w:bookmarkEnd w:id="17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CANDEL THERAPEUTICS, INC.</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2025 INDUCEMENT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33"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Pursuant to the Candel Therapeutics, Inc. 2025 Inducement Plan, as amended through the date hereof (the “Plan”), Candel Therapeutics, Inc. (the “Company”) hereby grants an award of the number of Restricted Stock Units listed above (an “Award”) to the Grantee named above. Each Restricted Stock Unit shall relate to one share of Common Stock, par value $0.0001 per share (the “Stock”), of the Company. For the avoidance of doubt, this Award is not issued under the Company’s 2021 Stock Option and Incentive Plan, as amended from time to time, and does not reduce the share reserve under such equity plan. This Award has been granted as an inducement pursuant to Rule 5635(c)(4) of the Marketplace Rules of The Nasdaq Stock Market LLC.</w:t>
      </w:r>
    </w:p>
    <w:p>
      <w:pPr>
        <w:spacing w:after="0" w:line="183" w:lineRule="exact"/>
        <w:rPr>
          <w:sz w:val="20"/>
          <w:szCs w:val="20"/>
          <w:color w:val="auto"/>
        </w:rPr>
      </w:pPr>
    </w:p>
    <w:p>
      <w:pPr>
        <w:ind w:right="260" w:firstLine="8"/>
        <w:spacing w:after="0" w:line="238" w:lineRule="auto"/>
        <w:tabs>
          <w:tab w:leader="none" w:pos="21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6" w:lineRule="exact"/>
        <w:rPr>
          <w:rFonts w:ascii="Times New Roman" w:cs="Times New Roman" w:eastAsia="Times New Roman" w:hAnsi="Times New Roman"/>
          <w:sz w:val="22"/>
          <w:szCs w:val="22"/>
          <w:color w:val="auto"/>
        </w:rPr>
      </w:pPr>
    </w:p>
    <w:p>
      <w:pPr>
        <w:ind w:firstLine="8"/>
        <w:spacing w:after="0" w:line="239" w:lineRule="auto"/>
        <w:tabs>
          <w:tab w:leader="none" w:pos="21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The restrictions and conditions of Paragraph 1 of this Agreement shall lapse on the Vesting Date or Dates specified in the following schedule so long as the Grantee remains an employee of the Company or a Subsidiary on such Vesting Dates. If a series of Vesting Dates is specified, then the restrictions and conditions in Paragraph 1 shall lapse only with respect to the number of Restricted Stock Units specified as vested on such date.</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78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Incremental Number of</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Vesting</w:t>
            </w:r>
          </w:p>
        </w:tc>
      </w:tr>
      <w:tr>
        <w:trPr>
          <w:trHeight w:val="281"/>
        </w:trPr>
        <w:tc>
          <w:tcPr>
            <w:tcW w:w="7820" w:type="dxa"/>
            <w:vAlign w:val="bottom"/>
            <w:tcBorders>
              <w:bottom w:val="single" w:sz="8" w:color="45B0E1"/>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Restricted Stock Units Vested</w:t>
            </w:r>
          </w:p>
        </w:tc>
        <w:tc>
          <w:tcPr>
            <w:tcW w:w="1160" w:type="dxa"/>
            <w:vAlign w:val="bottom"/>
            <w:tcBorders>
              <w:bottom w:val="single" w:sz="8" w:color="45B0E1"/>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r>
      <w:tr>
        <w:trPr>
          <w:trHeight w:val="243"/>
        </w:trPr>
        <w:tc>
          <w:tcPr>
            <w:tcW w:w="7820" w:type="dxa"/>
            <w:vAlign w:val="bottom"/>
            <w:tcBorders>
              <w:bottom w:val="single" w:sz="8" w:color="45B0E1"/>
              <w:right w:val="single" w:sz="8" w:color="45B0E1"/>
            </w:tcBorders>
            <w:shd w:val="clear" w:color="auto" w:fill="C1E4F5"/>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 %)</w:t>
            </w:r>
          </w:p>
        </w:tc>
        <w:tc>
          <w:tcPr>
            <w:tcW w:w="1160" w:type="dxa"/>
            <w:vAlign w:val="bottom"/>
            <w:tcBorders>
              <w:bottom w:val="single" w:sz="8" w:color="45B0E1"/>
            </w:tcBorders>
            <w:shd w:val="clear" w:color="auto" w:fill="C1E4F5"/>
          </w:tcPr>
          <w:p>
            <w:pPr>
              <w:spacing w:after="0"/>
              <w:rPr>
                <w:sz w:val="21"/>
                <w:szCs w:val="21"/>
                <w:color w:val="auto"/>
              </w:rPr>
            </w:pPr>
          </w:p>
        </w:tc>
      </w:tr>
      <w:tr>
        <w:trPr>
          <w:trHeight w:val="236"/>
        </w:trPr>
        <w:tc>
          <w:tcPr>
            <w:tcW w:w="7820" w:type="dxa"/>
            <w:vAlign w:val="bottom"/>
            <w:tcBorders>
              <w:bottom w:val="single" w:sz="8" w:color="45B0E1"/>
              <w:right w:val="single" w:sz="8" w:color="45B0E1"/>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 %)</w:t>
            </w:r>
          </w:p>
        </w:tc>
        <w:tc>
          <w:tcPr>
            <w:tcW w:w="1160" w:type="dxa"/>
            <w:vAlign w:val="bottom"/>
            <w:tcBorders>
              <w:bottom w:val="single" w:sz="8" w:color="45B0E1"/>
            </w:tcBorders>
          </w:tcPr>
          <w:p>
            <w:pPr>
              <w:spacing w:after="0"/>
              <w:rPr>
                <w:sz w:val="20"/>
                <w:szCs w:val="20"/>
                <w:color w:val="auto"/>
              </w:rPr>
            </w:pPr>
          </w:p>
        </w:tc>
      </w:tr>
      <w:tr>
        <w:trPr>
          <w:trHeight w:val="237"/>
        </w:trPr>
        <w:tc>
          <w:tcPr>
            <w:tcW w:w="7820" w:type="dxa"/>
            <w:vAlign w:val="bottom"/>
            <w:tcBorders>
              <w:bottom w:val="single" w:sz="8" w:color="45B0E1"/>
              <w:right w:val="single" w:sz="8" w:color="45B0E1"/>
            </w:tcBorders>
            <w:shd w:val="clear" w:color="auto" w:fill="C1E4F5"/>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 %)</w:t>
            </w:r>
          </w:p>
        </w:tc>
        <w:tc>
          <w:tcPr>
            <w:tcW w:w="1160" w:type="dxa"/>
            <w:vAlign w:val="bottom"/>
            <w:tcBorders>
              <w:bottom w:val="single" w:sz="8" w:color="45B0E1"/>
            </w:tcBorders>
            <w:shd w:val="clear" w:color="auto" w:fill="C1E4F5"/>
          </w:tcPr>
          <w:p>
            <w:pPr>
              <w:spacing w:after="0"/>
              <w:rPr>
                <w:sz w:val="20"/>
                <w:szCs w:val="20"/>
                <w:color w:val="auto"/>
              </w:rPr>
            </w:pPr>
          </w:p>
        </w:tc>
      </w:tr>
      <w:tr>
        <w:trPr>
          <w:trHeight w:val="237"/>
        </w:trPr>
        <w:tc>
          <w:tcPr>
            <w:tcW w:w="7820" w:type="dxa"/>
            <w:vAlign w:val="bottom"/>
            <w:tcBorders>
              <w:bottom w:val="single" w:sz="8" w:color="45B0E1"/>
              <w:right w:val="single" w:sz="8" w:color="45B0E1"/>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 %)</w:t>
            </w:r>
          </w:p>
        </w:tc>
        <w:tc>
          <w:tcPr>
            <w:tcW w:w="1160" w:type="dxa"/>
            <w:vAlign w:val="bottom"/>
            <w:tcBorders>
              <w:bottom w:val="single" w:sz="8" w:color="45B0E1"/>
            </w:tcBorders>
          </w:tcPr>
          <w:p>
            <w:pPr>
              <w:spacing w:after="0"/>
              <w:rPr>
                <w:sz w:val="20"/>
                <w:szCs w:val="20"/>
                <w:color w:val="auto"/>
              </w:rPr>
            </w:pPr>
          </w:p>
        </w:tc>
      </w:tr>
      <w:tr>
        <w:trPr>
          <w:trHeight w:val="236"/>
        </w:trPr>
        <w:tc>
          <w:tcPr>
            <w:tcW w:w="7820" w:type="dxa"/>
            <w:vAlign w:val="bottom"/>
            <w:tcBorders>
              <w:bottom w:val="single" w:sz="8" w:color="45B0E1"/>
              <w:right w:val="single" w:sz="8" w:color="45B0E1"/>
            </w:tcBorders>
            <w:shd w:val="clear" w:color="auto" w:fill="C1E4F5"/>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 %)</w:t>
            </w:r>
          </w:p>
        </w:tc>
        <w:tc>
          <w:tcPr>
            <w:tcW w:w="1160" w:type="dxa"/>
            <w:vAlign w:val="bottom"/>
            <w:tcBorders>
              <w:bottom w:val="single" w:sz="8" w:color="45B0E1"/>
            </w:tcBorders>
            <w:shd w:val="clear" w:color="auto" w:fill="C1E4F5"/>
          </w:tcPr>
          <w:p>
            <w:pPr>
              <w:spacing w:after="0"/>
              <w:rPr>
                <w:sz w:val="20"/>
                <w:szCs w:val="20"/>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Administrator may at any time accelerate the vesting schedule specified in this Paragraph 2.</w:t>
      </w:r>
    </w:p>
    <w:p>
      <w:pPr>
        <w:spacing w:after="0" w:line="206" w:lineRule="exact"/>
        <w:rPr>
          <w:sz w:val="20"/>
          <w:szCs w:val="20"/>
          <w:color w:val="auto"/>
        </w:rPr>
      </w:pPr>
    </w:p>
    <w:p>
      <w:pPr>
        <w:ind w:right="400" w:firstLine="8"/>
        <w:spacing w:after="0" w:line="244" w:lineRule="auto"/>
        <w:tabs>
          <w:tab w:leader="none" w:pos="21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If the Grantee’s employment with the Company or a Subsidiary terminates for any reason (including death or disability) prior to the satisfaction of the vesting conditions set forth in Paragraph 2 above, any Restricted Stock Units that have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80" w:name="page181"/>
    <w:bookmarkEnd w:id="180"/>
    <w:p>
      <w:pPr>
        <w:ind w:right="100"/>
        <w:spacing w:after="0" w:line="244" w:lineRule="auto"/>
        <w:rPr>
          <w:sz w:val="20"/>
          <w:szCs w:val="20"/>
          <w:color w:val="auto"/>
        </w:rPr>
      </w:pPr>
      <w:r>
        <w:rPr>
          <w:rFonts w:ascii="Times New Roman" w:cs="Times New Roman" w:eastAsia="Times New Roman" w:hAnsi="Times New Roman"/>
          <w:sz w:val="22"/>
          <w:szCs w:val="22"/>
          <w:color w:val="auto"/>
        </w:rPr>
        <w:t>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3" w:lineRule="exact"/>
        <w:rPr>
          <w:sz w:val="20"/>
          <w:szCs w:val="20"/>
          <w:color w:val="auto"/>
        </w:rPr>
      </w:pPr>
    </w:p>
    <w:p>
      <w:pPr>
        <w:ind w:right="140" w:firstLine="8"/>
        <w:spacing w:after="0" w:line="255" w:lineRule="auto"/>
        <w:tabs>
          <w:tab w:leader="none" w:pos="21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Shares of Stock</w:t>
      </w:r>
      <w:r>
        <w:rPr>
          <w:rFonts w:ascii="Times New Roman" w:cs="Times New Roman" w:eastAsia="Times New Roman" w:hAnsi="Times New Roman"/>
          <w:sz w:val="21"/>
          <w:szCs w:val="21"/>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61" w:lineRule="exact"/>
        <w:rPr>
          <w:rFonts w:ascii="Times New Roman" w:cs="Times New Roman" w:eastAsia="Times New Roman" w:hAnsi="Times New Roman"/>
          <w:sz w:val="21"/>
          <w:szCs w:val="21"/>
          <w:color w:val="auto"/>
        </w:rPr>
      </w:pPr>
    </w:p>
    <w:p>
      <w:pPr>
        <w:ind w:right="100" w:firstLine="8"/>
        <w:spacing w:after="0" w:line="261" w:lineRule="auto"/>
        <w:tabs>
          <w:tab w:leader="none" w:pos="21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57" w:lineRule="exact"/>
        <w:rPr>
          <w:rFonts w:ascii="Times New Roman" w:cs="Times New Roman" w:eastAsia="Times New Roman" w:hAnsi="Times New Roman"/>
          <w:sz w:val="21"/>
          <w:szCs w:val="21"/>
          <w:color w:val="auto"/>
        </w:rPr>
      </w:pPr>
    </w:p>
    <w:p>
      <w:pPr>
        <w:ind w:right="200" w:firstLine="8"/>
        <w:spacing w:after="0" w:line="235" w:lineRule="auto"/>
        <w:tabs>
          <w:tab w:leader="none" w:pos="21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78" w:lineRule="exact"/>
        <w:rPr>
          <w:rFonts w:ascii="Times New Roman" w:cs="Times New Roman" w:eastAsia="Times New Roman" w:hAnsi="Times New Roman"/>
          <w:sz w:val="22"/>
          <w:szCs w:val="22"/>
          <w:color w:val="auto"/>
        </w:rPr>
      </w:pPr>
    </w:p>
    <w:p>
      <w:pPr>
        <w:jc w:val="both"/>
        <w:ind w:firstLine="8"/>
        <w:spacing w:after="0" w:line="244" w:lineRule="auto"/>
        <w:tabs>
          <w:tab w:leader="none" w:pos="21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This Agreement shall be interpreted in such a manner that all provisions relating to the settlement of the Award are exempt from the requirements of Section 409A of the Code as “short-term deferrals” as described in Section 409A of the Code.</w:t>
      </w:r>
    </w:p>
    <w:p>
      <w:pPr>
        <w:spacing w:after="0" w:line="173" w:lineRule="exact"/>
        <w:rPr>
          <w:rFonts w:ascii="Times New Roman" w:cs="Times New Roman" w:eastAsia="Times New Roman" w:hAnsi="Times New Roman"/>
          <w:sz w:val="22"/>
          <w:szCs w:val="22"/>
          <w:color w:val="auto"/>
        </w:rPr>
      </w:pPr>
    </w:p>
    <w:p>
      <w:pPr>
        <w:ind w:right="40" w:firstLine="8"/>
        <w:spacing w:after="0" w:line="239" w:lineRule="auto"/>
        <w:tabs>
          <w:tab w:leader="none" w:pos="21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Employment</w:t>
      </w:r>
      <w:r>
        <w:rPr>
          <w:rFonts w:ascii="Times New Roman" w:cs="Times New Roman" w:eastAsia="Times New Roman" w:hAnsi="Times New Roman"/>
          <w:sz w:val="22"/>
          <w:szCs w:val="22"/>
          <w:color w:val="auto"/>
        </w:rPr>
        <w:t>. Neither the Company nor any Subsidiary is obligated by or as a result of the Plan or this Agreement to continue the Grantee’s employment with the Company or a Subsidiary and neither the Plan nor this Agreement shall interfere in any way with the right of the Company or any Subsidiary to terminate the Grantee’s employment with the Company or a Subsidiary at any time.</w:t>
      </w:r>
    </w:p>
    <w:p>
      <w:pPr>
        <w:spacing w:after="0" w:line="180" w:lineRule="exact"/>
        <w:rPr>
          <w:rFonts w:ascii="Times New Roman" w:cs="Times New Roman" w:eastAsia="Times New Roman" w:hAnsi="Times New Roman"/>
          <w:sz w:val="22"/>
          <w:szCs w:val="22"/>
          <w:color w:val="auto"/>
        </w:rPr>
      </w:pPr>
    </w:p>
    <w:p>
      <w:pPr>
        <w:ind w:right="80" w:firstLine="8"/>
        <w:spacing w:after="0" w:line="258" w:lineRule="auto"/>
        <w:tabs>
          <w:tab w:leader="none" w:pos="21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rFonts w:ascii="Times New Roman" w:cs="Times New Roman" w:eastAsia="Times New Roman" w:hAnsi="Times New Roman"/>
          <w:sz w:val="22"/>
          <w:szCs w:val="22"/>
          <w:color w:val="auto"/>
        </w:rPr>
      </w:pPr>
    </w:p>
    <w:p>
      <w:pPr>
        <w:ind w:right="60" w:firstLine="8"/>
        <w:spacing w:after="0" w:line="238" w:lineRule="auto"/>
        <w:tabs>
          <w:tab w:leader="none" w:pos="32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ind w:right="100"/>
        <w:spacing w:after="0" w:line="236" w:lineRule="auto"/>
        <w:rPr>
          <w:sz w:val="20"/>
          <w:szCs w:val="20"/>
          <w:color w:val="auto"/>
        </w:rPr>
      </w:pPr>
      <w:r>
        <w:rPr>
          <w:rFonts w:ascii="Times New Roman" w:cs="Times New Roman" w:eastAsia="Times New Roman" w:hAnsi="Times New Roman"/>
          <w:sz w:val="22"/>
          <w:szCs w:val="22"/>
          <w:color w:val="auto"/>
        </w:rPr>
        <w:t>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1" w:lineRule="exact"/>
        <w:rPr>
          <w:sz w:val="20"/>
          <w:szCs w:val="20"/>
          <w:color w:val="auto"/>
        </w:rPr>
      </w:pPr>
    </w:p>
    <w:p>
      <w:pPr>
        <w:ind w:firstLine="8"/>
        <w:spacing w:after="0" w:line="244" w:lineRule="auto"/>
        <w:tabs>
          <w:tab w:leader="none" w:pos="32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CANDEL THERAPEUTICS, INC.</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71564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-13970</wp:posOffset>
            </wp:positionV>
            <wp:extent cx="91376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1644015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259715</wp:posOffset>
            </wp:positionV>
            <wp:extent cx="91376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913765"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465455</wp:posOffset>
            </wp:positionV>
            <wp:extent cx="9137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671195</wp:posOffset>
            </wp:positionV>
            <wp:extent cx="91376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CANDEL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1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21"/>
          <w:szCs w:val="21"/>
          <w:color w:val="auto"/>
        </w:rPr>
        <w:t>The purpose of this Non-Employee Director Compensation Policy (the “Policy”) of Candel Therapeutics, Inc. (the “Company”) is to provide a total compensation package that enables the Company to attract and retain, on a long-term basis, high-caliber directors who are not employees or officers of the Company or its subsidiaries (“Outside Directors”). In furtherance of the purpose stated above, all Outside Directors shall be paid compensation for services provided to the Company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10" w:lineRule="exact"/>
        <w:rPr>
          <w:sz w:val="20"/>
          <w:szCs w:val="20"/>
          <w:color w:val="auto"/>
        </w:rPr>
      </w:pPr>
    </w:p>
    <w:p>
      <w:pPr>
        <w:jc w:val="both"/>
        <w:ind w:left="200" w:right="80"/>
        <w:spacing w:after="0" w:line="239"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Additional Annual Retainer for Non-Executive Chair:</w:t>
            </w:r>
          </w:p>
        </w:tc>
        <w:tc>
          <w:tcPr>
            <w:tcW w:w="21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$30,000</w:t>
            </w:r>
          </w:p>
        </w:tc>
      </w:tr>
      <w:tr>
        <w:trPr>
          <w:trHeight w:val="20"/>
        </w:trPr>
        <w:tc>
          <w:tcPr>
            <w:tcW w:w="4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39"/>
        </w:trPr>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Additional Annual Retainers for Committee Membership:</w:t>
            </w:r>
          </w:p>
        </w:tc>
        <w:tc>
          <w:tcPr>
            <w:tcW w:w="2180" w:type="dxa"/>
            <w:vAlign w:val="bottom"/>
          </w:tcPr>
          <w:p>
            <w:pPr>
              <w:spacing w:after="0"/>
              <w:rPr>
                <w:sz w:val="24"/>
                <w:szCs w:val="24"/>
                <w:color w:val="auto"/>
              </w:rPr>
            </w:pPr>
          </w:p>
        </w:tc>
      </w:tr>
      <w:tr>
        <w:trPr>
          <w:trHeight w:val="492"/>
        </w:trPr>
        <w:tc>
          <w:tcPr>
            <w:tcW w:w="4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Audit Committee Chair:</w:t>
            </w:r>
          </w:p>
        </w:tc>
        <w:tc>
          <w:tcPr>
            <w:tcW w:w="920" w:type="dxa"/>
            <w:vAlign w:val="bottom"/>
          </w:tcPr>
          <w:p>
            <w:pPr>
              <w:spacing w:after="0"/>
              <w:rPr>
                <w:sz w:val="24"/>
                <w:szCs w:val="24"/>
                <w:color w:val="auto"/>
              </w:rPr>
            </w:pPr>
          </w:p>
        </w:tc>
        <w:tc>
          <w:tcPr>
            <w:tcW w:w="21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$18,000</w:t>
            </w:r>
          </w:p>
        </w:tc>
      </w:tr>
      <w:tr>
        <w:trPr>
          <w:trHeight w:val="459"/>
        </w:trPr>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Audit Committee member:</w:t>
            </w:r>
          </w:p>
        </w:tc>
        <w:tc>
          <w:tcPr>
            <w:tcW w:w="21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$9,000</w:t>
            </w:r>
          </w:p>
        </w:tc>
      </w:tr>
      <w:tr>
        <w:trPr>
          <w:trHeight w:val="459"/>
        </w:trPr>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21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$12,000</w:t>
            </w:r>
          </w:p>
        </w:tc>
      </w:tr>
      <w:tr>
        <w:trPr>
          <w:trHeight w:val="459"/>
        </w:trPr>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21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$6,000</w:t>
            </w:r>
          </w:p>
        </w:tc>
      </w:tr>
      <w:tr>
        <w:trPr>
          <w:trHeight w:val="459"/>
        </w:trPr>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2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$10,000</w:t>
            </w:r>
          </w:p>
        </w:tc>
      </w:tr>
      <w:tr>
        <w:trPr>
          <w:trHeight w:val="459"/>
        </w:trPr>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21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177" w:lineRule="exact"/>
        <w:rPr>
          <w:sz w:val="20"/>
          <w:szCs w:val="20"/>
          <w:color w:val="auto"/>
        </w:rPr>
      </w:pPr>
    </w:p>
    <w:p>
      <w:pPr>
        <w:jc w:val="both"/>
        <w:ind w:left="200" w:right="60"/>
        <w:spacing w:after="0" w:line="258" w:lineRule="auto"/>
        <w:rPr>
          <w:sz w:val="20"/>
          <w:szCs w:val="20"/>
          <w:color w:val="auto"/>
        </w:rPr>
      </w:pPr>
      <w:r>
        <w:rPr>
          <w:rFonts w:ascii="Times New Roman" w:cs="Times New Roman" w:eastAsia="Times New Roman" w:hAnsi="Times New Roman"/>
          <w:sz w:val="22"/>
          <w:szCs w:val="22"/>
          <w:color w:val="auto"/>
        </w:rPr>
        <w:t>Chair and committee member retainers are in addition to retainers for members of the Board of Directors. No additional compensation will be paid for attending individual committee meetings of the Board of Directors.</w:t>
      </w:r>
    </w:p>
    <w:p>
      <w:pPr>
        <w:spacing w:after="0" w:line="158" w:lineRule="exact"/>
        <w:rPr>
          <w:sz w:val="20"/>
          <w:szCs w:val="20"/>
          <w:color w:val="auto"/>
        </w:rPr>
      </w:pPr>
    </w:p>
    <w:p>
      <w:pPr>
        <w:jc w:val="both"/>
        <w:ind w:left="200" w:right="80"/>
        <w:spacing w:after="0" w:line="261" w:lineRule="auto"/>
        <w:rPr>
          <w:sz w:val="20"/>
          <w:szCs w:val="20"/>
          <w:color w:val="auto"/>
        </w:rPr>
      </w:pPr>
      <w:r>
        <w:rPr>
          <w:rFonts w:ascii="Times New Roman" w:cs="Times New Roman" w:eastAsia="Times New Roman" w:hAnsi="Times New Roman"/>
          <w:sz w:val="21"/>
          <w:szCs w:val="21"/>
          <w:u w:val="single" w:color="auto"/>
          <w:color w:val="auto"/>
        </w:rPr>
        <w:t>Elections to Receive Equity in Lieu of Cash Retainers</w:t>
      </w:r>
      <w:r>
        <w:rPr>
          <w:rFonts w:ascii="Times New Roman" w:cs="Times New Roman" w:eastAsia="Times New Roman" w:hAnsi="Times New Roman"/>
          <w:sz w:val="21"/>
          <w:szCs w:val="21"/>
          <w:color w:val="auto"/>
        </w:rPr>
        <w:t>. Notwithstanding the foregoing, Outside Directors may elect to receive all or a portion of their annual cash retainer(s) for a calendar year in the form of stock option awards. Any such election shall be made (i) for any continuing Outside Director, prior to the commencement of the calendar year with respect to the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83" w:name="page184"/>
    <w:bookmarkEnd w:id="183"/>
    <w:p>
      <w:pPr>
        <w:jc w:val="both"/>
        <w:ind w:left="200" w:right="60"/>
        <w:spacing w:after="0" w:line="236" w:lineRule="auto"/>
        <w:rPr>
          <w:sz w:val="20"/>
          <w:szCs w:val="20"/>
          <w:color w:val="auto"/>
        </w:rPr>
      </w:pPr>
      <w:r>
        <w:rPr>
          <w:rFonts w:ascii="Times New Roman" w:cs="Times New Roman" w:eastAsia="Times New Roman" w:hAnsi="Times New Roman"/>
          <w:sz w:val="22"/>
          <w:szCs w:val="22"/>
          <w:color w:val="auto"/>
        </w:rPr>
        <w:t>retainers for such calendar year and (ii) for a new Outside Director, within 30 days of their election or appointment to serve as a member of our Board of Directors and solely with respect to any cash retainer to be earned after the date of such election. Any election (A) shall be irrevocable with respect to such calendar year, (B) shall automatically apply to the cash retainer(s) for each subsequent calendar year unless otherwise revoked prior to the start of such calendar year and (C) shall be made in accordance with all rules established from time to time by the Board of Directors, including any insider trading policy or similar policy.</w:t>
      </w:r>
    </w:p>
    <w:p>
      <w:pPr>
        <w:spacing w:after="0" w:line="181" w:lineRule="exact"/>
        <w:rPr>
          <w:sz w:val="20"/>
          <w:szCs w:val="20"/>
          <w:color w:val="auto"/>
        </w:rPr>
      </w:pPr>
    </w:p>
    <w:p>
      <w:pPr>
        <w:jc w:val="both"/>
        <w:ind w:left="200" w:right="60"/>
        <w:spacing w:after="0" w:line="238" w:lineRule="auto"/>
        <w:rPr>
          <w:sz w:val="20"/>
          <w:szCs w:val="20"/>
          <w:color w:val="auto"/>
        </w:rPr>
      </w:pPr>
      <w:r>
        <w:rPr>
          <w:rFonts w:ascii="Times New Roman" w:cs="Times New Roman" w:eastAsia="Times New Roman" w:hAnsi="Times New Roman"/>
          <w:sz w:val="22"/>
          <w:szCs w:val="22"/>
          <w:color w:val="auto"/>
        </w:rPr>
        <w:t>Each stock option award granted in lieu of cash retainers shall be automatically granted quarterly in arrears on the same date cash retainers are paid for such quarter (or, if earlier, upon the date of any earlier resignation and pro-rated for any partial service), subject to the Outside Director’s continued Service Relationship (as defined in the Company’s 2021 Stock Option and Incentive Plan) on such grant date, with a Value equal to the amount of cash retainers earned for such quarter, and shall be fully vested at the time of grant.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10"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21"/>
          <w:szCs w:val="21"/>
          <w:u w:val="single" w:color="auto"/>
          <w:color w:val="auto"/>
        </w:rPr>
        <w:t>Initial Award</w:t>
      </w:r>
      <w:r>
        <w:rPr>
          <w:rFonts w:ascii="Times New Roman" w:cs="Times New Roman" w:eastAsia="Times New Roman" w:hAnsi="Times New Roman"/>
          <w:sz w:val="21"/>
          <w:szCs w:val="21"/>
          <w:color w:val="auto"/>
        </w:rPr>
        <w:t>: An initial, one-time stock option award (the “Initial Award”) to purchase/covering 28,480 shares will be granted to each new Outside Director upon his or her election to the Board of Directors, which shall vest in equal monthly installments over three years from the date of grant, provided, however, that all vesting shall cease if the director’s service with the Company ends, unless the Board of Directors determines that the circumstances warrant continuation of vesting. The Initial Award shall expire ten years from the date of grant, and shall have a per share exercise price equal to the Fair Market Value (as defined in the Company’s 2021 Stock Option and Incentive Plan) of the Company’s common stock on the date of grant.</w:t>
      </w:r>
    </w:p>
    <w:p>
      <w:pPr>
        <w:spacing w:after="0" w:line="171"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each date of each Annual Meeting of Stockholders of the Company (the “Annual Meeting”), each continuing Outside Director, other than a director receiving an Initial Award, will receive an annual stock option award (the “Annual Award”) to purchase/covering 14,240 shares, which shall vest in full upon the earlier of (i) the first anniversary of the date of grant or (ii) the date of the next Annual Meeting; provided, however, that all vesting shall cease if the director resigns from the Board of Directors or otherwise ceases to serve as a director, unless the Board of Directors determines that the circumstances warrant continuation of vesting. Such Annual Award shall expire ten years from the date of grant, and shall have a per share exercise price equal to the Fair Market Value (as defined in the Company’s 2021 Stock Option and Incentive Plan) of the Company’s common stock on the date of grant.</w:t>
      </w:r>
    </w:p>
    <w:p>
      <w:pPr>
        <w:spacing w:after="0" w:line="178"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All outstanding Initial Awards and Annual Awards held by an Outside Director shall become fully vested and exercisable upon a Sale Event (as defined in the Company’s 2021 Stock Option and Incentive Plan).</w:t>
      </w:r>
    </w:p>
    <w:p>
      <w:pPr>
        <w:spacing w:after="0" w:line="158" w:lineRule="exact"/>
        <w:rPr>
          <w:sz w:val="20"/>
          <w:szCs w:val="20"/>
          <w:color w:val="auto"/>
        </w:rPr>
      </w:pPr>
    </w:p>
    <w:p>
      <w:pPr>
        <w:jc w:val="both"/>
        <w:ind w:left="200"/>
        <w:spacing w:after="0" w:line="239" w:lineRule="auto"/>
        <w:rPr>
          <w:sz w:val="20"/>
          <w:szCs w:val="20"/>
          <w:color w:val="auto"/>
        </w:rPr>
      </w:pP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For purposes of this Policy, “Value” means with respect to a stock option,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10" w:lineRule="exact"/>
        <w:rPr>
          <w:sz w:val="20"/>
          <w:szCs w:val="20"/>
          <w:color w:val="auto"/>
        </w:rPr>
      </w:pPr>
    </w:p>
    <w:p>
      <w:pPr>
        <w:ind w:left="200" w:right="14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non-employee directors in attending meetings of the Board of Directors or any committee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10"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July 10,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December 24,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5" w:name="page186"/>
    <w:bookmarkEnd w:id="185"/>
    <w:p>
      <w:pPr>
        <w:ind w:left="9440"/>
        <w:spacing w:after="0"/>
        <w:rPr>
          <w:sz w:val="20"/>
          <w:szCs w:val="20"/>
          <w:color w:val="auto"/>
        </w:rPr>
      </w:pPr>
      <w:r>
        <w:rPr>
          <w:rFonts w:ascii="Times New Roman" w:cs="Times New Roman" w:eastAsia="Times New Roman" w:hAnsi="Times New Roman"/>
          <w:sz w:val="22"/>
          <w:szCs w:val="22"/>
          <w:b w:val="1"/>
          <w:bCs w:val="1"/>
          <w:color w:val="auto"/>
        </w:rPr>
        <w:t>Exhibit 10.21</w:t>
      </w:r>
    </w:p>
    <w:p>
      <w:pPr>
        <w:spacing w:after="0" w:line="233"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CERTAIN CONFIDENTIAL INFORMATION, MARKED BY [***] HAS BEEN EXCLUDED FROM THIS EXHIBIT BECAUSE IT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PURCHASE AND SALE AGREEMENT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y and</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etween</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andel</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and</w:t>
      </w:r>
    </w:p>
    <w:p>
      <w:pPr>
        <w:spacing w:after="0" w:line="200" w:lineRule="exact"/>
        <w:rPr>
          <w:sz w:val="20"/>
          <w:szCs w:val="20"/>
          <w:color w:val="auto"/>
        </w:rPr>
      </w:pPr>
    </w:p>
    <w:p>
      <w:pPr>
        <w:spacing w:after="0" w:line="234" w:lineRule="exact"/>
        <w:rPr>
          <w:sz w:val="20"/>
          <w:szCs w:val="20"/>
          <w:color w:val="auto"/>
        </w:rPr>
      </w:pPr>
    </w:p>
    <w:p>
      <w:pPr>
        <w:ind w:left="1680" w:right="200" w:hanging="1044"/>
        <w:spacing w:after="0" w:line="270" w:lineRule="auto"/>
        <w:rPr>
          <w:sz w:val="20"/>
          <w:szCs w:val="20"/>
          <w:color w:val="auto"/>
        </w:rPr>
      </w:pPr>
      <w:r>
        <w:rPr>
          <w:rFonts w:ascii="Times New Roman" w:cs="Times New Roman" w:eastAsia="Times New Roman" w:hAnsi="Times New Roman"/>
          <w:sz w:val="22"/>
          <w:szCs w:val="22"/>
          <w:color w:val="auto"/>
        </w:rPr>
        <w:t>4010 R</w:t>
      </w:r>
      <w:r>
        <w:rPr>
          <w:rFonts w:ascii="Times New Roman" w:cs="Times New Roman" w:eastAsia="Times New Roman" w:hAnsi="Times New Roman"/>
          <w:sz w:val="14"/>
          <w:szCs w:val="14"/>
          <w:color w:val="auto"/>
        </w:rPr>
        <w:t>oyalty</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nvestments</w:t>
      </w:r>
      <w:r>
        <w:rPr>
          <w:rFonts w:ascii="Times New Roman" w:cs="Times New Roman" w:eastAsia="Times New Roman" w:hAnsi="Times New Roman"/>
          <w:sz w:val="22"/>
          <w:szCs w:val="22"/>
          <w:color w:val="auto"/>
        </w:rPr>
        <w:t xml:space="preserve"> ICAV, </w:t>
      </w:r>
      <w:r>
        <w:rPr>
          <w:rFonts w:ascii="Times New Roman" w:cs="Times New Roman" w:eastAsia="Times New Roman" w:hAnsi="Times New Roman"/>
          <w:sz w:val="14"/>
          <w:szCs w:val="14"/>
          <w:color w:val="auto"/>
        </w:rPr>
        <w:t>an</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mbrella</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rish collective asset</w:t>
      </w: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color w:val="auto"/>
        </w:rPr>
        <w:t>management vehicle with segregated liability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between sub</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funds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for and on behalf of its sub</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fund</w:t>
      </w:r>
      <w:r>
        <w:rPr>
          <w:rFonts w:ascii="Times New Roman" w:cs="Times New Roman" w:eastAsia="Times New Roman" w:hAnsi="Times New Roman"/>
          <w:sz w:val="21"/>
          <w:szCs w:val="21"/>
          <w:color w:val="auto"/>
        </w:rPr>
        <w:t>, 4010 R</w:t>
      </w:r>
      <w:r>
        <w:rPr>
          <w:rFonts w:ascii="Times New Roman" w:cs="Times New Roman" w:eastAsia="Times New Roman" w:hAnsi="Times New Roman"/>
          <w:sz w:val="14"/>
          <w:szCs w:val="14"/>
          <w:color w:val="auto"/>
        </w:rPr>
        <w:t xml:space="preserve">oyalty </w:t>
      </w:r>
      <w:r>
        <w:rPr>
          <w:rFonts w:ascii="Times New Roman" w:cs="Times New Roman" w:eastAsia="Times New Roman" w:hAnsi="Times New Roman"/>
          <w:sz w:val="21"/>
          <w:szCs w:val="21"/>
          <w:color w:val="auto"/>
        </w:rPr>
        <w:t>I</w:t>
      </w:r>
      <w:r>
        <w:rPr>
          <w:rFonts w:ascii="Times New Roman" w:cs="Times New Roman" w:eastAsia="Times New Roman" w:hAnsi="Times New Roman"/>
          <w:sz w:val="14"/>
          <w:szCs w:val="14"/>
          <w:color w:val="auto"/>
        </w:rPr>
        <w:t xml:space="preserve">nvestments </w:t>
      </w:r>
      <w:r>
        <w:rPr>
          <w:rFonts w:ascii="Times New Roman" w:cs="Times New Roman" w:eastAsia="Times New Roman" w:hAnsi="Times New Roman"/>
          <w:sz w:val="21"/>
          <w:szCs w:val="21"/>
          <w:color w:val="auto"/>
        </w:rPr>
        <w:t>F</w:t>
      </w:r>
      <w:r>
        <w:rPr>
          <w:rFonts w:ascii="Times New Roman" w:cs="Times New Roman" w:eastAsia="Times New Roman" w:hAnsi="Times New Roman"/>
          <w:sz w:val="14"/>
          <w:szCs w:val="14"/>
          <w:color w:val="auto"/>
        </w:rPr>
        <w:t xml:space="preserve">und </w:t>
      </w:r>
      <w:r>
        <w:rPr>
          <w:rFonts w:ascii="Times New Roman" w:cs="Times New Roman" w:eastAsia="Times New Roman" w:hAnsi="Times New Roman"/>
          <w:sz w:val="21"/>
          <w:szCs w:val="21"/>
          <w:color w:val="auto"/>
        </w:rPr>
        <w:t>1</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ated as of</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ebruary</w:t>
      </w:r>
      <w:r>
        <w:rPr>
          <w:rFonts w:ascii="Times New Roman" w:cs="Times New Roman" w:eastAsia="Times New Roman" w:hAnsi="Times New Roman"/>
          <w:sz w:val="22"/>
          <w:szCs w:val="22"/>
          <w:color w:val="auto"/>
        </w:rPr>
        <w:t xml:space="preserve">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1438275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756" w:right="45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86"/>
        </w:trPr>
        <w:tc>
          <w:tcPr>
            <w:tcW w:w="2580" w:type="dxa"/>
            <w:vAlign w:val="bottom"/>
          </w:tcPr>
          <w:p>
            <w:pPr>
              <w:spacing w:after="0"/>
              <w:rPr>
                <w:sz w:val="24"/>
                <w:szCs w:val="24"/>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7"/>
        </w:trPr>
        <w:tc>
          <w:tcPr>
            <w:tcW w:w="25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353"/>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ARTICLE 1 </w:t>
            </w:r>
            <w:r>
              <w:rPr>
                <w:rFonts w:ascii="Times New Roman" w:cs="Times New Roman" w:eastAsia="Times New Roman" w:hAnsi="Times New Roman"/>
                <w:sz w:val="22"/>
                <w:szCs w:val="22"/>
                <w:color w:val="000000"/>
              </w:rPr>
              <w:t>DEFINITIONS</w:t>
            </w:r>
          </w:p>
        </w:tc>
        <w:tc>
          <w:tcPr>
            <w:tcW w:w="7380" w:type="dxa"/>
            <w:vAlign w:val="bottom"/>
          </w:tcPr>
          <w:p>
            <w:pPr>
              <w:spacing w:after="0"/>
              <w:rPr>
                <w:sz w:val="24"/>
                <w:szCs w:val="24"/>
                <w:color w:val="auto"/>
              </w:rPr>
            </w:pP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Definitions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1</w:t>
            </w: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Certain Interpretations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19</w:t>
            </w:r>
          </w:p>
        </w:tc>
      </w:tr>
      <w:tr>
        <w:trPr>
          <w:trHeight w:val="333"/>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2 </w:t>
            </w:r>
            <w:r>
              <w:rPr>
                <w:rFonts w:ascii="Times New Roman" w:cs="Times New Roman" w:eastAsia="Times New Roman" w:hAnsi="Times New Roman"/>
                <w:sz w:val="22"/>
                <w:szCs w:val="22"/>
                <w:color w:val="000000"/>
              </w:rPr>
              <w:t>PURCHASE, SALE AND ASSIGNMENT OF THE REVENUE PARTICIPATION RIGHT</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20</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2.1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Purchase, Sale and Assignment</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20</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2.2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Purchase Price</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21</w:t>
            </w: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2.3</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No Assumed Obligations; Excluded Assets.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21</w:t>
            </w:r>
          </w:p>
        </w:tc>
      </w:tr>
      <w:tr>
        <w:trPr>
          <w:trHeight w:val="333"/>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ARTICLE 3 </w:t>
            </w:r>
            <w:r>
              <w:rPr>
                <w:rFonts w:ascii="Times New Roman" w:cs="Times New Roman" w:eastAsia="Times New Roman" w:hAnsi="Times New Roman"/>
                <w:sz w:val="22"/>
                <w:szCs w:val="22"/>
                <w:color w:val="000000"/>
              </w:rPr>
              <w:t>CLOSING</w:t>
            </w:r>
          </w:p>
        </w:tc>
        <w:tc>
          <w:tcPr>
            <w:tcW w:w="7380" w:type="dxa"/>
            <w:vAlign w:val="bottom"/>
          </w:tcPr>
          <w:p>
            <w:pPr>
              <w:spacing w:after="0"/>
              <w:rPr>
                <w:sz w:val="24"/>
                <w:szCs w:val="24"/>
                <w:color w:val="auto"/>
              </w:rPr>
            </w:pP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22</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3.1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Closing</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22</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3.2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Payment of Purchase Price</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22</w:t>
            </w: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3.3</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Bill of Sale</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22</w:t>
            </w:r>
          </w:p>
        </w:tc>
      </w:tr>
      <w:tr>
        <w:trPr>
          <w:trHeight w:val="333"/>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4 </w:t>
            </w:r>
            <w:r>
              <w:rPr>
                <w:rFonts w:ascii="Times New Roman" w:cs="Times New Roman" w:eastAsia="Times New Roman" w:hAnsi="Times New Roman"/>
                <w:sz w:val="22"/>
                <w:szCs w:val="22"/>
                <w:color w:val="000000"/>
              </w:rPr>
              <w:t>REPRESENTATIONS AND WARRANTIES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22</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4.1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Seller’s Representations and Warranties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22</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4.2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Buyer’s Representations and Warranties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30</w:t>
            </w: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4.3</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No Implied Representations and Warranties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31</w:t>
            </w:r>
          </w:p>
        </w:tc>
      </w:tr>
      <w:tr>
        <w:trPr>
          <w:trHeight w:val="333"/>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5 </w:t>
            </w:r>
            <w:r>
              <w:rPr>
                <w:rFonts w:ascii="Times New Roman" w:cs="Times New Roman" w:eastAsia="Times New Roman" w:hAnsi="Times New Roman"/>
                <w:sz w:val="22"/>
                <w:szCs w:val="22"/>
                <w:color w:val="000000"/>
              </w:rPr>
              <w:t>CONDITIONS TO CLOSING</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31</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5.1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Effective Date Actions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31</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5.2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Conditions to the Buyer’s Obligations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31</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5.3</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Conditions to the Seller’s Obligations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33</w:t>
            </w: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5.4</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Frustration of Closing Conditions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34</w:t>
            </w:r>
          </w:p>
        </w:tc>
      </w:tr>
      <w:tr>
        <w:trPr>
          <w:trHeight w:val="363"/>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010000"/>
              </w:rPr>
              <w:t>ARTICLE 6</w:t>
            </w:r>
          </w:p>
        </w:tc>
        <w:tc>
          <w:tcPr>
            <w:tcW w:w="7380" w:type="dxa"/>
            <w:vAlign w:val="bottom"/>
          </w:tcPr>
          <w:p>
            <w:pPr>
              <w:spacing w:after="0"/>
              <w:rPr>
                <w:sz w:val="24"/>
                <w:szCs w:val="24"/>
                <w:color w:val="auto"/>
              </w:rPr>
            </w:pP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34</w:t>
            </w:r>
          </w:p>
        </w:tc>
      </w:tr>
      <w:tr>
        <w:trPr>
          <w:trHeight w:val="321"/>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COVENANTS</w:t>
            </w:r>
          </w:p>
        </w:tc>
        <w:tc>
          <w:tcPr>
            <w:tcW w:w="7380" w:type="dxa"/>
            <w:vAlign w:val="bottom"/>
          </w:tcPr>
          <w:p>
            <w:pPr>
              <w:spacing w:after="0"/>
              <w:rPr>
                <w:sz w:val="24"/>
                <w:szCs w:val="24"/>
                <w:color w:val="auto"/>
              </w:rPr>
            </w:pP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34</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Reporting</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34</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Royalty Payments; Royalty Reports; Change of Control</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36</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6.3</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Disclosures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37</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6.4</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Inspections and Audits of the Seller</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38</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6.5</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Intellectual Property Matters.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38</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6.6</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In-Licenses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40</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6.7</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Out-Licenses.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40</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6.8</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Royalty Transactions; Indebtedness.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41</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6.9</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Diligence</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42</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6.10</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Efforts to Consummate Transactions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42</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6.11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Further Assurances.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42</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6.12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No Impairment of Revenue Participation Right or Back-Up Security Interest</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42</w:t>
            </w: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6.13</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Certain Tax Matters.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43</w:t>
            </w:r>
          </w:p>
        </w:tc>
      </w:tr>
      <w:tr>
        <w:trPr>
          <w:trHeight w:val="333"/>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7 </w:t>
            </w:r>
            <w:r>
              <w:rPr>
                <w:rFonts w:ascii="Times New Roman" w:cs="Times New Roman" w:eastAsia="Times New Roman" w:hAnsi="Times New Roman"/>
                <w:sz w:val="22"/>
                <w:szCs w:val="22"/>
                <w:color w:val="000000"/>
              </w:rPr>
              <w:t>INDEMNIFICATION</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44</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7.1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General Indemnity</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44</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7.2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Notice of Claims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45</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7.3</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Limitations on Liability</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45</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7.4</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Exclusive Remedy</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46</w:t>
            </w: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7.5</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Tax Treatment of Indemnification Payments</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46</w:t>
            </w:r>
          </w:p>
        </w:tc>
      </w:tr>
      <w:tr>
        <w:trPr>
          <w:trHeight w:val="333"/>
        </w:trPr>
        <w:tc>
          <w:tcPr>
            <w:tcW w:w="99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8 </w:t>
            </w:r>
            <w:r>
              <w:rPr>
                <w:rFonts w:ascii="Times New Roman" w:cs="Times New Roman" w:eastAsia="Times New Roman" w:hAnsi="Times New Roman"/>
                <w:sz w:val="22"/>
                <w:szCs w:val="22"/>
                <w:color w:val="000000"/>
              </w:rPr>
              <w:t>CONFIDENTIALITY</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46</w:t>
            </w:r>
          </w:p>
        </w:tc>
      </w:tr>
      <w:tr>
        <w:trPr>
          <w:trHeight w:val="216"/>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8.1</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Confidentiality</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46</w:t>
            </w: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8.2</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010000"/>
              </w:rPr>
              <w:t>Authorized Disclosure</w:t>
            </w: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010000"/>
              </w:rPr>
              <w:t>47</w:t>
            </w: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7" w:name="page188"/>
    <w:bookmarkEnd w:id="187"/>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010000"/>
                <w:w w:val="98"/>
              </w:rPr>
              <w:t xml:space="preserve">ARTICLE 9 </w:t>
            </w:r>
            <w:r>
              <w:rPr>
                <w:rFonts w:ascii="Times New Roman" w:cs="Times New Roman" w:eastAsia="Times New Roman" w:hAnsi="Times New Roman"/>
                <w:sz w:val="22"/>
                <w:szCs w:val="22"/>
                <w:color w:val="000000"/>
                <w:w w:val="98"/>
              </w:rPr>
              <w:t>TERMINATION</w:t>
            </w:r>
          </w:p>
        </w:tc>
        <w:tc>
          <w:tcPr>
            <w:tcW w:w="68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16"/>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9.1</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010000"/>
              </w:rPr>
              <w:t>Mutual 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48</w:t>
            </w:r>
          </w:p>
        </w:tc>
      </w:tr>
      <w:tr>
        <w:trPr>
          <w:trHeight w:val="216"/>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9.2</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010000"/>
              </w:rPr>
              <w:t>Buyer Termination Upon Failure to Achieve Closing Conditions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48</w:t>
            </w:r>
          </w:p>
        </w:tc>
      </w:tr>
      <w:tr>
        <w:trPr>
          <w:trHeight w:val="216"/>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9.3</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010000"/>
              </w:rPr>
              <w:t>Buyer Termination for BlackBox Warnings or Unexpected Contraindications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48</w:t>
            </w:r>
          </w:p>
        </w:tc>
      </w:tr>
      <w:tr>
        <w:trPr>
          <w:trHeight w:val="216"/>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9.4</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010000"/>
              </w:rPr>
              <w:t>Automatic Termination Following Royalty Termination Date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48</w:t>
            </w:r>
          </w:p>
        </w:tc>
      </w:tr>
      <w:tr>
        <w:trPr>
          <w:trHeight w:val="216"/>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9.5</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010000"/>
              </w:rPr>
              <w:t>Automatic Termination upon CoC Payment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48</w:t>
            </w:r>
          </w:p>
        </w:tc>
      </w:tr>
      <w:tr>
        <w:trPr>
          <w:trHeight w:val="216"/>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9.6</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010000"/>
              </w:rPr>
              <w:t>Effect of 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48</w:t>
            </w:r>
          </w:p>
        </w:tc>
      </w:tr>
      <w:tr>
        <w:trPr>
          <w:trHeight w:val="234"/>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9.7</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010000"/>
              </w:rPr>
              <w:t>Survival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48</w:t>
            </w: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900" w:type="dxa"/>
            <w:vAlign w:val="bottom"/>
            <w:gridSpan w:val="3"/>
          </w:tcPr>
          <w:p>
            <w:pPr>
              <w:spacing w:after="0"/>
              <w:rPr>
                <w:sz w:val="20"/>
                <w:szCs w:val="20"/>
                <w:color w:val="auto"/>
              </w:rPr>
            </w:pPr>
            <w:r>
              <w:rPr>
                <w:rFonts w:ascii="Times New Roman" w:cs="Times New Roman" w:eastAsia="Times New Roman" w:hAnsi="Times New Roman"/>
                <w:sz w:val="22"/>
                <w:szCs w:val="22"/>
                <w:color w:val="010000"/>
              </w:rPr>
              <w:t xml:space="preserve">ARTICLE 10 </w:t>
            </w:r>
            <w:r>
              <w:rPr>
                <w:rFonts w:ascii="Times New Roman" w:cs="Times New Roman" w:eastAsia="Times New Roman" w:hAnsi="Times New Roman"/>
                <w:sz w:val="22"/>
                <w:szCs w:val="22"/>
                <w:color w:val="000000"/>
              </w:rPr>
              <w:t>EVENTS OF DEFAULT REMEDIES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34"/>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10.1</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Remedies Upon Event of Default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49</w:t>
            </w:r>
          </w:p>
        </w:tc>
      </w:tr>
      <w:tr>
        <w:trPr>
          <w:trHeight w:val="333"/>
        </w:trPr>
        <w:tc>
          <w:tcPr>
            <w:tcW w:w="8900" w:type="dxa"/>
            <w:vAlign w:val="bottom"/>
            <w:gridSpan w:val="3"/>
          </w:tcPr>
          <w:p>
            <w:pPr>
              <w:spacing w:after="0"/>
              <w:rPr>
                <w:sz w:val="20"/>
                <w:szCs w:val="20"/>
                <w:color w:val="auto"/>
              </w:rPr>
            </w:pPr>
            <w:r>
              <w:rPr>
                <w:rFonts w:ascii="Times New Roman" w:cs="Times New Roman" w:eastAsia="Times New Roman" w:hAnsi="Times New Roman"/>
                <w:sz w:val="22"/>
                <w:szCs w:val="22"/>
                <w:color w:val="010000"/>
              </w:rPr>
              <w:t xml:space="preserve">ARTICLE 11 </w:t>
            </w:r>
            <w:r>
              <w:rPr>
                <w:rFonts w:ascii="Times New Roman" w:cs="Times New Roman" w:eastAsia="Times New Roman" w:hAnsi="Times New Roman"/>
                <w:sz w:val="22"/>
                <w:szCs w:val="22"/>
                <w:color w:val="000000"/>
              </w:rPr>
              <w:t>MISCELLANEOUS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11.1</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Headings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49</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11.2</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Notices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49</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11.3</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51</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11.4</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Assignment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51</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11.5</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Amendment and Waiver.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52</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11.6</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Entire Agreement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52</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11.7</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No Third-Party Beneficiaries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52</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11.8</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Governing Law</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52</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11.9</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Jurisdiction; Venue.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52</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11.10</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Severability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53</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11.11</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Specific Performance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53</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11.12</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Counterparts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53</w:t>
            </w:r>
          </w:p>
        </w:tc>
      </w:tr>
      <w:tr>
        <w:trPr>
          <w:trHeight w:val="216"/>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11.13</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Relationship of the Parties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54</w:t>
            </w:r>
          </w:p>
        </w:tc>
      </w:tr>
      <w:tr>
        <w:trPr>
          <w:trHeight w:val="234"/>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010000"/>
              </w:rPr>
              <w:t>Section 11.14</w:t>
            </w:r>
          </w:p>
        </w:tc>
        <w:tc>
          <w:tcPr>
            <w:tcW w:w="7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010000"/>
              </w:rPr>
              <w:t>Limited Recourse and Non-Petition.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54</w:t>
            </w:r>
          </w:p>
        </w:tc>
      </w:tr>
      <w:tr>
        <w:trPr>
          <w:trHeight w:val="418"/>
        </w:trPr>
        <w:tc>
          <w:tcPr>
            <w:tcW w:w="89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Index of Exhibits, Schedules and Annexes</w:t>
            </w:r>
          </w:p>
        </w:tc>
        <w:tc>
          <w:tcPr>
            <w:tcW w:w="2120" w:type="dxa"/>
            <w:vAlign w:val="bottom"/>
          </w:tcPr>
          <w:p>
            <w:pPr>
              <w:spacing w:after="0"/>
              <w:rPr>
                <w:sz w:val="24"/>
                <w:szCs w:val="24"/>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79"/>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7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Description of aglatimagene besadenovec</w:t>
            </w:r>
          </w:p>
        </w:tc>
        <w:tc>
          <w:tcPr>
            <w:tcW w:w="2120" w:type="dxa"/>
            <w:vAlign w:val="bottom"/>
          </w:tcPr>
          <w:p>
            <w:pPr>
              <w:spacing w:after="0"/>
              <w:rPr>
                <w:sz w:val="24"/>
                <w:szCs w:val="24"/>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768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Bill of Sale</w:t>
            </w:r>
          </w:p>
        </w:tc>
        <w:tc>
          <w:tcPr>
            <w:tcW w:w="2120" w:type="dxa"/>
            <w:vAlign w:val="bottom"/>
          </w:tcPr>
          <w:p>
            <w:pPr>
              <w:spacing w:after="0"/>
              <w:rPr>
                <w:sz w:val="21"/>
                <w:szCs w:val="2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768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Seller Opinion</w:t>
            </w:r>
          </w:p>
        </w:tc>
        <w:tc>
          <w:tcPr>
            <w:tcW w:w="2120" w:type="dxa"/>
            <w:vAlign w:val="bottom"/>
          </w:tcPr>
          <w:p>
            <w:pPr>
              <w:spacing w:after="0"/>
              <w:rPr>
                <w:sz w:val="21"/>
                <w:szCs w:val="2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7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Example of Calculation of Included Amount to Royalty Payments</w:t>
            </w:r>
          </w:p>
        </w:tc>
        <w:tc>
          <w:tcPr>
            <w:tcW w:w="2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88" w:name="page189"/>
    <w:bookmarkEnd w:id="188"/>
    <w:p>
      <w:pPr>
        <w:ind w:left="3800"/>
        <w:spacing w:after="0"/>
        <w:rPr>
          <w:sz w:val="20"/>
          <w:szCs w:val="20"/>
          <w:color w:val="auto"/>
        </w:rPr>
      </w:pPr>
      <w:r>
        <w:rPr>
          <w:rFonts w:ascii="Times New Roman" w:cs="Times New Roman" w:eastAsia="Times New Roman" w:hAnsi="Times New Roman"/>
          <w:sz w:val="22"/>
          <w:szCs w:val="22"/>
          <w:color w:val="auto"/>
        </w:rPr>
        <w:t>PURCHASE AND SALE AGREEMENT</w:t>
      </w:r>
    </w:p>
    <w:p>
      <w:pPr>
        <w:spacing w:after="0" w:line="20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This PURCHASE AND SALE AGREEMENT, dated as of February 19, 2026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 4010 R</w:t>
      </w:r>
      <w:r>
        <w:rPr>
          <w:rFonts w:ascii="Times New Roman" w:cs="Times New Roman" w:eastAsia="Times New Roman" w:hAnsi="Times New Roman"/>
          <w:sz w:val="14"/>
          <w:szCs w:val="14"/>
          <w:color w:val="auto"/>
        </w:rPr>
        <w:t>oyalty</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nvestments</w:t>
      </w:r>
      <w:r>
        <w:rPr>
          <w:rFonts w:ascii="Times New Roman" w:cs="Times New Roman" w:eastAsia="Times New Roman" w:hAnsi="Times New Roman"/>
          <w:sz w:val="22"/>
          <w:szCs w:val="22"/>
          <w:color w:val="auto"/>
        </w:rPr>
        <w:t xml:space="preserve"> ICAV, </w:t>
      </w:r>
      <w:r>
        <w:rPr>
          <w:rFonts w:ascii="Times New Roman" w:cs="Times New Roman" w:eastAsia="Times New Roman" w:hAnsi="Times New Roman"/>
          <w:sz w:val="14"/>
          <w:szCs w:val="14"/>
          <w:color w:val="auto"/>
        </w:rPr>
        <w:t>an</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mbrella</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rish collective asset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management vehicle with segregated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liability between sub</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funds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for and on behalf of its sub</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fund</w:t>
      </w:r>
      <w:r>
        <w:rPr>
          <w:rFonts w:ascii="Times New Roman" w:cs="Times New Roman" w:eastAsia="Times New Roman" w:hAnsi="Times New Roman"/>
          <w:sz w:val="21"/>
          <w:szCs w:val="21"/>
          <w:color w:val="auto"/>
        </w:rPr>
        <w:t>, 4010 R</w:t>
      </w:r>
      <w:r>
        <w:rPr>
          <w:rFonts w:ascii="Times New Roman" w:cs="Times New Roman" w:eastAsia="Times New Roman" w:hAnsi="Times New Roman"/>
          <w:sz w:val="14"/>
          <w:szCs w:val="14"/>
          <w:color w:val="auto"/>
        </w:rPr>
        <w:t xml:space="preserve">oyalty </w:t>
      </w:r>
      <w:r>
        <w:rPr>
          <w:rFonts w:ascii="Times New Roman" w:cs="Times New Roman" w:eastAsia="Times New Roman" w:hAnsi="Times New Roman"/>
          <w:sz w:val="21"/>
          <w:szCs w:val="21"/>
          <w:color w:val="auto"/>
        </w:rPr>
        <w:t>I</w:t>
      </w:r>
      <w:r>
        <w:rPr>
          <w:rFonts w:ascii="Times New Roman" w:cs="Times New Roman" w:eastAsia="Times New Roman" w:hAnsi="Times New Roman"/>
          <w:sz w:val="14"/>
          <w:szCs w:val="14"/>
          <w:color w:val="auto"/>
        </w:rPr>
        <w:t xml:space="preserve">nvestments </w:t>
      </w:r>
      <w:r>
        <w:rPr>
          <w:rFonts w:ascii="Times New Roman" w:cs="Times New Roman" w:eastAsia="Times New Roman" w:hAnsi="Times New Roman"/>
          <w:sz w:val="21"/>
          <w:szCs w:val="21"/>
          <w:color w:val="auto"/>
        </w:rPr>
        <w:t>F</w:t>
      </w:r>
      <w:r>
        <w:rPr>
          <w:rFonts w:ascii="Times New Roman" w:cs="Times New Roman" w:eastAsia="Times New Roman" w:hAnsi="Times New Roman"/>
          <w:sz w:val="14"/>
          <w:szCs w:val="14"/>
          <w:color w:val="auto"/>
        </w:rPr>
        <w:t xml:space="preserve">und </w:t>
      </w:r>
      <w:r>
        <w:rPr>
          <w:rFonts w:ascii="Times New Roman" w:cs="Times New Roman" w:eastAsia="Times New Roman" w:hAnsi="Times New Roman"/>
          <w:sz w:val="21"/>
          <w:szCs w:val="21"/>
          <w:color w:val="auto"/>
        </w:rPr>
        <w:t>1 (the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and C</w:t>
      </w:r>
      <w:r>
        <w:rPr>
          <w:rFonts w:ascii="Times New Roman" w:cs="Times New Roman" w:eastAsia="Times New Roman" w:hAnsi="Times New Roman"/>
          <w:sz w:val="14"/>
          <w:szCs w:val="14"/>
          <w:color w:val="auto"/>
        </w:rPr>
        <w:t>andel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 corporation incorporated in the State of Delaware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ind w:right="820" w:firstLine="749"/>
        <w:spacing w:after="0" w:line="258" w:lineRule="auto"/>
        <w:rPr>
          <w:sz w:val="20"/>
          <w:szCs w:val="20"/>
          <w:color w:val="auto"/>
        </w:rPr>
      </w:pPr>
      <w:r>
        <w:rPr>
          <w:rFonts w:ascii="Times New Roman" w:cs="Times New Roman" w:eastAsia="Times New Roman" w:hAnsi="Times New Roman"/>
          <w:sz w:val="22"/>
          <w:szCs w:val="22"/>
          <w:color w:val="auto"/>
        </w:rPr>
        <w:t>WHEREAS, the Seller is in the business of, among other things, developing and commercializing aglatimagene besadenovec; and</w:t>
      </w:r>
    </w:p>
    <w:p>
      <w:pPr>
        <w:spacing w:after="0" w:line="158"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WHEREAS, the Buyer desires to purchase the Revenue Participation Right from the Seller in exchange for payment of the Purchase Price, and the Seller desires to sell the Revenue Participation Right to the Buyer in exchange for the Buyer’s payment of the Purchase Price, in each case on the terms and conditions set forth in this Agreement.</w:t>
      </w:r>
    </w:p>
    <w:p>
      <w:pPr>
        <w:spacing w:after="0" w:line="173"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set forth herein and for good and valuable consideration, the receipt and adequacy of which are hereby acknowledged, the Seller and the Buyer hereby agree as follows: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010000"/>
        </w:rPr>
        <w:t>ARTICLE 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DEFINITIONS</w:t>
      </w: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following terms, as used herein, shall have the following meanings:</w:t>
      </w:r>
    </w:p>
    <w:p>
      <w:pPr>
        <w:spacing w:after="0" w:line="182"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Intercreditor Agreement</w:t>
      </w:r>
      <w:r>
        <w:rPr>
          <w:rFonts w:ascii="Times New Roman" w:cs="Times New Roman" w:eastAsia="Times New Roman" w:hAnsi="Times New Roman"/>
          <w:sz w:val="22"/>
          <w:szCs w:val="22"/>
          <w:color w:val="auto"/>
        </w:rPr>
        <w:t>” means an intercreditor agreement establishing the rights and priorities in respect of common Liens on the Product Collateral on terms acceptable to Buyer (acting in good faith, provided that the counterparties to such agreement act in good faith), among the Buyer, the Seller and the holders of any secured Indebtedness incurred as permitted under this Agreement or any agent, representative or trustee acting on behalf of such holders, to be mutually agreed by the parties thereto.</w:t>
      </w:r>
    </w:p>
    <w:p>
      <w:pPr>
        <w:spacing w:after="0" w:line="177"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 with respect to any particular Person, any other Person directly or indirectly controlling, controlled by or under common control with such particular Person and (b) with respect to the Buyer, any Person now or hereafter existing that is managed or controlled by RTW Investments, LP or of which RTW Investments, LP serves as investment manager. For purposes of the foregoing sentence, the term “control” means direct or indirect ownership of (i) 50% or more, including ownership by trusts with substantially the same beneficial interests, of the voting and equity rights of such Person, firm, trust, corporation, partnership or other entity or combination thereof, or (ii) the power to direct the management of such person, firm, trust, corporation, partnership or other entity or combination thereof, by contract or otherwise.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aglatimagene besadenovec</w:t>
      </w:r>
      <w:r>
        <w:rPr>
          <w:rFonts w:ascii="Times New Roman" w:cs="Times New Roman" w:eastAsia="Times New Roman" w:hAnsi="Times New Roman"/>
          <w:sz w:val="22"/>
          <w:szCs w:val="22"/>
          <w:color w:val="auto"/>
        </w:rPr>
        <w:t>” means [***], and as further described on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9" w:name="page190"/>
    <w:bookmarkEnd w:id="18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is defined in the definition of “Royalty Rate”.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Indication</w:t>
      </w:r>
      <w:r>
        <w:rPr>
          <w:rFonts w:ascii="Times New Roman" w:cs="Times New Roman" w:eastAsia="Times New Roman" w:hAnsi="Times New Roman"/>
          <w:sz w:val="22"/>
          <w:szCs w:val="22"/>
          <w:color w:val="auto"/>
        </w:rPr>
        <w:t>” means the treatment of intermediate risk and high-risk localized prostate cancer.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Security Interest</w:t>
      </w:r>
      <w:r>
        <w:rPr>
          <w:rFonts w:ascii="Times New Roman" w:cs="Times New Roman" w:eastAsia="Times New Roman" w:hAnsi="Times New Roman"/>
          <w:sz w:val="22"/>
          <w:szCs w:val="22"/>
          <w:color w:val="auto"/>
        </w:rPr>
        <w:t>” is defined in Section 2.1(b).</w:t>
      </w:r>
    </w:p>
    <w:p>
      <w:pPr>
        <w:spacing w:after="0" w:line="206" w:lineRule="exact"/>
        <w:rPr>
          <w:sz w:val="20"/>
          <w:szCs w:val="20"/>
          <w:color w:val="auto"/>
        </w:rPr>
      </w:pPr>
    </w:p>
    <w:p>
      <w:pPr>
        <w:ind w:right="80"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means the occurrence of any of the following in respect of a Person: (a) such Person shall generally not, shall be unable to, or an admission in writing by such Person of its inability to, pay its debts as they come due or a general assignment by such Person for the benefit of creditors; (b) the filing of any petition or answer by such Person seeking to adjudicate itself as bankrupt or insolvent, or seeking for itself any liquidation, winding-up, reorganization, arrangement, adjustment, protection, relief or composition of such Person or its debts under any applicable law relating to bankruptcy, insolvency, examinership, receivership, winding-up, liquidation, reorganization, examination, relief of debtors or other similar applicable law now or hereafter in effect, or seeking, consenting to or acquiescing in the entry of an order for relief in any case under any such applicable law, or the appointment of or taking possession by a receiver, trustee, custodian, liquidator, examiner, assignee, sequestrator or other similar official for such Person or for any substantial part of its property; (c) corporate or other entity action taken by such Person to authorize any of the actions set forth in clause (a) or clause (b) above; or (d) without the consent or acquiescence of such Person, the commencement of an action seeking entry of an order for relief or approval of a petition for relief or reorganization or any other petition seeking any reorganization, arrangement, composition, readjustment, liquidation, dissolution or other similar relief under any present or future bankruptcy, insolvency or similar applicable law, or the filing of any such petition against such Person, or, without the consent or acquiescence of such Person, the commencement of an action seeking entry of an order appointing a trustee, custodian, receiver or liquidator of such Person or of all or any substantial part of the property of such Person, in each case where such petition or order shall remain unstayed or shall not have been stayed or dismissed within [***] calendar days from entry thereof.</w:t>
      </w:r>
    </w:p>
    <w:p>
      <w:pPr>
        <w:spacing w:after="0" w:line="19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Laws</w:t>
      </w:r>
      <w:r>
        <w:rPr>
          <w:rFonts w:ascii="Times New Roman" w:cs="Times New Roman" w:eastAsia="Times New Roman" w:hAnsi="Times New Roman"/>
          <w:sz w:val="22"/>
          <w:szCs w:val="22"/>
          <w:color w:val="auto"/>
        </w:rPr>
        <w:t>” means, collectively, bankruptcy, insolvency, reorganization, examinership, moratorium, fraudulent conveyance, fraudulent transfer or other similar laws affecting the enforcement of creditors’ rights generally.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is defined in Section 3.3.</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w:t>
      </w:r>
      <w:r>
        <w:rPr>
          <w:rFonts w:ascii="Times New Roman" w:cs="Times New Roman" w:eastAsia="Times New Roman" w:hAnsi="Times New Roman"/>
          <w:sz w:val="22"/>
          <w:szCs w:val="22"/>
          <w:color w:val="auto"/>
        </w:rPr>
        <w:t>” means a Biologics License Application submitted to the FDA in the United States in accordance with the Public Health Service Act with respect to a Product.</w:t>
      </w:r>
    </w:p>
    <w:p>
      <w:pPr>
        <w:spacing w:after="0" w:line="158" w:lineRule="exact"/>
        <w:rPr>
          <w:sz w:val="20"/>
          <w:szCs w:val="20"/>
          <w:color w:val="auto"/>
        </w:rPr>
      </w:pPr>
    </w:p>
    <w:p>
      <w:pPr>
        <w:ind w:right="5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Blackbox Warning</w:t>
      </w:r>
      <w:r>
        <w:rPr>
          <w:rFonts w:ascii="Times New Roman" w:cs="Times New Roman" w:eastAsia="Times New Roman" w:hAnsi="Times New Roman"/>
          <w:sz w:val="22"/>
          <w:szCs w:val="22"/>
          <w:color w:val="auto"/>
        </w:rPr>
        <w:t>” means any “ boxed warning” as described under 21 CFR 201.57(c)(1) of the Code of Federal Regulations.</w:t>
      </w:r>
    </w:p>
    <w:p>
      <w:pPr>
        <w:spacing w:after="0" w:line="15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are permitted or required by applicable law or regulation to remain closed.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Buy-Back Option</w:t>
      </w:r>
      <w:r>
        <w:rPr>
          <w:rFonts w:ascii="Times New Roman" w:cs="Times New Roman" w:eastAsia="Times New Roman" w:hAnsi="Times New Roman"/>
          <w:sz w:val="22"/>
          <w:szCs w:val="22"/>
          <w:color w:val="auto"/>
        </w:rPr>
        <w:t>” is defined in Section 6.2(c)(i).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Buy-Back Requirement</w:t>
      </w:r>
      <w:r>
        <w:rPr>
          <w:rFonts w:ascii="Times New Roman" w:cs="Times New Roman" w:eastAsia="Times New Roman" w:hAnsi="Times New Roman"/>
          <w:sz w:val="22"/>
          <w:szCs w:val="22"/>
          <w:color w:val="auto"/>
        </w:rPr>
        <w:t>” is defined in Section 6.2(c)(i).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is defined in Section 7.1(a).</w:t>
      </w:r>
    </w:p>
    <w:p>
      <w:pPr>
        <w:spacing w:after="0" w:line="20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for the Calendar Quarter in which the Closing occurs, the period beginning on the first day of such calendar quarter and ending on the last day of such calendar quarter, and thereafter, in each case, each successive period of three consecutive calendar months ending on March 31, June 30, September 30 or December 31; provided that the final Calendar Quarter of this Agreement shall end on the effective date of expiration or termination of this Agreement.</w:t>
      </w:r>
    </w:p>
    <w:p>
      <w:pPr>
        <w:spacing w:after="0" w:line="180"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for the Calendar Year in which the Closing occurs, the period beginning on the first day of such calendar year and ending on the last day of such calendar year, and thereafter, in each case, each respective period of 12 consecutive months ending on December 31; provided that the final Calendar Year of this Agreement shall end on the effective date of expiration or termination of this Agreement.</w:t>
      </w:r>
    </w:p>
    <w:p>
      <w:pPr>
        <w:spacing w:after="0" w:line="180"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one or more of the following: (a) the acquisition, whether directly, indirectly, beneficially or of record, whether by merger, scheme of arrangement, consolidation, sale or other transfer of securities in a single transaction or series of related transactions, by any Third Party (or group, as such term is defined in Rule 13d-5 of the Securities Exchange Act of 1934) of any voting securities of the Seller, or if the percentage ownership of any Third Party (or group) in the voting securities of the Seller is increased through stock redemption, cancellation, or other recapitalization, and immediately after such acquisition or increase such Third Party (or group) is, directly or indirectly, the beneficial owner of voting securities representing 50% or more of the total voting power of all of the then outstanding voting securities of the Seller; (b) the consummation or closing of any merger, scheme of arrangement, consolidation, recapitalization or reorganization of the Seller resulting in shareholders or equity holders of the Seller immediately prior to such transaction that did not own more than 50% of the outstanding voting securities of the Seller immediately prior to such transaction, owning more than 50% of the outstanding voting securities of the surviving entity (or its parent entity) immediately following such transaction; (c) the sale, lease, transfer, license or other disposition, in a single transaction or series of related transactions, to a Third Party by the Seller or any Subsidiary of the Seller of all or substantially all the assets of the Seller and its Subsidiaries, taken as a whole (including the sale or disposition (whether by merger, consolidation or otherwise) of one or more Subsidiaries of the Seller if substantially all of the assets of the Seller and its Subsidiaries, taken as a whole, are held by such Subsidiary or Subsidiaries, except where such sale, lease, transfer, license or other disposition is to a wholly owned Subsidiary of the Seller); and (d) the sale, lease, transfer, license or other disposition, in a single transaction or series of related transactions, by the Seller or any Subsidiary of the Seller of all or substantially all the rights of the Seller and its Subsidiaries, taken as a whole, in and to the Products (including the sale or disposition (whether by merger, consolidation or otherwise) of one or more Subsidiaries of the Seller if substantially all of the assets of the Seller and its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1" w:name="page192"/>
    <w:bookmarkEnd w:id="191"/>
    <w:p>
      <w:pPr>
        <w:ind w:right="280"/>
        <w:spacing w:after="0" w:line="258" w:lineRule="auto"/>
        <w:rPr>
          <w:sz w:val="20"/>
          <w:szCs w:val="20"/>
          <w:color w:val="auto"/>
        </w:rPr>
      </w:pPr>
      <w:r>
        <w:rPr>
          <w:rFonts w:ascii="Times New Roman" w:cs="Times New Roman" w:eastAsia="Times New Roman" w:hAnsi="Times New Roman"/>
          <w:sz w:val="22"/>
          <w:szCs w:val="22"/>
          <w:color w:val="auto"/>
        </w:rPr>
        <w:t>Subsidiaries taken as a whole in and to the Products are held by such Subsidiary or Subsidiaries, except where such sale, lease, transfer, license or other disposition is to a wholly owned Subsidiary of the Seller).</w:t>
      </w:r>
    </w:p>
    <w:p>
      <w:pPr>
        <w:spacing w:after="0" w:line="158" w:lineRule="exact"/>
        <w:rPr>
          <w:sz w:val="20"/>
          <w:szCs w:val="20"/>
          <w:color w:val="auto"/>
        </w:rPr>
      </w:pPr>
    </w:p>
    <w:p>
      <w:pPr>
        <w:ind w:right="15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 human clinical trial intended to support or maintain the Marketing Approval or Commercialization of a Product.</w:t>
      </w:r>
    </w:p>
    <w:p>
      <w:pPr>
        <w:spacing w:after="0" w:line="158" w:lineRule="exact"/>
        <w:rPr>
          <w:sz w:val="20"/>
          <w:szCs w:val="20"/>
          <w:color w:val="auto"/>
        </w:rPr>
      </w:pPr>
    </w:p>
    <w:p>
      <w:pPr>
        <w:ind w:right="3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Updates</w:t>
      </w:r>
      <w:r>
        <w:rPr>
          <w:rFonts w:ascii="Times New Roman" w:cs="Times New Roman" w:eastAsia="Times New Roman" w:hAnsi="Times New Roman"/>
          <w:sz w:val="22"/>
          <w:szCs w:val="22"/>
          <w:color w:val="auto"/>
        </w:rPr>
        <w:t>” means (a) a summary of any material updates with respect to the Clinical Trials, including the number of patients currently enrolled in each such Clinical Trial, the number of sites conducting each such Clinical Trial, the material progress of each such Clinical Trial, any material modifications to each such Clinical Trial, any adverse events in the Clinical Trials, (b) written plans to start new Clinical Trials, and (c) investigator brochures for a Product.</w:t>
      </w:r>
    </w:p>
    <w:p>
      <w:pPr>
        <w:spacing w:after="0" w:line="180" w:lineRule="exact"/>
        <w:rPr>
          <w:sz w:val="20"/>
          <w:szCs w:val="20"/>
          <w:color w:val="auto"/>
        </w:rPr>
      </w:pPr>
    </w:p>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means the closing of the sale, transfer, assignment and conveyance of the Revenue Participation Right hereunder.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on which the Closing occurs pursuant to Section 3.1.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CMC</w:t>
      </w:r>
      <w:r>
        <w:rPr>
          <w:rFonts w:ascii="Times New Roman" w:cs="Times New Roman" w:eastAsia="Times New Roman" w:hAnsi="Times New Roman"/>
          <w:sz w:val="22"/>
          <w:szCs w:val="22"/>
          <w:color w:val="auto"/>
        </w:rPr>
        <w:t>” means chemistry, manufacturing and controls with respect to a Product.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CoC Agreement</w:t>
      </w:r>
      <w:r>
        <w:rPr>
          <w:rFonts w:ascii="Times New Roman" w:cs="Times New Roman" w:eastAsia="Times New Roman" w:hAnsi="Times New Roman"/>
          <w:sz w:val="22"/>
          <w:szCs w:val="22"/>
          <w:color w:val="auto"/>
        </w:rPr>
        <w:t>” is defined in Section 6.2(c)(i).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CoC Date</w:t>
      </w:r>
      <w:r>
        <w:rPr>
          <w:rFonts w:ascii="Times New Roman" w:cs="Times New Roman" w:eastAsia="Times New Roman" w:hAnsi="Times New Roman"/>
          <w:sz w:val="22"/>
          <w:szCs w:val="22"/>
          <w:color w:val="auto"/>
        </w:rPr>
        <w:t>” is defined in Section 6.2(c)(i).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CoC Payment</w:t>
      </w:r>
      <w:r>
        <w:rPr>
          <w:rFonts w:ascii="Times New Roman" w:cs="Times New Roman" w:eastAsia="Times New Roman" w:hAnsi="Times New Roman"/>
          <w:sz w:val="22"/>
          <w:szCs w:val="22"/>
          <w:color w:val="auto"/>
        </w:rPr>
        <w:t>” is defined in Section 6.2(c)(i).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means any product that (a) contains (i) aglatimagene besadenovec as well as (ii) one or more other active therapeutic ingredients (an “</w:t>
      </w:r>
      <w:r>
        <w:rPr>
          <w:rFonts w:ascii="Times New Roman" w:cs="Times New Roman" w:eastAsia="Times New Roman" w:hAnsi="Times New Roman"/>
          <w:sz w:val="22"/>
          <w:szCs w:val="22"/>
          <w:u w:val="single" w:color="auto"/>
          <w:color w:val="auto"/>
        </w:rPr>
        <w:t>Other Component</w:t>
      </w:r>
      <w:r>
        <w:rPr>
          <w:rFonts w:ascii="Times New Roman" w:cs="Times New Roman" w:eastAsia="Times New Roman" w:hAnsi="Times New Roman"/>
          <w:sz w:val="22"/>
          <w:szCs w:val="22"/>
          <w:color w:val="auto"/>
        </w:rPr>
        <w:t>”), and (b) is sold for a single price,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in this Agreement shall be deemed to include Combination Products. Combination Products include Combination Therapies to the extent that aglatimagene besadenovec or a Product and the Other Combination Therapy Active Ingredient is sold for a single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-954405</wp:posOffset>
            </wp:positionV>
            <wp:extent cx="43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Combination Therapy</w:t>
      </w:r>
      <w:r>
        <w:rPr>
          <w:rFonts w:ascii="Times New Roman" w:cs="Times New Roman" w:eastAsia="Times New Roman" w:hAnsi="Times New Roman"/>
          <w:sz w:val="21"/>
          <w:szCs w:val="21"/>
          <w:color w:val="auto"/>
        </w:rPr>
        <w:t>” means a therapy using both (a) aglatimagene besadenovec or a Product and (b) at least one other active therapeutic ingredient (an “</w:t>
      </w:r>
      <w:r>
        <w:rPr>
          <w:rFonts w:ascii="Times New Roman" w:cs="Times New Roman" w:eastAsia="Times New Roman" w:hAnsi="Times New Roman"/>
          <w:sz w:val="21"/>
          <w:szCs w:val="21"/>
          <w:u w:val="single" w:color="auto"/>
          <w:color w:val="auto"/>
        </w:rPr>
        <w:t>Other Combination Therapy Active Ingredient</w:t>
      </w:r>
      <w:r>
        <w:rPr>
          <w:rFonts w:ascii="Times New Roman" w:cs="Times New Roman" w:eastAsia="Times New Roman" w:hAnsi="Times New Roman"/>
          <w:sz w:val="21"/>
          <w:szCs w:val="21"/>
          <w:color w:val="auto"/>
        </w:rPr>
        <w:t>”) in concomitant or sequential administration.</w:t>
      </w:r>
    </w:p>
    <w:p>
      <w:pPr>
        <w:spacing w:after="0" w:line="135"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Commercial Updates</w:t>
      </w:r>
      <w:r>
        <w:rPr>
          <w:rFonts w:ascii="Times New Roman" w:cs="Times New Roman" w:eastAsia="Times New Roman" w:hAnsi="Times New Roman"/>
          <w:sz w:val="21"/>
          <w:szCs w:val="21"/>
          <w:color w:val="auto"/>
        </w:rPr>
        <w:t>” means a summary of material updates with respect to the Seller’s and its Affiliates’ and any Licensee’s sales and marketing activities and, if material, commercial manufacturing matters with respect to a Product.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any and all activities directed to the distribution, marketing,</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2" w:name="page193"/>
    <w:bookmarkEnd w:id="192"/>
    <w:p>
      <w:pPr>
        <w:ind w:right="20"/>
        <w:spacing w:after="0" w:line="235" w:lineRule="auto"/>
        <w:rPr>
          <w:sz w:val="20"/>
          <w:szCs w:val="20"/>
          <w:color w:val="auto"/>
        </w:rPr>
      </w:pPr>
      <w:r>
        <w:rPr>
          <w:rFonts w:ascii="Times New Roman" w:cs="Times New Roman" w:eastAsia="Times New Roman" w:hAnsi="Times New Roman"/>
          <w:sz w:val="22"/>
          <w:szCs w:val="22"/>
          <w:color w:val="auto"/>
        </w:rPr>
        <w:t>detailing, promotion, selling and securing of reimbursement of a Product (including the using, importing, selling and offering for sale of such Product), and shall include post-Marketing Approval studies to the extent required by a Regulatory Authority, post-launch marketing, promoting, detailing, distributing, selling such Product, importing, exporting or transporting such Product for sale, and regulatory compliance with respect to the foregoing. When used as a verb, “Commercialize” shall mean to engage in Commercialization. Except with respect to post-Marketing Approval studies required by a Regulatory Authority, Commercialization shall not include any activities directed to the research or development (including pre-clinical and clinical development) or manufacture of a Product (and “Commercialize” shall be construed accordingly).</w:t>
      </w:r>
    </w:p>
    <w:p>
      <w:pPr>
        <w:spacing w:after="0" w:line="18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the level of efforts and resources (measured as of the time that such efforts and resources are required to be used under this Agreement) that are commonly used by a biotechnology company of similar size and resources to Seller (measured based on the size and resources of the Seller as of the Closing Date), to develop, manufacture or commercialize, as the case may be, a comparable product for a comparable clinical indication (with respect to market size and commercial opportunity) at a similar stage in its development or product life and of a similar market and potential to the Product, but without regard to the Seller’s financial obligations under this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is defined in Section 8.1.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 agreement, instrument, arrangement, modification, waiver or understanding.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is defined in Section 8.1.</w:t>
      </w:r>
    </w:p>
    <w:p>
      <w:pPr>
        <w:spacing w:after="0" w:line="206" w:lineRule="exact"/>
        <w:rPr>
          <w:sz w:val="20"/>
          <w:szCs w:val="20"/>
          <w:color w:val="auto"/>
        </w:rPr>
      </w:pPr>
    </w:p>
    <w:p>
      <w:pPr>
        <w:ind w:right="120"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Disclosure Schedule</w:t>
      </w:r>
      <w:r>
        <w:rPr>
          <w:rFonts w:ascii="Times New Roman" w:cs="Times New Roman" w:eastAsia="Times New Roman" w:hAnsi="Times New Roman"/>
          <w:sz w:val="21"/>
          <w:szCs w:val="21"/>
          <w:color w:val="auto"/>
        </w:rPr>
        <w:t>” means the Disclosure Schedule, dated as of the date hereof, delivered to the Buyer by the Seller concurrently with the execution of this Agreement; provided, that the list of Existing Licenses under Schedule 4.1(h)(i) of the Disclosure Schedule and the list of Existing Patent Rights under Schedule 4.1(k)(i) of the Disclosure Schedule, may be updated as of the Closing Date to the extent such updates would not have a material and adverse effect on a Product, any Product Rights or the Revenue Participation Right or be materially adverse to the Buyer’s interests under this Agreement.</w:t>
      </w:r>
    </w:p>
    <w:p>
      <w:pPr>
        <w:spacing w:after="0" w:line="168"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Distributor</w:t>
      </w:r>
      <w:r>
        <w:rPr>
          <w:rFonts w:ascii="Times New Roman" w:cs="Times New Roman" w:eastAsia="Times New Roman" w:hAnsi="Times New Roman"/>
          <w:sz w:val="21"/>
          <w:szCs w:val="21"/>
          <w:color w:val="auto"/>
        </w:rPr>
        <w:t>” means a Third Party that (a) purchases or has the option to purchase a Product in finished form from or at the direction of the Seller, any of it Affiliates, or any Licensee of the Seller or any of the Seller’s Affiliates, (b) has the right, option or obligation to distribute, market or sell such Product (with or without packaging rights) in one or more regions, (c) does not obtain a license or other rights to any Patent Rights or Know-How Rights, and (d) does not otherwise make any royalty, milestone, profit share or other similar payment to the Seller, its Affiliates, or any Licensee of the Seller or any of the Seller’s Affiliates based on such Third Party’s sale of such Product. The term “packaging rights” in this definition will mean the right for the Distributor to package or have packaged Product supplied in unpackaged bulk form into individual ready-for-sale packs.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EMA</w:t>
      </w:r>
      <w:r>
        <w:rPr>
          <w:rFonts w:ascii="Times New Roman" w:cs="Times New Roman" w:eastAsia="Times New Roman" w:hAnsi="Times New Roman"/>
          <w:sz w:val="22"/>
          <w:szCs w:val="22"/>
          <w:color w:val="auto"/>
        </w:rPr>
        <w:t>” means the European Medicines Agency, or any successor agency thereto.</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93" w:name="page194"/>
    <w:bookmarkEnd w:id="193"/>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“enLIGHTEN™ Discovery Platform” means the Seller’s systematic, iterative HSV-based discovery platform leveraging human biology and advanced analytics to create new viral immunotherapy candidates for solid tumors.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means any of the events set forth below:</w:t>
      </w:r>
    </w:p>
    <w:p>
      <w:pPr>
        <w:spacing w:after="0" w:line="206" w:lineRule="exact"/>
        <w:rPr>
          <w:sz w:val="20"/>
          <w:szCs w:val="20"/>
          <w:color w:val="auto"/>
        </w:rPr>
      </w:pPr>
    </w:p>
    <w:p>
      <w:pPr>
        <w:ind w:left="1140" w:right="60" w:firstLine="740"/>
        <w:spacing w:after="0" w:line="244" w:lineRule="auto"/>
        <w:tabs>
          <w:tab w:leader="none" w:pos="2321"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The Seller fails to pay any amounts to the Buyer hereunder when and as the same shall become due and payable; provided that the Seller shall have the right to cure such failure within [***] Business Days;</w:t>
      </w:r>
    </w:p>
    <w:p>
      <w:pPr>
        <w:spacing w:after="0" w:line="173" w:lineRule="exact"/>
        <w:rPr>
          <w:rFonts w:ascii="Times New Roman" w:cs="Times New Roman" w:eastAsia="Times New Roman" w:hAnsi="Times New Roman"/>
          <w:sz w:val="22"/>
          <w:szCs w:val="22"/>
          <w:color w:val="010000"/>
        </w:rPr>
      </w:pPr>
    </w:p>
    <w:p>
      <w:pPr>
        <w:ind w:left="1140" w:right="180" w:firstLine="740"/>
        <w:spacing w:after="0" w:line="235" w:lineRule="auto"/>
        <w:tabs>
          <w:tab w:leader="none" w:pos="2321"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xml:space="preserve">. If (i) the Seller fails to perform or observe any covenant or agreement (not specified in </w:t>
      </w:r>
      <w:r>
        <w:rPr>
          <w:rFonts w:ascii="Times New Roman" w:cs="Times New Roman" w:eastAsia="Times New Roman" w:hAnsi="Times New Roman"/>
          <w:sz w:val="22"/>
          <w:szCs w:val="22"/>
          <w:u w:val="single" w:color="auto"/>
          <w:color w:val="auto"/>
        </w:rPr>
        <w:t>subsection</w:t>
      </w:r>
      <w:r>
        <w:rPr>
          <w:rFonts w:ascii="Times New Roman" w:cs="Times New Roman" w:eastAsia="Times New Roman" w:hAnsi="Times New Roman"/>
          <w:sz w:val="22"/>
          <w:szCs w:val="22"/>
          <w:color w:val="auto"/>
        </w:rPr>
        <w:t xml:space="preserve"> (a) above) contained in this Agreement on its part to be performed or observed, and, in the case of any failure that is capable of cure, such failure continues unremedied for a period of [***] or more calendar days, in all cases, following the date that is the earlier of (A) the date on which the Seller shall have received notice thereof from the Buyer and (B) the date on which the Seller should be aware of such breach; and (ii) such failure (without giving effect to any qualifications as to “materiality” “Material Adverse Effect” or any words of similar meaning) would reasonably be expected to have a Material Adverse Effect;</w:t>
      </w:r>
    </w:p>
    <w:p>
      <w:pPr>
        <w:spacing w:after="0" w:line="183" w:lineRule="exact"/>
        <w:rPr>
          <w:rFonts w:ascii="Times New Roman" w:cs="Times New Roman" w:eastAsia="Times New Roman" w:hAnsi="Times New Roman"/>
          <w:sz w:val="22"/>
          <w:szCs w:val="22"/>
          <w:color w:val="010000"/>
        </w:rPr>
      </w:pPr>
    </w:p>
    <w:p>
      <w:pPr>
        <w:ind w:left="1140" w:firstLine="740"/>
        <w:spacing w:after="0" w:line="234" w:lineRule="auto"/>
        <w:tabs>
          <w:tab w:leader="none" w:pos="2321"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If (i) any representation or warranty made or deemed made by or on behalf of the Seller in or in connection with this Agreement or any amendment or modification hereof, or in any report, certificate, financial statement or other document furnished pursuant to or in connection with this Agreement or any amendment or modification of, shall: (A) prove to have been incorrect when made or deemed made taking into account any materiality or Material Adverse Effect qualifiers included in such representation or warranty; or (B) prove to have been incorrect in any material respect when made or deemed made if such representation or warranty does not otherwise contain any materiality or Material Adverse Effect qualifier; and (ii) such inaccuracy (without giving effect to any qualifications as to “materiality” “Material Adverse Effect” or any words of similar meaning) would reasonably be expected to have a Material Adverse Effect;</w:t>
      </w:r>
    </w:p>
    <w:p>
      <w:pPr>
        <w:spacing w:after="0" w:line="183" w:lineRule="exact"/>
        <w:rPr>
          <w:rFonts w:ascii="Times New Roman" w:cs="Times New Roman" w:eastAsia="Times New Roman" w:hAnsi="Times New Roman"/>
          <w:sz w:val="22"/>
          <w:szCs w:val="22"/>
          <w:color w:val="010000"/>
        </w:rPr>
      </w:pPr>
    </w:p>
    <w:p>
      <w:pPr>
        <w:ind w:left="1140" w:firstLine="740"/>
        <w:spacing w:after="0" w:line="233" w:lineRule="auto"/>
        <w:tabs>
          <w:tab w:leader="none" w:pos="2321"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(i) the Seller or any of its Significant Subsidiaries shall commence a voluntary case or other proceeding seeking liquidation, reorganization or other relief with respect to the Seller, any Significant Subsidiaries or their respective debts under any bankruptcy, insolvency, examinership or other similar law now or hereafter in effect or seeking the appointment of a trustee, receiver, examiner, liquidator, custodian or other similar official of the Seller or any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(ii) an involuntary case or other proceeding shall be commenced against the Seller or any Significant Subsidiary seeking liquidation, reorganization or other relief with respect to the Seller or any Significant Subsidiary or its debts under any bankruptcy, insolvency, examinership or other similar law now or hereafter in effect or seeking</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jc w:val="both"/>
        <w:ind w:left="1140" w:right="320"/>
        <w:spacing w:after="0" w:line="244" w:lineRule="auto"/>
        <w:rPr>
          <w:sz w:val="20"/>
          <w:szCs w:val="20"/>
          <w:color w:val="auto"/>
        </w:rPr>
      </w:pPr>
      <w:r>
        <w:rPr>
          <w:rFonts w:ascii="Times New Roman" w:cs="Times New Roman" w:eastAsia="Times New Roman" w:hAnsi="Times New Roman"/>
          <w:sz w:val="22"/>
          <w:szCs w:val="22"/>
          <w:color w:val="auto"/>
        </w:rPr>
        <w:t>the appointment of a trustee, receiver, examiner, liquidator, custodian or other similar official of the Seller or any Significant Subsidiary or any substantial part of its property, and such involuntary case or other proceeding shall remain undismissed and unstayed for a period of [***] consecutive calendar days; or</w:t>
      </w:r>
    </w:p>
    <w:p>
      <w:pPr>
        <w:spacing w:after="0" w:line="173" w:lineRule="exact"/>
        <w:rPr>
          <w:sz w:val="20"/>
          <w:szCs w:val="20"/>
          <w:color w:val="auto"/>
        </w:rPr>
      </w:pPr>
    </w:p>
    <w:p>
      <w:pPr>
        <w:ind w:left="1140" w:right="80" w:firstLine="740"/>
        <w:spacing w:after="0" w:line="235" w:lineRule="auto"/>
        <w:tabs>
          <w:tab w:leader="none" w:pos="2321"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Default by the Seller or any of its Subsidiaries with respect to any mortgage, agreement or other instrument under which there may be outstanding, or by which there may be secured or evidenced, any indebtedness for money borrowed in excess of [***] (or its foreign currency equivalent) in the aggregate of the Seller and its Subsidiaries, whether such indebtedness now exists or shall hereafter be created (i) resulting in such indebtedness becoming or being declared due and payable or (ii) constituting a failure to pay the principal of any such debt when due and payable (after the expiration of all applicable grace periods) at its stated maturity, upon required repurchase, upon declaration of acceleration or otherwise.</w:t>
      </w:r>
    </w:p>
    <w:p>
      <w:pPr>
        <w:spacing w:after="0" w:line="183" w:lineRule="exact"/>
        <w:rPr>
          <w:rFonts w:ascii="Times New Roman" w:cs="Times New Roman" w:eastAsia="Times New Roman" w:hAnsi="Times New Roman"/>
          <w:sz w:val="22"/>
          <w:szCs w:val="22"/>
          <w:color w:val="010000"/>
        </w:rPr>
      </w:pPr>
    </w:p>
    <w:p>
      <w:pPr>
        <w:ind w:left="1140" w:firstLine="740"/>
        <w:spacing w:after="0" w:line="247" w:lineRule="auto"/>
        <w:tabs>
          <w:tab w:leader="none" w:pos="2321" w:val="left"/>
        </w:tabs>
        <w:numPr>
          <w:ilvl w:val="1"/>
          <w:numId w:val="1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Judgment</w:t>
      </w:r>
      <w:r>
        <w:rPr>
          <w:rFonts w:ascii="Times New Roman" w:cs="Times New Roman" w:eastAsia="Times New Roman" w:hAnsi="Times New Roman"/>
          <w:sz w:val="21"/>
          <w:szCs w:val="21"/>
          <w:color w:val="auto"/>
        </w:rPr>
        <w:t>. A final judgment or judgments for the payment of [***] (or its foreign currency equivalent) or more (excluding any amounts covered by insurance) in the aggregate rendered against the Seller or any of its Subsidiaries which judgment is not discharged, bonded, paid, otherwise satisfied, waived or stayed within [***] calendar days after (i) the date on which the right to appeal thereof has expired if no such appeal has commenced, or</w:t>
      </w:r>
    </w:p>
    <w:p>
      <w:pPr>
        <w:spacing w:after="0" w:line="1" w:lineRule="exact"/>
        <w:rPr>
          <w:rFonts w:ascii="Times New Roman" w:cs="Times New Roman" w:eastAsia="Times New Roman" w:hAnsi="Times New Roman"/>
          <w:sz w:val="21"/>
          <w:szCs w:val="21"/>
          <w:color w:val="010000"/>
        </w:rPr>
      </w:pPr>
    </w:p>
    <w:p>
      <w:pPr>
        <w:ind w:left="1440" w:hanging="309"/>
        <w:spacing w:after="0"/>
        <w:tabs>
          <w:tab w:leader="none" w:pos="14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all rights to appeal have been extinguished.</w:t>
      </w:r>
    </w:p>
    <w:p>
      <w:pPr>
        <w:spacing w:after="0" w:line="182"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24"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In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is defined in Section 4.1(h)(i).</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License</w:t>
      </w:r>
      <w:r>
        <w:rPr>
          <w:rFonts w:ascii="Times New Roman" w:cs="Times New Roman" w:eastAsia="Times New Roman" w:hAnsi="Times New Roman"/>
          <w:sz w:val="22"/>
          <w:szCs w:val="22"/>
          <w:color w:val="auto"/>
        </w:rPr>
        <w:t>” is defined in Section 4.1(h)(i).</w:t>
      </w:r>
    </w:p>
    <w:p>
      <w:pPr>
        <w:spacing w:after="0" w:line="172"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Out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is defined in Section 4.1(h)(i).</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Patent Rights</w:t>
      </w:r>
      <w:r>
        <w:rPr>
          <w:rFonts w:ascii="Times New Roman" w:cs="Times New Roman" w:eastAsia="Times New Roman" w:hAnsi="Times New Roman"/>
          <w:sz w:val="22"/>
          <w:szCs w:val="22"/>
          <w:color w:val="auto"/>
        </w:rPr>
        <w:t>” is defined in Section 4.1(k)(i).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or any successor agency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 Application Integrity Policy</w:t>
      </w:r>
      <w:r>
        <w:rPr>
          <w:rFonts w:ascii="Times New Roman" w:cs="Times New Roman" w:eastAsia="Times New Roman" w:hAnsi="Times New Roman"/>
          <w:sz w:val="22"/>
          <w:szCs w:val="22"/>
          <w:color w:val="auto"/>
        </w:rPr>
        <w:t>” is defined in Section 4.1(g)(ii).</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Party</w:t>
      </w:r>
      <w:r>
        <w:rPr>
          <w:rFonts w:ascii="Times New Roman" w:cs="Times New Roman" w:eastAsia="Times New Roman" w:hAnsi="Times New Roman"/>
          <w:sz w:val="22"/>
          <w:szCs w:val="22"/>
          <w:color w:val="auto"/>
        </w:rPr>
        <w:t>” means any Person that routinely lends money, extends credit or provides debt, equity, lease or royalty financing or other forms of capital, including banks, private investment funds and private equity or similar fund groups not in the business of researching, developing or commercializing drug products.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the first sale by the Seller or any of its Affiliates or Licensees to an end user or prescriber for use, consumption, or resale of a Product in the Territory following receipt of Marketing Approval for a Product, excluding, however, any sale or other distribution for use in a Clinical Trial.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in effect from time to time.</w:t>
      </w:r>
    </w:p>
    <w:p>
      <w:pPr>
        <w:spacing w:after="0" w:line="20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(a) nation, principality, republic, state, commonwealth, province, territory, county, municipality, district or other jurisdiction of any nature; (b) U.S.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Gross Sales</w:t>
      </w:r>
      <w:r>
        <w:rPr>
          <w:rFonts w:ascii="Times New Roman" w:cs="Times New Roman" w:eastAsia="Times New Roman" w:hAnsi="Times New Roman"/>
          <w:sz w:val="22"/>
          <w:szCs w:val="22"/>
          <w:color w:val="auto"/>
        </w:rPr>
        <w:t>” is defined in the definition of “Net Sales”.</w:t>
      </w:r>
    </w:p>
    <w:p>
      <w:pPr>
        <w:spacing w:after="0" w:line="206" w:lineRule="exact"/>
        <w:rPr>
          <w:sz w:val="20"/>
          <w:szCs w:val="20"/>
          <w:color w:val="auto"/>
        </w:rPr>
      </w:pPr>
    </w:p>
    <w:p>
      <w:pPr>
        <w:ind w:right="60" w:firstLine="803"/>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In-License</w:t>
      </w:r>
      <w:r>
        <w:rPr>
          <w:rFonts w:ascii="Times New Roman" w:cs="Times New Roman" w:eastAsia="Times New Roman" w:hAnsi="Times New Roman"/>
          <w:sz w:val="22"/>
          <w:szCs w:val="22"/>
          <w:color w:val="auto"/>
        </w:rPr>
        <w:t>” means any license, settlement agreement or other agreement or arrangement between the Seller or any of its Affiliates and any Third Party pursuant to which the Seller or any of its Affiliates obtains a license or a covenant not to sue or similar grant of rights to any Patents or other intellectual property rights of such Third Party that is necessary for or used in the research, development, manufacture, use or Commercialization of a Product in the Territory.</w:t>
      </w:r>
    </w:p>
    <w:p>
      <w:pPr>
        <w:spacing w:after="0" w:line="18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 any indebtedness for borrowed money, any obligation evidenced by a note, bond, debenture or similar instrument, or any guarantee of any of the foregoing.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 Condition</w:t>
      </w:r>
      <w:r>
        <w:rPr>
          <w:rFonts w:ascii="Times New Roman" w:cs="Times New Roman" w:eastAsia="Times New Roman" w:hAnsi="Times New Roman"/>
          <w:sz w:val="22"/>
          <w:szCs w:val="22"/>
          <w:color w:val="auto"/>
        </w:rPr>
        <w:t>” is defined in Section 5.2(b).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is defined in Section 7.2.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is defined in Section 7.2.</w:t>
      </w:r>
    </w:p>
    <w:p>
      <w:pPr>
        <w:spacing w:after="0" w:line="206"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any and all of the following as they exist in the Territory at any time: (a) the Patent Rights; (b) the Know-How Rights; (c) rights in registered and unregistered trademarks, service marks, trade names, trade dress, logos, packaging design, slogans and Internet domain names, and registrations and applications for registration of any of the foregoing, in each case, with respect to a Product in the Territory; (d) any and all other intellectual property rights and/or proprietary rights, whether or not patentable, specifically relating to any of the foregoing and necessary for or used in the research, development, manufacture, use, or Commercialization of a Product in the Territory.</w:t>
      </w:r>
    </w:p>
    <w:p>
      <w:pPr>
        <w:spacing w:after="0" w:line="18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 Updates</w:t>
      </w:r>
      <w:r>
        <w:rPr>
          <w:rFonts w:ascii="Times New Roman" w:cs="Times New Roman" w:eastAsia="Times New Roman" w:hAnsi="Times New Roman"/>
          <w:sz w:val="21"/>
          <w:szCs w:val="21"/>
          <w:color w:val="auto"/>
        </w:rPr>
        <w:t>” means an updated list of the Patent Rights, including any new Patents issued or filed, amended or supplemented, relating to a Product or any abandonments or other termination of prosecution with respect to any of the Patent Rights, and any other material information or developments with respect to the Patent Rights or Know-How Rights.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96" w:name="page197"/>
    <w:bookmarkEnd w:id="19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writ, injunction, citation, award or decree of any nature.</w:t>
      </w:r>
    </w:p>
    <w:p>
      <w:pPr>
        <w:spacing w:after="0" w:line="206" w:lineRule="exact"/>
        <w:rPr>
          <w:sz w:val="20"/>
          <w:szCs w:val="20"/>
          <w:color w:val="auto"/>
        </w:rPr>
      </w:pPr>
    </w:p>
    <w:p>
      <w:pPr>
        <w:ind w:right="6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any and all proprietary or confidential information, know-how and trade secrets, including processes, formulae, models and techniques (but excluding rights in research in progress, algorithms, data, databases, data collections, chemical and biological materials and the results of experimentation and testing).</w:t>
      </w:r>
    </w:p>
    <w:p>
      <w:pPr>
        <w:spacing w:after="0" w:line="173" w:lineRule="exact"/>
        <w:rPr>
          <w:sz w:val="20"/>
          <w:szCs w:val="20"/>
          <w:color w:val="auto"/>
        </w:rPr>
      </w:pPr>
    </w:p>
    <w:p>
      <w:pPr>
        <w:jc w:val="both"/>
        <w:ind w:right="1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 Rights</w:t>
      </w:r>
      <w:r>
        <w:rPr>
          <w:rFonts w:ascii="Times New Roman" w:cs="Times New Roman" w:eastAsia="Times New Roman" w:hAnsi="Times New Roman"/>
          <w:sz w:val="22"/>
          <w:szCs w:val="22"/>
          <w:color w:val="auto"/>
        </w:rPr>
        <w:t>” means any and all Know-How owned or in-licensed by the Seller or any of its Affiliates or under which the Seller or any of its Affiliates is or may become empowered to grant licenses, in each case, that is necessary or used in the research, development, manufacture, use, or Commercialization of a Product.</w:t>
      </w:r>
    </w:p>
    <w:p>
      <w:pPr>
        <w:spacing w:after="0" w:line="173" w:lineRule="exact"/>
        <w:rPr>
          <w:sz w:val="20"/>
          <w:szCs w:val="20"/>
          <w:color w:val="auto"/>
        </w:rPr>
      </w:pPr>
    </w:p>
    <w:p>
      <w:pPr>
        <w:ind w:right="6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Seller</w:t>
      </w:r>
      <w:r>
        <w:rPr>
          <w:rFonts w:ascii="Times New Roman" w:cs="Times New Roman" w:eastAsia="Times New Roman" w:hAnsi="Times New Roman"/>
          <w:sz w:val="22"/>
          <w:szCs w:val="22"/>
          <w:color w:val="auto"/>
        </w:rPr>
        <w:t xml:space="preserve">” means the actual knowledge of the individuals listed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of the Disclosure Schedule, after reasonable due inquiry.</w:t>
      </w:r>
    </w:p>
    <w:p>
      <w:pPr>
        <w:spacing w:after="0" w:line="15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Licensee</w:t>
      </w:r>
      <w:r>
        <w:rPr>
          <w:rFonts w:ascii="Times New Roman" w:cs="Times New Roman" w:eastAsia="Times New Roman" w:hAnsi="Times New Roman"/>
          <w:sz w:val="21"/>
          <w:szCs w:val="21"/>
          <w:color w:val="auto"/>
        </w:rPr>
        <w:t>” means, with respect to a Product, a Third Party to whom the Seller or any Affiliate of the Seller has granted a license or sublicense to Commercialize such Product. For clarity, a Distributor shall not be deemed to be a “Licensee.”</w:t>
      </w:r>
    </w:p>
    <w:p>
      <w:pPr>
        <w:spacing w:after="0" w:line="13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participation interest, charge, adverse claim, security interest, encumbrance or restriction of any kind, including any restriction on use, transfer or exercise of any other attribute of ownership of any kind.</w:t>
      </w:r>
    </w:p>
    <w:p>
      <w:pPr>
        <w:spacing w:after="0" w:line="158"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and all Judgments, damages, losses, claims, costs, liabilities and expenses, including reasonable fees and out-of-pocket expenses of counsel.</w:t>
      </w:r>
    </w:p>
    <w:p>
      <w:pPr>
        <w:spacing w:after="0" w:line="158"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Stock Exchange</w:t>
      </w:r>
      <w:r>
        <w:rPr>
          <w:rFonts w:ascii="Times New Roman" w:cs="Times New Roman" w:eastAsia="Times New Roman" w:hAnsi="Times New Roman"/>
          <w:sz w:val="22"/>
          <w:szCs w:val="22"/>
          <w:color w:val="auto"/>
        </w:rPr>
        <w:t>” means the NYSE, NASDAQ, Tokyo Stock Exchange, Euronext, or the stock exchanges of Toronto, Frankfurt, or London.</w:t>
      </w:r>
    </w:p>
    <w:p>
      <w:pPr>
        <w:spacing w:after="0" w:line="158"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Approval</w:t>
      </w:r>
      <w:r>
        <w:rPr>
          <w:rFonts w:ascii="Times New Roman" w:cs="Times New Roman" w:eastAsia="Times New Roman" w:hAnsi="Times New Roman"/>
          <w:sz w:val="22"/>
          <w:szCs w:val="22"/>
          <w:color w:val="auto"/>
        </w:rPr>
        <w:t>” means a BLA approved by the FDA or a Marketing Authorization Application approved by the EMA under the centralized European procedure. For avoidance of doubt, “Marketing Approval” shall not include pricing and reimbursement approvals.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Approval Deadline</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effect on (i) the Product, (ii) the Intellectual Property Rights, including the Seller’s or any of its Affiliates’ rights in or to such Intellectual Property Rights, (iii) Marketing Approval of a Product in the Territory or the timing thereof, (iv) the legality, validity or enforceability of any provision of this Agreement, (v) the ability of the Seller to perform any of its obligations under this Agreement, (vi) the rights or remedies of the Buyer under this Agreement, or (vii) the business of the Seller and its Affiliates, taken as a whole or (b) an adverse effect in any material respect on (i) the timing, duration or amount of the Royalty Payments, or (ii) the Revenue Participation Right, the Product Collateral, or the Back-Up Security Interest.</w:t>
      </w:r>
    </w:p>
    <w:p>
      <w:pPr>
        <w:spacing w:after="0" w:line="183"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each Product, the gross amount invoiced, billed or otherwise recorded for sales of such Product in the Territory by or on behalf of the Seller, its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97" w:name="page198"/>
    <w:bookmarkEnd w:id="197"/>
    <w:p>
      <w:pPr>
        <w:ind w:right="20"/>
        <w:spacing w:after="0" w:line="255" w:lineRule="auto"/>
        <w:rPr>
          <w:sz w:val="20"/>
          <w:szCs w:val="20"/>
          <w:color w:val="auto"/>
        </w:rPr>
      </w:pPr>
      <w:r>
        <w:rPr>
          <w:rFonts w:ascii="Times New Roman" w:cs="Times New Roman" w:eastAsia="Times New Roman" w:hAnsi="Times New Roman"/>
          <w:sz w:val="21"/>
          <w:szCs w:val="21"/>
          <w:color w:val="auto"/>
        </w:rPr>
        <w:t>Affiliates, or any Licensee of the Seller or any of the Seller’s Affiliates (each of the foregoing Persons, for purposes of this definition, shall be considered a “</w:t>
      </w:r>
      <w:r>
        <w:rPr>
          <w:rFonts w:ascii="Times New Roman" w:cs="Times New Roman" w:eastAsia="Times New Roman" w:hAnsi="Times New Roman"/>
          <w:sz w:val="21"/>
          <w:szCs w:val="21"/>
          <w:u w:val="single" w:color="auto"/>
          <w:color w:val="auto"/>
        </w:rPr>
        <w:t>Related Party</w:t>
      </w:r>
      <w:r>
        <w:rPr>
          <w:rFonts w:ascii="Times New Roman" w:cs="Times New Roman" w:eastAsia="Times New Roman" w:hAnsi="Times New Roman"/>
          <w:sz w:val="21"/>
          <w:szCs w:val="21"/>
          <w:color w:val="auto"/>
        </w:rPr>
        <w:t>”) to a Third Party (including a Distributor) in an arm’s length transaction (“</w:t>
      </w:r>
      <w:r>
        <w:rPr>
          <w:rFonts w:ascii="Times New Roman" w:cs="Times New Roman" w:eastAsia="Times New Roman" w:hAnsi="Times New Roman"/>
          <w:sz w:val="21"/>
          <w:szCs w:val="21"/>
          <w:u w:val="single" w:color="auto"/>
          <w:color w:val="auto"/>
        </w:rPr>
        <w:t>Gross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Sales</w:t>
      </w:r>
      <w:r>
        <w:rPr>
          <w:rFonts w:ascii="Times New Roman" w:cs="Times New Roman" w:eastAsia="Times New Roman" w:hAnsi="Times New Roman"/>
          <w:sz w:val="21"/>
          <w:szCs w:val="21"/>
          <w:color w:val="auto"/>
        </w:rPr>
        <w:t>”) less the following amounts, to the extent actually incurred or accrued in accordance with GAAP consistently applied, and not reimbursed by such Third Party, provided that any given amount may be taken as a permitted deduction only once:</w:t>
      </w:r>
    </w:p>
    <w:p>
      <w:pPr>
        <w:spacing w:after="0" w:line="162" w:lineRule="exact"/>
        <w:rPr>
          <w:sz w:val="20"/>
          <w:szCs w:val="20"/>
          <w:color w:val="auto"/>
        </w:rPr>
      </w:pPr>
    </w:p>
    <w:p>
      <w:pPr>
        <w:ind w:left="1140" w:right="180" w:firstLine="740"/>
        <w:spacing w:after="0" w:line="244" w:lineRule="auto"/>
        <w:tabs>
          <w:tab w:leader="none" w:pos="232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reasonable and customary rebates, chargebacks, quantity, trade and similar discounts, credits and allowances and other price reductions reasonably granted, allowed, incurred or paid in so far as they are applied to sales of such Product;</w:t>
      </w:r>
    </w:p>
    <w:p>
      <w:pPr>
        <w:spacing w:after="0" w:line="173" w:lineRule="exact"/>
        <w:rPr>
          <w:rFonts w:ascii="Times New Roman" w:cs="Times New Roman" w:eastAsia="Times New Roman" w:hAnsi="Times New Roman"/>
          <w:sz w:val="22"/>
          <w:szCs w:val="22"/>
          <w:color w:val="010000"/>
        </w:rPr>
      </w:pPr>
    </w:p>
    <w:p>
      <w:pPr>
        <w:ind w:left="1140" w:firstLine="740"/>
        <w:spacing w:after="0" w:line="236" w:lineRule="auto"/>
        <w:tabs>
          <w:tab w:leader="none" w:pos="232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discounts (including cash, quantity, trade, governmental, and similar discounts), coupons, retroactive price reductions, charge back payments and rebates granted to managed care organizations or to federal, state and local governments, or to their agencies and any other providers of health insurance coverage, or patient assistance or other similar programs (including payments made under the new “Medicare Part D Coverage Gap Discount Program” and the “Annual Fee for Branded Pharmaceutical Manufacturers” specific to such Product), in each case, as applied to sales of such Product and actually given to customers;</w:t>
      </w:r>
    </w:p>
    <w:p>
      <w:pPr>
        <w:spacing w:after="0" w:line="181" w:lineRule="exact"/>
        <w:rPr>
          <w:rFonts w:ascii="Times New Roman" w:cs="Times New Roman" w:eastAsia="Times New Roman" w:hAnsi="Times New Roman"/>
          <w:sz w:val="22"/>
          <w:szCs w:val="22"/>
          <w:color w:val="010000"/>
        </w:rPr>
      </w:pPr>
    </w:p>
    <w:p>
      <w:pPr>
        <w:ind w:left="1140" w:right="80" w:firstLine="740"/>
        <w:spacing w:after="0" w:line="244" w:lineRule="auto"/>
        <w:tabs>
          <w:tab w:leader="none" w:pos="232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reasonable and customary credits, adjustments, and allowances, including those granted on account of price adjustments, billing errors, and damage, Product otherwise not in saleable condition, and rejection, return or recall of such Product;</w:t>
      </w:r>
    </w:p>
    <w:p>
      <w:pPr>
        <w:spacing w:after="0" w:line="173" w:lineRule="exact"/>
        <w:rPr>
          <w:rFonts w:ascii="Times New Roman" w:cs="Times New Roman" w:eastAsia="Times New Roman" w:hAnsi="Times New Roman"/>
          <w:sz w:val="22"/>
          <w:szCs w:val="22"/>
          <w:color w:val="010000"/>
        </w:rPr>
      </w:pPr>
    </w:p>
    <w:p>
      <w:pPr>
        <w:ind w:left="1140" w:right="340" w:firstLine="740"/>
        <w:spacing w:after="0" w:line="258" w:lineRule="auto"/>
        <w:tabs>
          <w:tab w:leader="none" w:pos="232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reasonable and customary freight and insurance costs incurred with respect to the shipment of such Product to customers, in each case if charged separately and invoiced to the customer;</w:t>
      </w:r>
    </w:p>
    <w:p>
      <w:pPr>
        <w:spacing w:after="0" w:line="158" w:lineRule="exact"/>
        <w:rPr>
          <w:rFonts w:ascii="Times New Roman" w:cs="Times New Roman" w:eastAsia="Times New Roman" w:hAnsi="Times New Roman"/>
          <w:sz w:val="22"/>
          <w:szCs w:val="22"/>
          <w:color w:val="010000"/>
        </w:rPr>
      </w:pPr>
    </w:p>
    <w:p>
      <w:pPr>
        <w:ind w:left="1140" w:right="360" w:firstLine="740"/>
        <w:spacing w:after="0" w:line="258" w:lineRule="auto"/>
        <w:tabs>
          <w:tab w:leader="none" w:pos="232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customs duties, surcharges and other similar governmental charges incurred in connection with the exportation or importation of such Product to the extent included in the gross amount invoiced;</w:t>
      </w:r>
    </w:p>
    <w:p>
      <w:pPr>
        <w:spacing w:after="0" w:line="158" w:lineRule="exact"/>
        <w:rPr>
          <w:rFonts w:ascii="Times New Roman" w:cs="Times New Roman" w:eastAsia="Times New Roman" w:hAnsi="Times New Roman"/>
          <w:sz w:val="22"/>
          <w:szCs w:val="22"/>
          <w:color w:val="010000"/>
        </w:rPr>
      </w:pPr>
    </w:p>
    <w:p>
      <w:pPr>
        <w:ind w:left="1140" w:right="340" w:firstLine="740"/>
        <w:spacing w:after="0" w:line="235" w:lineRule="auto"/>
        <w:tabs>
          <w:tab w:leader="none" w:pos="232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sales, use, value-added, excise, turnover, inventory and other similar Taxes (excluding income or franchise Taxes of any kind), and that portion of annual fees due under Section 9008 of the United States Patient Protection and Affordable Care Act of 2010 (Pub. L. No. 111-48) and any other fee imposed by any equivalent applicable law, in each of the foregoing cases, that Seller allocates to sales of such Product in accordance with Seller’s standard policies and procedures consistently applied across its products, as adjusted for rebates and refunds, imposed in connection with the sales of the Product to any Third Party, to the extent such Taxes are not paid by the Third Party;</w:t>
      </w:r>
    </w:p>
    <w:p>
      <w:pPr>
        <w:spacing w:after="0" w:line="183" w:lineRule="exact"/>
        <w:rPr>
          <w:rFonts w:ascii="Times New Roman" w:cs="Times New Roman" w:eastAsia="Times New Roman" w:hAnsi="Times New Roman"/>
          <w:sz w:val="22"/>
          <w:szCs w:val="22"/>
          <w:color w:val="010000"/>
        </w:rPr>
      </w:pPr>
    </w:p>
    <w:p>
      <w:pPr>
        <w:jc w:val="both"/>
        <w:ind w:left="1140" w:right="180" w:firstLine="740"/>
        <w:spacing w:after="0" w:line="244" w:lineRule="auto"/>
        <w:tabs>
          <w:tab w:leader="none" w:pos="232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actual copayment waiver amounts, uncollected or uncollectible debt amounts with respect to sales of such Product, provided that if the debt is thereafter paid, the corresponding amount shall be added to the Net Sales of the period during which it is paid;</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98" w:name="page199"/>
    <w:bookmarkEnd w:id="198"/>
    <w:p>
      <w:pPr>
        <w:ind w:left="1140" w:right="80" w:firstLine="740"/>
        <w:spacing w:after="0" w:line="244" w:lineRule="auto"/>
        <w:tabs>
          <w:tab w:leader="none" w:pos="2321"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reasonable, customary and documented out of pocket amounts directly relating to co-pay programs, bridging programs or other similar patient assistance programs which may be implemented from time to time by the Seller; and</w:t>
      </w:r>
    </w:p>
    <w:p>
      <w:pPr>
        <w:spacing w:after="0" w:line="173" w:lineRule="exact"/>
        <w:rPr>
          <w:rFonts w:ascii="Times New Roman" w:cs="Times New Roman" w:eastAsia="Times New Roman" w:hAnsi="Times New Roman"/>
          <w:sz w:val="22"/>
          <w:szCs w:val="22"/>
          <w:color w:val="010000"/>
        </w:rPr>
      </w:pPr>
    </w:p>
    <w:p>
      <w:pPr>
        <w:ind w:left="1140" w:right="80" w:firstLine="740"/>
        <w:spacing w:after="0" w:line="258" w:lineRule="auto"/>
        <w:tabs>
          <w:tab w:leader="none" w:pos="2321"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similar or customary reasonable deductions taken in the ordinary course of business as permitted in calculating net sales or net revenue (as applicable) under GAAP consistently applied</w:t>
      </w:r>
    </w:p>
    <w:p>
      <w:pPr>
        <w:spacing w:after="0" w:line="185"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For clarity, “Net Sales” will not include (i) sales or dispositions for charitable, promotional, pre-clinical, clinical, regulatory, compassionate use, named patient use or indigent or other similar programs, reasonable quantities of Product used as samples, and Product used in the development of the Product, (ii) sales or dispositions by a Distributor, or (iii) sales or dispositions between any of the Related Parties (unless a Related Party is the final end-user of the Product), but will include subsequent sales or dispositions of Product to a non-Related Party.</w:t>
      </w:r>
    </w:p>
    <w:p>
      <w:pPr>
        <w:spacing w:after="0" w:line="177"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22"/>
          <w:szCs w:val="22"/>
          <w:color w:val="auto"/>
        </w:rPr>
        <w:t>Net Sales for any Combination Product in the Territory shall be calculated by multiplying actual Net Sales of such Combination Product by the fraction A/(A+B) where “A” is the weighted average invoice price of the Product contained in such Combination Product when sold separately in the Territory during the applicable accounting period in which the sales of the Combination Product were made, and “B” is the combined weighted average invoice prices of all of the Other Components contained in such Combination Product sold separately in the Territory during such same accounting period. If the Product contained in such Combination Product is not sold separately in finished form in the Territory, the Seller and the Buyer shall determine Net Sales for the Product by mutual agreement based on the relative contribution of the Product and each such other active ingredient in such Combination Product in accordance with the above formula. For clarity, sales of any Other Combination Therapy Active Ingredient shall not be deemed “Net Sales” hereunder.</w:t>
      </w:r>
    </w:p>
    <w:p>
      <w:pPr>
        <w:spacing w:after="0" w:line="183"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without duplication, the Royalty Payments and all present and future taxes, liabilities, obligations, covenants, duties, and debts, owing by the Seller to the Buyer, arising under or pursuant to the Transaction Documents, including all interest, expenses, fees, and any other sums chargeable to the Seller hereunder and under the other Transaction Documents (and including any interest, fees and other charges that would accrue but for the filing of a bankruptcy action with respect to the Seller, whether or not such claim is allowed in such bankruptcy action).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Combination Therapy Active Ingredient</w:t>
      </w:r>
      <w:r>
        <w:rPr>
          <w:rFonts w:ascii="Times New Roman" w:cs="Times New Roman" w:eastAsia="Times New Roman" w:hAnsi="Times New Roman"/>
          <w:sz w:val="22"/>
          <w:szCs w:val="22"/>
          <w:color w:val="auto"/>
        </w:rPr>
        <w:t>” is defined in the definition of “Combination Therapy”.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Component</w:t>
      </w:r>
      <w:r>
        <w:rPr>
          <w:rFonts w:ascii="Times New Roman" w:cs="Times New Roman" w:eastAsia="Times New Roman" w:hAnsi="Times New Roman"/>
          <w:sz w:val="22"/>
          <w:szCs w:val="22"/>
          <w:color w:val="auto"/>
        </w:rPr>
        <w:t>” is defined in the definition of “Combination Products”.</w:t>
      </w:r>
    </w:p>
    <w:p>
      <w:pPr>
        <w:spacing w:after="0" w:line="20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Out-License</w:t>
      </w:r>
      <w:r>
        <w:rPr>
          <w:rFonts w:ascii="Times New Roman" w:cs="Times New Roman" w:eastAsia="Times New Roman" w:hAnsi="Times New Roman"/>
          <w:sz w:val="22"/>
          <w:szCs w:val="22"/>
          <w:color w:val="auto"/>
        </w:rPr>
        <w:t>” means each license or other agreement between the Seller or any of its Affiliates and any Third Party (other than Distributors) pursuant to which the Seller or any of its Affiliates grants a license, sublicense, or other rights to practice any Patents or other intellectual property rights to Commercialize a Product.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9" w:name="page200"/>
    <w:bookmarkEnd w:id="199"/>
    <w:p>
      <w:pPr>
        <w:jc w:val="both"/>
        <w:ind w:right="1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Rights</w:t>
      </w:r>
      <w:r>
        <w:rPr>
          <w:rFonts w:ascii="Times New Roman" w:cs="Times New Roman" w:eastAsia="Times New Roman" w:hAnsi="Times New Roman"/>
          <w:sz w:val="22"/>
          <w:szCs w:val="22"/>
          <w:color w:val="auto"/>
        </w:rPr>
        <w:t>” means any and all Patents owned or in-licensed by the Seller or any of its Affiliates or under which the Seller or any of its Affiliates is or may become empowered to grant licenses, in each case, which such Patents are necessary or used in the research, development, manufacture, use, or Commercialization of a Product.</w:t>
      </w:r>
    </w:p>
    <w:p>
      <w:pPr>
        <w:spacing w:after="0" w:line="173"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Patents</w:t>
      </w:r>
      <w:r>
        <w:rPr>
          <w:rFonts w:ascii="Times New Roman" w:cs="Times New Roman" w:eastAsia="Times New Roman" w:hAnsi="Times New Roman"/>
          <w:sz w:val="21"/>
          <w:szCs w:val="21"/>
          <w:color w:val="auto"/>
        </w:rPr>
        <w:t>” means any and all patents and patent applications existing as of the date of this Agreement and all patent applications filed hereafter,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140" w:right="160" w:firstLine="740"/>
        <w:spacing w:after="0" w:line="258" w:lineRule="auto"/>
        <w:tabs>
          <w:tab w:leader="none" w:pos="2321"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under the Trinity Loan Documents subject to an Acceptable Intercreditor Agreement as of the Closing Date;</w:t>
      </w:r>
    </w:p>
    <w:p>
      <w:pPr>
        <w:spacing w:after="0" w:line="158" w:lineRule="exact"/>
        <w:rPr>
          <w:rFonts w:ascii="Times New Roman" w:cs="Times New Roman" w:eastAsia="Times New Roman" w:hAnsi="Times New Roman"/>
          <w:sz w:val="22"/>
          <w:szCs w:val="22"/>
          <w:color w:val="010000"/>
        </w:rPr>
      </w:pPr>
    </w:p>
    <w:p>
      <w:pPr>
        <w:ind w:left="1140" w:firstLine="740"/>
        <w:spacing w:after="0" w:line="244" w:lineRule="auto"/>
        <w:tabs>
          <w:tab w:leader="none" w:pos="2321"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other secured Indebtedness of the Seller or its Subsidiaries or any Refinancing Indebtedness thereof, in each case subject to (x) a prior written consent of the Buyer and (y) entry into an Acceptable Intercreditor Agreement with respect to such Indebtedness;</w:t>
      </w:r>
    </w:p>
    <w:p>
      <w:pPr>
        <w:spacing w:after="0" w:line="173" w:lineRule="exact"/>
        <w:rPr>
          <w:rFonts w:ascii="Times New Roman" w:cs="Times New Roman" w:eastAsia="Times New Roman" w:hAnsi="Times New Roman"/>
          <w:sz w:val="22"/>
          <w:szCs w:val="22"/>
          <w:color w:val="010000"/>
        </w:rPr>
      </w:pPr>
    </w:p>
    <w:p>
      <w:pPr>
        <w:ind w:left="2320" w:hanging="440"/>
        <w:spacing w:after="0"/>
        <w:tabs>
          <w:tab w:leader="none" w:pos="2320"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unsecured Indebtedness to trade creditors incurred in the ordinary course of business;</w:t>
      </w:r>
    </w:p>
    <w:p>
      <w:pPr>
        <w:spacing w:after="0" w:line="206" w:lineRule="exact"/>
        <w:rPr>
          <w:rFonts w:ascii="Times New Roman" w:cs="Times New Roman" w:eastAsia="Times New Roman" w:hAnsi="Times New Roman"/>
          <w:sz w:val="22"/>
          <w:szCs w:val="22"/>
          <w:color w:val="010000"/>
        </w:rPr>
      </w:pPr>
    </w:p>
    <w:p>
      <w:pPr>
        <w:ind w:left="2320" w:hanging="440"/>
        <w:spacing w:after="0"/>
        <w:tabs>
          <w:tab w:leader="none" w:pos="2320"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incurred as a result of endorsing negotiable instruments received in the ordinary course</w:t>
      </w:r>
    </w:p>
    <w:p>
      <w:pPr>
        <w:spacing w:after="0" w:line="14" w:lineRule="exact"/>
        <w:rPr>
          <w:rFonts w:ascii="Times New Roman" w:cs="Times New Roman" w:eastAsia="Times New Roman" w:hAnsi="Times New Roman"/>
          <w:sz w:val="22"/>
          <w:szCs w:val="22"/>
          <w:color w:val="010000"/>
        </w:rPr>
      </w:pPr>
    </w:p>
    <w:p>
      <w:pPr>
        <w:ind w:left="114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 business;</w:t>
      </w:r>
    </w:p>
    <w:p>
      <w:pPr>
        <w:spacing w:after="0" w:line="182" w:lineRule="exact"/>
        <w:rPr>
          <w:rFonts w:ascii="Times New Roman" w:cs="Times New Roman" w:eastAsia="Times New Roman" w:hAnsi="Times New Roman"/>
          <w:sz w:val="22"/>
          <w:szCs w:val="22"/>
          <w:color w:val="010000"/>
        </w:rPr>
      </w:pPr>
    </w:p>
    <w:p>
      <w:pPr>
        <w:ind w:left="1140" w:right="400" w:firstLine="740"/>
        <w:spacing w:after="0" w:line="258" w:lineRule="auto"/>
        <w:tabs>
          <w:tab w:leader="none" w:pos="2321"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in respect of netting services, overdraft protections and otherwise in connection with deposit accounts, in each case, in the ordinary course of business;</w:t>
      </w:r>
    </w:p>
    <w:p>
      <w:pPr>
        <w:spacing w:after="0" w:line="158" w:lineRule="exact"/>
        <w:rPr>
          <w:rFonts w:ascii="Times New Roman" w:cs="Times New Roman" w:eastAsia="Times New Roman" w:hAnsi="Times New Roman"/>
          <w:sz w:val="22"/>
          <w:szCs w:val="22"/>
          <w:color w:val="010000"/>
        </w:rPr>
      </w:pPr>
    </w:p>
    <w:p>
      <w:pPr>
        <w:ind w:left="2320" w:hanging="440"/>
        <w:spacing w:after="0"/>
        <w:tabs>
          <w:tab w:leader="none" w:pos="2320"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consisting of financing insurance premiums in the ordinary course of business;</w:t>
      </w:r>
    </w:p>
    <w:p>
      <w:pPr>
        <w:spacing w:after="0" w:line="206" w:lineRule="exact"/>
        <w:rPr>
          <w:rFonts w:ascii="Times New Roman" w:cs="Times New Roman" w:eastAsia="Times New Roman" w:hAnsi="Times New Roman"/>
          <w:sz w:val="22"/>
          <w:szCs w:val="22"/>
          <w:color w:val="010000"/>
        </w:rPr>
      </w:pPr>
    </w:p>
    <w:p>
      <w:pPr>
        <w:ind w:left="1140" w:right="60" w:firstLine="740"/>
        <w:spacing w:after="0" w:line="261" w:lineRule="auto"/>
        <w:tabs>
          <w:tab w:leader="none" w:pos="2321" w:val="left"/>
        </w:tabs>
        <w:numPr>
          <w:ilvl w:val="0"/>
          <w:numId w:val="1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Indebtedness of carriers, warehousemen, mechanics, and materialmen, in each case arising in the ordinary courser of business, for sums not yet due and payable or, if due and payable, those being contested in good faith by appropriate proceedings and for which appropriate reserves are maintained in accordance with GAAP;</w:t>
      </w:r>
    </w:p>
    <w:p>
      <w:pPr>
        <w:spacing w:after="0" w:line="157" w:lineRule="exact"/>
        <w:rPr>
          <w:rFonts w:ascii="Times New Roman" w:cs="Times New Roman" w:eastAsia="Times New Roman" w:hAnsi="Times New Roman"/>
          <w:sz w:val="21"/>
          <w:szCs w:val="21"/>
          <w:color w:val="010000"/>
        </w:rPr>
      </w:pPr>
    </w:p>
    <w:p>
      <w:pPr>
        <w:ind w:left="1140" w:right="60" w:firstLine="740"/>
        <w:spacing w:after="0" w:line="282" w:lineRule="auto"/>
        <w:tabs>
          <w:tab w:leader="none" w:pos="2321" w:val="left"/>
        </w:tabs>
        <w:numPr>
          <w:ilvl w:val="0"/>
          <w:numId w:val="1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bona fide intercompany Indebtedness entered into in the good faith business judgment of Seller; provided that no Indebtedness owed by Seller to any Subsidiary of Seller shall be secured by the Product Collateral;</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00" w:name="page201"/>
    <w:bookmarkEnd w:id="200"/>
    <w:p>
      <w:pPr>
        <w:ind w:left="1140" w:right="380" w:firstLine="740"/>
        <w:spacing w:after="0" w:line="244" w:lineRule="auto"/>
        <w:tabs>
          <w:tab w:leader="none" w:pos="2321"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in respect of letters of credit, credit cards and credit card processing services in the ordinary course of business, banker’s acceptances or similar arrangements; provided that the aggregate principal amount of any such Indebtedness outstanding at any time shall not exceed [***];</w:t>
      </w:r>
    </w:p>
    <w:p>
      <w:pPr>
        <w:spacing w:after="0" w:line="173" w:lineRule="exact"/>
        <w:rPr>
          <w:rFonts w:ascii="Times New Roman" w:cs="Times New Roman" w:eastAsia="Times New Roman" w:hAnsi="Times New Roman"/>
          <w:sz w:val="22"/>
          <w:szCs w:val="22"/>
          <w:color w:val="010000"/>
        </w:rPr>
      </w:pPr>
    </w:p>
    <w:p>
      <w:pPr>
        <w:ind w:left="1140" w:right="520" w:firstLine="740"/>
        <w:spacing w:after="0" w:line="258" w:lineRule="auto"/>
        <w:tabs>
          <w:tab w:leader="none" w:pos="2321"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in respect of performance bonds, bid bonds, appeal bonds, surety bonds and similar obligations, in each case provided in the ordinary course of business; and</w:t>
      </w:r>
    </w:p>
    <w:p>
      <w:pPr>
        <w:spacing w:after="0" w:line="158" w:lineRule="exact"/>
        <w:rPr>
          <w:rFonts w:ascii="Times New Roman" w:cs="Times New Roman" w:eastAsia="Times New Roman" w:hAnsi="Times New Roman"/>
          <w:sz w:val="22"/>
          <w:szCs w:val="22"/>
          <w:color w:val="010000"/>
        </w:rPr>
      </w:pPr>
    </w:p>
    <w:p>
      <w:pPr>
        <w:ind w:left="1140" w:firstLine="740"/>
        <w:spacing w:after="0" w:line="247" w:lineRule="auto"/>
        <w:tabs>
          <w:tab w:leader="none" w:pos="2321" w:val="left"/>
        </w:tabs>
        <w:numPr>
          <w:ilvl w:val="1"/>
          <w:numId w:val="1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Indebtedness of Seller or any of its Subsidiaries in respect of purchase money indebtedness or capital lease obligations (determined in accordance with GAAP) in an aggregate principal amount, including all Refinancing Indebtedness issued in exchange for, or the net proceeds of which are promptly used to extend, refinance, renew, replace, defease or refund any such Indebtedness incurred pursuant to this clause (k), not to exceed</w:t>
      </w:r>
    </w:p>
    <w:p>
      <w:pPr>
        <w:spacing w:after="0" w:line="1" w:lineRule="exact"/>
        <w:rPr>
          <w:rFonts w:ascii="Times New Roman" w:cs="Times New Roman" w:eastAsia="Times New Roman" w:hAnsi="Times New Roman"/>
          <w:sz w:val="21"/>
          <w:szCs w:val="21"/>
          <w:color w:val="010000"/>
        </w:rPr>
      </w:pPr>
    </w:p>
    <w:p>
      <w:pPr>
        <w:ind w:left="1660" w:hanging="529"/>
        <w:spacing w:after="0"/>
        <w:tabs>
          <w:tab w:leader="none" w:pos="16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outstanding.</w:t>
      </w:r>
    </w:p>
    <w:p>
      <w:pPr>
        <w:spacing w:after="0" w:line="182" w:lineRule="exact"/>
        <w:rPr>
          <w:sz w:val="20"/>
          <w:szCs w:val="20"/>
          <w:color w:val="auto"/>
        </w:rPr>
      </w:pPr>
    </w:p>
    <w:p>
      <w:pPr>
        <w:ind w:right="280" w:firstLine="749"/>
        <w:spacing w:after="0" w:line="244" w:lineRule="auto"/>
        <w:rPr>
          <w:sz w:val="20"/>
          <w:szCs w:val="20"/>
          <w:color w:val="auto"/>
        </w:rPr>
      </w:pPr>
      <w:r>
        <w:rPr>
          <w:rFonts w:ascii="Times New Roman" w:cs="Times New Roman" w:eastAsia="Times New Roman" w:hAnsi="Times New Roman"/>
          <w:sz w:val="22"/>
          <w:szCs w:val="22"/>
          <w:color w:val="auto"/>
        </w:rPr>
        <w:t>Notwithstanding any of the foregoing to the contrary, the aggregate Indebtedness permitted under “Permitted Indebtedness” (other than with respect to clause (a) and (b) above) shall not, without Buyer’s prior written consent, exceed the aggregate amount of [***] at any time outstanding.</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License</w:t>
      </w:r>
      <w:r>
        <w:rPr>
          <w:rFonts w:ascii="Times New Roman" w:cs="Times New Roman" w:eastAsia="Times New Roman" w:hAnsi="Times New Roman"/>
          <w:sz w:val="22"/>
          <w:szCs w:val="22"/>
          <w:color w:val="auto"/>
        </w:rPr>
        <w:t>” is defined in Section 6.7(a).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any lien granted in connection with any Indebtedness permitted pursuant to clauses (a) and (b)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definition of Permitted Indebtedness and, in addition:</w:t>
      </w:r>
    </w:p>
    <w:p>
      <w:pPr>
        <w:spacing w:after="0" w:line="182" w:lineRule="exact"/>
        <w:rPr>
          <w:sz w:val="20"/>
          <w:szCs w:val="20"/>
          <w:color w:val="auto"/>
        </w:rPr>
      </w:pPr>
    </w:p>
    <w:p>
      <w:pPr>
        <w:ind w:left="760" w:firstLine="1120"/>
        <w:spacing w:after="0" w:line="244" w:lineRule="auto"/>
        <w:tabs>
          <w:tab w:leader="none" w:pos="231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173" w:lineRule="exact"/>
        <w:rPr>
          <w:rFonts w:ascii="Times New Roman" w:cs="Times New Roman" w:eastAsia="Times New Roman" w:hAnsi="Times New Roman"/>
          <w:sz w:val="22"/>
          <w:szCs w:val="22"/>
          <w:color w:val="auto"/>
        </w:rPr>
      </w:pPr>
    </w:p>
    <w:p>
      <w:pPr>
        <w:ind w:left="760" w:right="500" w:firstLine="1120"/>
        <w:spacing w:after="0" w:line="282" w:lineRule="auto"/>
        <w:tabs>
          <w:tab w:leader="none" w:pos="231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or deposits in the ordinary course of business in connection with workers’ compensation, unemployment insurance and other social security legislation, other than any Lien imposed by ERISA;</w:t>
      </w:r>
    </w:p>
    <w:p>
      <w:pPr>
        <w:spacing w:after="0" w:line="134" w:lineRule="exact"/>
        <w:rPr>
          <w:rFonts w:ascii="Times New Roman" w:cs="Times New Roman" w:eastAsia="Times New Roman" w:hAnsi="Times New Roman"/>
          <w:sz w:val="21"/>
          <w:szCs w:val="21"/>
          <w:color w:val="auto"/>
        </w:rPr>
      </w:pPr>
    </w:p>
    <w:p>
      <w:pPr>
        <w:jc w:val="both"/>
        <w:ind w:left="760" w:right="20" w:firstLine="1120"/>
        <w:spacing w:after="0" w:line="244" w:lineRule="auto"/>
        <w:tabs>
          <w:tab w:leader="none" w:pos="231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or sublicenses granted to others in the ordinary course of business or otherwise and not interfering in any respect with the Revenue Participation Right, the Product Rights, the Product Collateral, or the Back-Up Security Interest;</w:t>
      </w:r>
    </w:p>
    <w:p>
      <w:pPr>
        <w:spacing w:after="0" w:line="173" w:lineRule="exact"/>
        <w:rPr>
          <w:rFonts w:ascii="Times New Roman" w:cs="Times New Roman" w:eastAsia="Times New Roman" w:hAnsi="Times New Roman"/>
          <w:sz w:val="22"/>
          <w:szCs w:val="22"/>
          <w:color w:val="auto"/>
        </w:rPr>
      </w:pPr>
    </w:p>
    <w:p>
      <w:pPr>
        <w:ind w:left="760" w:right="340" w:firstLine="1120"/>
        <w:spacing w:after="0" w:line="258" w:lineRule="auto"/>
        <w:tabs>
          <w:tab w:leader="none" w:pos="231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and customary banker’s liens and rights of setoff upon deposits of cash in favor of banks or other depository institutions;</w:t>
      </w:r>
    </w:p>
    <w:p>
      <w:pPr>
        <w:spacing w:after="0" w:line="158"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of a collection bank arising under Section 4-210 of the UCC on items in the course of collection;</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1"/>
          <w:szCs w:val="21"/>
          <w:color w:val="auto"/>
        </w:rPr>
      </w:pPr>
    </w:p>
    <w:p>
      <w:pPr>
        <w:ind w:left="2320" w:hanging="440"/>
        <w:spacing w:after="0"/>
        <w:tabs>
          <w:tab w:leader="none" w:pos="23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Licenses entered into in compliance with and subject to Section 6.7(a).</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01" w:name="page202"/>
    <w:bookmarkEnd w:id="20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is defined in Section 4.1(g)(vii).</w:t>
      </w:r>
    </w:p>
    <w:p>
      <w:pPr>
        <w:spacing w:after="0" w:line="206"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company, partnership, limited liability company, trust, joint venture, association, estate, trust, Governmental Entity or other entity, enterprise, association or organization.</w:t>
      </w:r>
    </w:p>
    <w:p>
      <w:pPr>
        <w:spacing w:after="0" w:line="15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prime rate published by The Wall Street Journal, from time to time, as the prime rate.</w:t>
      </w:r>
    </w:p>
    <w:p>
      <w:pPr>
        <w:spacing w:after="0" w:line="20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individually and collectively, all products containing or comprising (a) aglatimagene besadenovec; and (b) all dose formats, derivatives (including any vector that encodes the HSV-tk enzyme), improvements, next generations, modifications, forms, formulations, dosing regimens, subsequent instances, versions, strengths or routes of administration of aglatimagene besadenovec. For clarity, the product referred to by the Seller as of the date hereof as CAN-3110 and any novel viral immunotherapy product candidates based on the Company’s enLIGHTEN™ Discovery Platform and which do not deliver the HSV-thymidine kinase gene, shall not be deemed to be a “Product” hereunder.</w:t>
      </w:r>
    </w:p>
    <w:p>
      <w:pPr>
        <w:spacing w:after="0" w:line="7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Collateral</w:t>
      </w:r>
      <w:r>
        <w:rPr>
          <w:rFonts w:ascii="Times New Roman" w:cs="Times New Roman" w:eastAsia="Times New Roman" w:hAnsi="Times New Roman"/>
          <w:sz w:val="22"/>
          <w:szCs w:val="22"/>
          <w:color w:val="auto"/>
        </w:rPr>
        <w:t>” means the Seller’s or any of its Affiliate’s rights, title and interests in any and all of the following as they exist in the Territory: (a) the Royalty Payments and the Revenue Participation Right; (b) the Products (including all inventory of the Products intended for sale in the Territory), (c) the Product Rights owned, licensed or otherwise held by the Seller, and (d) any “proceeds” (as defined in the UCC) from either (a), (b), or (c) above, including all accounts receivable and general intangibles resulting from the sale, license or other disposition of Products in the Territory by the Seller, its Affiliates, or its Licensees.</w:t>
      </w:r>
    </w:p>
    <w:p>
      <w:pPr>
        <w:spacing w:after="0" w:line="181" w:lineRule="exact"/>
        <w:rPr>
          <w:sz w:val="20"/>
          <w:szCs w:val="20"/>
          <w:color w:val="auto"/>
        </w:rPr>
      </w:pPr>
    </w:p>
    <w:p>
      <w:pPr>
        <w:ind w:right="30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Rights</w:t>
      </w:r>
      <w:r>
        <w:rPr>
          <w:rFonts w:ascii="Times New Roman" w:cs="Times New Roman" w:eastAsia="Times New Roman" w:hAnsi="Times New Roman"/>
          <w:sz w:val="22"/>
          <w:szCs w:val="22"/>
          <w:color w:val="auto"/>
        </w:rPr>
        <w:t>” means any and all of the following as they exist in the Territory: (a) Intellectual Property Rights, (b) regulatory filings, submissions and approvals, including Marketing Approvals, with or from any Regulatory Authorities with respect to the Product in the Territory, (c) In-Licenses and (d) Out-Licenses of rights to Commercialize the Product in the Territory.</w:t>
      </w:r>
    </w:p>
    <w:p>
      <w:pPr>
        <w:spacing w:after="0" w:line="180"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Health Service Act</w:t>
      </w:r>
      <w:r>
        <w:rPr>
          <w:rFonts w:ascii="Times New Roman" w:cs="Times New Roman" w:eastAsia="Times New Roman" w:hAnsi="Times New Roman"/>
          <w:sz w:val="22"/>
          <w:szCs w:val="22"/>
          <w:color w:val="auto"/>
        </w:rPr>
        <w:t>” means the United States Public Health Service Act (42 U.S.C. § 262) and applicable regulations promulgated thereunder by the FDA.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is defined in Section 2.2.</w:t>
      </w:r>
    </w:p>
    <w:p>
      <w:pPr>
        <w:spacing w:after="0" w:line="206"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Purple Book</w:t>
      </w:r>
      <w:r>
        <w:rPr>
          <w:rFonts w:ascii="Times New Roman" w:cs="Times New Roman" w:eastAsia="Times New Roman" w:hAnsi="Times New Roman"/>
          <w:sz w:val="22"/>
          <w:szCs w:val="22"/>
          <w:color w:val="auto"/>
        </w:rPr>
        <w:t>” means the FDA publication “Lists of Licensed Biological Products with Reference Product Exclusivity and Biosimilarity or Interchangeability Evaluations,” as may be amended from time to time.</w:t>
      </w:r>
    </w:p>
    <w:p>
      <w:pPr>
        <w:spacing w:after="0" w:line="158" w:lineRule="exact"/>
        <w:rPr>
          <w:sz w:val="20"/>
          <w:szCs w:val="20"/>
          <w:color w:val="auto"/>
        </w:rPr>
      </w:pPr>
    </w:p>
    <w:p>
      <w:pPr>
        <w:ind w:right="4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Purple Book Patent</w:t>
      </w:r>
      <w:r>
        <w:rPr>
          <w:rFonts w:ascii="Times New Roman" w:cs="Times New Roman" w:eastAsia="Times New Roman" w:hAnsi="Times New Roman"/>
          <w:sz w:val="22"/>
          <w:szCs w:val="22"/>
          <w:color w:val="auto"/>
        </w:rPr>
        <w:t>” means the Patents listed in the Purple Book by Seller, its Affiliates or Licensees in connection with the Product.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Licensee</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Ratchet</w:t>
      </w:r>
      <w:r>
        <w:rPr>
          <w:rFonts w:ascii="Times New Roman" w:cs="Times New Roman" w:eastAsia="Times New Roman" w:hAnsi="Times New Roman"/>
          <w:sz w:val="22"/>
          <w:szCs w:val="22"/>
          <w:color w:val="auto"/>
        </w:rPr>
        <w:t>” is defined in the definition of “Royalty Rate”.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Ratchet Cure</w:t>
      </w:r>
      <w:r>
        <w:rPr>
          <w:rFonts w:ascii="Times New Roman" w:cs="Times New Roman" w:eastAsia="Times New Roman" w:hAnsi="Times New Roman"/>
          <w:sz w:val="22"/>
          <w:szCs w:val="22"/>
          <w:color w:val="auto"/>
        </w:rPr>
        <w:t>” is defined in the definition of “Royalty Rate”.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Ratchet Threshold</w:t>
      </w:r>
      <w:r>
        <w:rPr>
          <w:rFonts w:ascii="Times New Roman" w:cs="Times New Roman" w:eastAsia="Times New Roman" w:hAnsi="Times New Roman"/>
          <w:sz w:val="22"/>
          <w:szCs w:val="22"/>
          <w:color w:val="auto"/>
        </w:rPr>
        <w:t>” is defined in the definition of “Royalty Rate”.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is defined in Section 8.1.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Recharacterization Event</w:t>
      </w:r>
      <w:r>
        <w:rPr>
          <w:rFonts w:ascii="Times New Roman" w:cs="Times New Roman" w:eastAsia="Times New Roman" w:hAnsi="Times New Roman"/>
          <w:sz w:val="22"/>
          <w:szCs w:val="22"/>
          <w:color w:val="auto"/>
        </w:rPr>
        <w:t>” is defined in Section 2.1(b).</w:t>
      </w:r>
    </w:p>
    <w:p>
      <w:pPr>
        <w:spacing w:after="0" w:line="206"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means, with respect to any Indebtedness, Indebtedness issued in exchange for, or the net proceeds of which are promptly used to extend, refinance, replace, exchange for, defease or refund such Indebtedness.</w:t>
      </w:r>
    </w:p>
    <w:p>
      <w:pPr>
        <w:spacing w:after="0" w:line="158"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the FDA, or any successor agency thereto that has responsibility in granting Marketing Approval or any other national or supranational Governmental Entity, including the EMA or such other equivalent regulatory authority.</w:t>
      </w:r>
    </w:p>
    <w:p>
      <w:pPr>
        <w:spacing w:after="0" w:line="173" w:lineRule="exact"/>
        <w:rPr>
          <w:sz w:val="20"/>
          <w:szCs w:val="20"/>
          <w:color w:val="auto"/>
        </w:rPr>
      </w:pPr>
    </w:p>
    <w:p>
      <w:pPr>
        <w:jc w:val="both"/>
        <w:ind w:right="1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Updates</w:t>
      </w:r>
      <w:r>
        <w:rPr>
          <w:rFonts w:ascii="Times New Roman" w:cs="Times New Roman" w:eastAsia="Times New Roman" w:hAnsi="Times New Roman"/>
          <w:sz w:val="22"/>
          <w:szCs w:val="22"/>
          <w:color w:val="auto"/>
        </w:rPr>
        <w:t>” means a summary of any and all material information and developments that materially impact the Products with respect to any regulatory filings or submissions made by the Seller or any of its Affiliates or Licensees to any Regulatory Authority.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is defined in the definition of “Net Sales”.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is defined in Section 1.1(a).</w:t>
      </w:r>
    </w:p>
    <w:p>
      <w:pPr>
        <w:spacing w:after="0" w:line="206"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Indebtedness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Participation Right</w:t>
      </w:r>
      <w:r>
        <w:rPr>
          <w:rFonts w:ascii="Times New Roman" w:cs="Times New Roman" w:eastAsia="Times New Roman" w:hAnsi="Times New Roman"/>
          <w:sz w:val="22"/>
          <w:szCs w:val="22"/>
          <w:color w:val="auto"/>
        </w:rPr>
        <w:t>” means the right to receive the Royalty Payments.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Cap</w:t>
      </w:r>
      <w:r>
        <w:rPr>
          <w:rFonts w:ascii="Times New Roman" w:cs="Times New Roman" w:eastAsia="Times New Roman" w:hAnsi="Times New Roman"/>
          <w:sz w:val="22"/>
          <w:szCs w:val="22"/>
          <w:color w:val="auto"/>
        </w:rPr>
        <w:t>” means the amount equal to $250,000,000.</w:t>
      </w:r>
    </w:p>
    <w:p>
      <w:pPr>
        <w:spacing w:after="0" w:line="206"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Royalty Payments</w:t>
      </w:r>
      <w:r>
        <w:rPr>
          <w:rFonts w:ascii="Times New Roman" w:cs="Times New Roman" w:eastAsia="Times New Roman" w:hAnsi="Times New Roman"/>
          <w:sz w:val="21"/>
          <w:szCs w:val="21"/>
          <w:color w:val="auto"/>
        </w:rPr>
        <w:t>” means, for each Calendar Quarter beginning on the First Commercial Sale in the Territory until the Royalty Termination Date, an amount payable to the Buyer equal to the amount of each applicable portion of Net Sales of Products in the Territory during such Calendar Quarter multiplied by the applicable Royalty Rate. For clarity, the applicable Royalty Rate used to calculate the amount of Royalty Payments for a given Calendar Quarter will be based on the aggregate Net Sales of Products in the Territory recorded in such Calendar Quarter and all prior Calendar Quarters in the applicable Calendar Year, and more than one applicable Royalty Rate may apply to any given Calendar Quarter if there are Net Sales in multiple payment tiers (as reflected in the definition of Royalty Rate) during such Calendar Quarter. The amount of Royalty Payments for each Calendar Quarter shall be determined in a manner consistent with the example of such calculation set forth in Exhibit D.</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203" w:name="page204"/>
    <w:bookmarkEnd w:id="203"/>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Rate</w:t>
      </w:r>
      <w:r>
        <w:rPr>
          <w:rFonts w:ascii="Times New Roman" w:cs="Times New Roman" w:eastAsia="Times New Roman" w:hAnsi="Times New Roman"/>
          <w:sz w:val="22"/>
          <w:szCs w:val="22"/>
          <w:color w:val="auto"/>
        </w:rPr>
        <w:t>” means the percentage based on the applicable level of aggregate Net Sales of Products in the Territory in a Calendar Year (“</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as set forth in the chart below:</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97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22"/>
                <w:szCs w:val="22"/>
                <w:b w:val="1"/>
                <w:bCs w:val="1"/>
                <w:color w:val="auto"/>
              </w:rPr>
              <w:t>Payment Tiers based on Annual Net Sales of all Products in the Aggregate in the Territory</w:t>
            </w:r>
          </w:p>
        </w:tc>
        <w:tc>
          <w:tcPr>
            <w:tcW w:w="14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Royalty Rate</w:t>
            </w:r>
          </w:p>
        </w:tc>
      </w:tr>
      <w:tr>
        <w:trPr>
          <w:trHeight w:val="262"/>
        </w:trPr>
        <w:tc>
          <w:tcPr>
            <w:tcW w:w="9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On the portion of Annual Net Sales less than or equal to $1,000,000,000 (“Tier 1”)</w:t>
            </w:r>
          </w:p>
        </w:tc>
        <w:tc>
          <w:tcPr>
            <w:tcW w:w="1480" w:type="dxa"/>
            <w:vAlign w:val="bottom"/>
            <w:tcBorders>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4.67%*</w:t>
            </w:r>
          </w:p>
        </w:tc>
      </w:tr>
      <w:tr>
        <w:trPr>
          <w:trHeight w:val="173"/>
        </w:trPr>
        <w:tc>
          <w:tcPr>
            <w:tcW w:w="976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r>
      <w:tr>
        <w:trPr>
          <w:trHeight w:val="276"/>
        </w:trPr>
        <w:tc>
          <w:tcPr>
            <w:tcW w:w="9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On the portion of Annual Net Sales exceeding $1,000,000,000</w:t>
            </w:r>
          </w:p>
        </w:tc>
        <w:tc>
          <w:tcPr>
            <w:tcW w:w="14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1.33%</w:t>
            </w:r>
          </w:p>
        </w:tc>
      </w:tr>
      <w:tr>
        <w:trPr>
          <w:trHeight w:val="177"/>
        </w:trPr>
        <w:tc>
          <w:tcPr>
            <w:tcW w:w="976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r>
    </w:tbl>
    <w:p>
      <w:pPr>
        <w:spacing w:after="0" w:line="216" w:lineRule="exact"/>
        <w:rPr>
          <w:sz w:val="20"/>
          <w:szCs w:val="20"/>
          <w:color w:val="auto"/>
        </w:rPr>
      </w:pPr>
    </w:p>
    <w:p>
      <w:pPr>
        <w:ind w:right="20" w:firstLine="8"/>
        <w:spacing w:after="0" w:line="233" w:lineRule="auto"/>
        <w:tabs>
          <w:tab w:leader="none" w:pos="16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Royalty Rate for Tier 1 will increase to 6.67% (the “</w:t>
      </w:r>
      <w:r>
        <w:rPr>
          <w:rFonts w:ascii="Times New Roman" w:cs="Times New Roman" w:eastAsia="Times New Roman" w:hAnsi="Times New Roman"/>
          <w:sz w:val="22"/>
          <w:szCs w:val="22"/>
          <w:u w:val="single" w:color="auto"/>
          <w:color w:val="auto"/>
        </w:rPr>
        <w:t>Ratchet</w:t>
      </w:r>
      <w:r>
        <w:rPr>
          <w:rFonts w:ascii="Times New Roman" w:cs="Times New Roman" w:eastAsia="Times New Roman" w:hAnsi="Times New Roman"/>
          <w:sz w:val="22"/>
          <w:szCs w:val="22"/>
          <w:color w:val="auto"/>
        </w:rPr>
        <w:t>”) if Annual Net Sales of all Products in the aggregate are less than (a) [***] for the Calendar Year of [***], (b) [***] for the Calendar Year of [***], and (c) [***] for the Calendar Year of [***] or in subsequent Calendar Years (each, a “</w:t>
      </w:r>
      <w:r>
        <w:rPr>
          <w:rFonts w:ascii="Times New Roman" w:cs="Times New Roman" w:eastAsia="Times New Roman" w:hAnsi="Times New Roman"/>
          <w:sz w:val="22"/>
          <w:szCs w:val="22"/>
          <w:u w:val="single" w:color="auto"/>
          <w:color w:val="auto"/>
        </w:rPr>
        <w:t>Ratchet Threshold</w:t>
      </w:r>
      <w:r>
        <w:rPr>
          <w:rFonts w:ascii="Times New Roman" w:cs="Times New Roman" w:eastAsia="Times New Roman" w:hAnsi="Times New Roman"/>
          <w:sz w:val="22"/>
          <w:szCs w:val="22"/>
          <w:color w:val="auto"/>
        </w:rPr>
        <w:t>”). If the Ratchet is triggered, the Ratchet will apply beginning on the first day of the Calendar Year following the Calendar Year in which the applicable Ratchet Threshold is not met (for example, if Annual Net Sales of all Products in the aggregate are less than [***] for the Calendar Year of [***], the Ratchet shall apply beginning on the first day of the Calendar Year of [***]). Notwithstanding the foregoing, if the Ratchet is triggered, the Royalty Rate for Tier 1 will return to 4.67% if Annual Net Sales for any Calendar Year following the Calendar Year in which the Ratchet is triggered are greater than or equal to the applicable Ratchet Threshold that was triggered (the “</w:t>
      </w:r>
      <w:r>
        <w:rPr>
          <w:rFonts w:ascii="Times New Roman" w:cs="Times New Roman" w:eastAsia="Times New Roman" w:hAnsi="Times New Roman"/>
          <w:sz w:val="22"/>
          <w:szCs w:val="22"/>
          <w:u w:val="single" w:color="auto"/>
          <w:color w:val="auto"/>
        </w:rPr>
        <w:t>Ratchet Cure</w:t>
      </w:r>
      <w:r>
        <w:rPr>
          <w:rFonts w:ascii="Times New Roman" w:cs="Times New Roman" w:eastAsia="Times New Roman" w:hAnsi="Times New Roman"/>
          <w:sz w:val="22"/>
          <w:szCs w:val="22"/>
          <w:color w:val="auto"/>
        </w:rPr>
        <w:t>”); provided, that, if the Ratchet Cure occurs, the Ratchet shall occur again in any subsequent Calendar Year in which the annual Net Sales are less than the applicable Ratchet Threshold. For clarity, there is no limit to the number of times that a Ratchet or a Ratchet Cure may occur. For example, if the Ratchet is triggered, then a Ratchet Cure occurs, then a Ratchet is triggered again, the Ratchet Cure will again apply if the Ratchet Threshold that applies to the second Ratchet is met in a subsequent Calendar Year.</w:t>
      </w:r>
    </w:p>
    <w:p>
      <w:pPr>
        <w:spacing w:after="0" w:line="182"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Termination Date</w:t>
      </w:r>
      <w:r>
        <w:rPr>
          <w:rFonts w:ascii="Times New Roman" w:cs="Times New Roman" w:eastAsia="Times New Roman" w:hAnsi="Times New Roman"/>
          <w:sz w:val="22"/>
          <w:szCs w:val="22"/>
          <w:color w:val="auto"/>
        </w:rPr>
        <w:t>” means the date on which (a) aggregate payments of the Royalty Payments actually received by the Buyer equal the Royalty Cap and (b) payment in full in good funds of all other Obligations (other than contingent indemnification obligations for which no claims have been made) has been received by the Buyer.</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Transaction</w:t>
      </w:r>
      <w:r>
        <w:rPr>
          <w:rFonts w:ascii="Times New Roman" w:cs="Times New Roman" w:eastAsia="Times New Roman" w:hAnsi="Times New Roman"/>
          <w:sz w:val="22"/>
          <w:szCs w:val="22"/>
          <w:color w:val="auto"/>
        </w:rPr>
        <w:t>” means any financing, sale, or loan of royalty, revenue or profit interests on any product.</w:t>
      </w:r>
    </w:p>
    <w:p>
      <w:pPr>
        <w:spacing w:after="0" w:line="98"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Safety Notices</w:t>
      </w:r>
      <w:r>
        <w:rPr>
          <w:rFonts w:ascii="Times New Roman" w:cs="Times New Roman" w:eastAsia="Times New Roman" w:hAnsi="Times New Roman"/>
          <w:sz w:val="22"/>
          <w:szCs w:val="22"/>
          <w:color w:val="auto"/>
        </w:rPr>
        <w:t>” means any recalls, field notifications, market withdrawals, warnings, “dear doctor” letters, investigator notices, safety alerts or other notices of action issued or instigated by the Seller, any of its Affiliates or any Regulatory Authority relating to an alleged lack of safety or regulatory compliance of a Product.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206"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is defined in the preamble. References to the Seller herein shall be deemed to include any permitted assignee of the Seller to whom Seller assigns this Agreement pursuant to Section 11.4.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4" w:name="page205"/>
    <w:bookmarkEnd w:id="204"/>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is defined in Section 7.1(b).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SEC Documents</w:t>
      </w:r>
      <w:r>
        <w:rPr>
          <w:rFonts w:ascii="Times New Roman" w:cs="Times New Roman" w:eastAsia="Times New Roman" w:hAnsi="Times New Roman"/>
          <w:sz w:val="22"/>
          <w:szCs w:val="22"/>
          <w:color w:val="auto"/>
        </w:rPr>
        <w:t>” is defined in Section 4.1(q).</w:t>
      </w:r>
    </w:p>
    <w:p>
      <w:pPr>
        <w:spacing w:after="0" w:line="206"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 Subsidiary of the Seller that meets the definition of “significant subsidiary” in Article 1, Rule 1-02 of Regulation S-X under the Exchange Act.</w:t>
      </w:r>
    </w:p>
    <w:p>
      <w:pPr>
        <w:spacing w:after="0" w:line="158"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that (a) the fair saleable value of the Seller’s consolidated assets is greater than the sum of its debts, liabilities and other obligations, including known contingent liabilities, (b) the present fair saleable value of the Seller’s consolidated assets is greater than the amount that would be required to pay its liabilities on its existing debts, liabilities and other obligations, including known contingent liabilities, as they become absolute and matured, (c) the Seller is able to realize upon its assets and pay its debts, liabilities and other obligations, including known contingent obligations, as they mature, (d) the Seller does not have any present plans or intentions to incur, debts or other obligations or liabilities beyond its ability to pay such debts or other obligations or liabilities as they become absolute and matured, (e) the Seller has not become subject to any Bankruptcy Event, (f) the Seller has not been rendered insolvent within the meaning of any applicable law, and (g) no step has been taken or is intended by the Seller or, to the Knowledge of the Seller, any other Person to make the Seller subject to a Bankruptcy Event. For purposes of this definition,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85"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and all corporations, partnerships, limited liability companies, joint ventures, associations and other entities controlled (by contract or otherwise) by the Seller directly or indirectly through one or more intermediaries. For purposes hereof, the Seller shall be deemed to control a partnership, limited liability company, association or other business entity if the Seller,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spacing w:after="0" w:line="181"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U.S. federal, state, local or non-U.S.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the United States of America, its fifty (50) states, the District of Columbia, Puerto Rico and any other jurisdiction within the United States of America.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that is not the Seller or the Seller’s Affiliates.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1</w:t>
      </w:r>
      <w:r>
        <w:rPr>
          <w:rFonts w:ascii="Times New Roman" w:cs="Times New Roman" w:eastAsia="Times New Roman" w:hAnsi="Times New Roman"/>
          <w:sz w:val="22"/>
          <w:szCs w:val="22"/>
          <w:color w:val="auto"/>
        </w:rPr>
        <w:t>” is defined in the definition of “Royalty Rate”.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Bill of Sale, and any other agreement, intercreditor or subordination agreement, instrument or document entered into from time to time in connection herewith or therewith, in each case, as amended, supplemented or otherwise modified from time to time.</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means the aggregate amount of any and all reasonable and documented out-of-pocket fees and expenses reasonably incurred by or on behalf of, or paid directly by, the Buyer in connection with the transactions contemplated hereby, including diligence and the negotiation, preparation, and execution of the Transaction Documents, and the consummation of the transactions contemplated hereby, subject to a cap in an amount of (x) [***] for any such fees and expenses incurred through the Closing Date (which shall be increased by an amount of up to [***] for any such fees and expenses incurred in connection with the negotiation, preparation, and execution of an Acceptable Intercreditor Agreement); provided that, for the avoidance of doubt, the parties hereto acknowledge that the billing rates of Latham &amp; Watkins LLP (including as may be reasonably increased from time to time consistent with past practice) are reasonable attorneys’ fees.</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Trinity Loan Agreement</w:t>
      </w:r>
      <w:r>
        <w:rPr>
          <w:rFonts w:ascii="Times New Roman" w:cs="Times New Roman" w:eastAsia="Times New Roman" w:hAnsi="Times New Roman"/>
          <w:sz w:val="22"/>
          <w:szCs w:val="22"/>
          <w:color w:val="auto"/>
        </w:rPr>
        <w:t>” means that certain Loan and Security Agreement, dated October 14, 2025, by and between the Seller, the lenders from time to time party thereto, and Trinity Capital Inc. as the administrative agent and collateral agent.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Trinity Loan Documents</w:t>
      </w:r>
      <w:r>
        <w:rPr>
          <w:rFonts w:ascii="Times New Roman" w:cs="Times New Roman" w:eastAsia="Times New Roman" w:hAnsi="Times New Roman"/>
          <w:sz w:val="22"/>
          <w:szCs w:val="22"/>
          <w:color w:val="auto"/>
        </w:rPr>
        <w:t>” means (a) the Trinity Loan Agreement, and (b) each other “Loan Document” or similar term as defined in the Trinity Loan Agreement, in each case as amended, restated, amended and restated, modified or otherwise supplemented from time to time as permitted by an Acceptable Intercreditor Agreement.</w:t>
      </w:r>
    </w:p>
    <w:p>
      <w:pPr>
        <w:spacing w:after="0" w:line="17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Trinity Indebtedness</w:t>
      </w:r>
      <w:r>
        <w:rPr>
          <w:rFonts w:ascii="Times New Roman" w:cs="Times New Roman" w:eastAsia="Times New Roman" w:hAnsi="Times New Roman"/>
          <w:sz w:val="21"/>
          <w:szCs w:val="21"/>
          <w:color w:val="auto"/>
        </w:rPr>
        <w:t>” means all of the Seller’s and its Subsidiaries’ Indebtedness and other obligations and commitments to provide credit extension to the Seller or any of its Subsidiaries, in each case, under the Trinity Loan Documents.</w:t>
      </w:r>
    </w:p>
    <w:p>
      <w:pPr>
        <w:spacing w:after="0" w:line="13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the State of New York; provided that, if, with respect to any financing statement or by reason of any provisions of applicable law, the perfection or the effect of perfection or non-perfection of the back-up security interest or any portion thereof granted pursuant to Section 2.1(b) is governed by the Uniform Commercial Code as in effect in a jurisdiction of the United States other than the State of New York, then “UCC” means the Uniform Commercial Code as in effect from time to time in such other jurisdiction for purposes of the provisions of this Agreement and any financing statement relating to such perfection or effect of perfection or non-perfection.</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Unexpected Contraindications</w:t>
      </w:r>
      <w:r>
        <w:rPr>
          <w:rFonts w:ascii="Times New Roman" w:cs="Times New Roman" w:eastAsia="Times New Roman" w:hAnsi="Times New Roman"/>
          <w:sz w:val="22"/>
          <w:szCs w:val="22"/>
          <w:color w:val="auto"/>
        </w:rPr>
        <w:t>” means any contraindications or limitations included in the label approved by FDA in the U.S. Marketing Approval that, taken as a whole, would have a material and adverse impact on the total addressable market for aglatimagene besadenovec in the Territory.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U.S.-Ireland Treaty</w:t>
      </w:r>
      <w:r>
        <w:rPr>
          <w:rFonts w:ascii="Times New Roman" w:cs="Times New Roman" w:eastAsia="Times New Roman" w:hAnsi="Times New Roman"/>
          <w:sz w:val="22"/>
          <w:szCs w:val="22"/>
          <w:color w:val="auto"/>
        </w:rPr>
        <w:t>” is defined in Section 6.13(a).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Marketing Approval</w:t>
      </w:r>
      <w:r>
        <w:rPr>
          <w:rFonts w:ascii="Times New Roman" w:cs="Times New Roman" w:eastAsia="Times New Roman" w:hAnsi="Times New Roman"/>
          <w:sz w:val="22"/>
          <w:szCs w:val="22"/>
          <w:color w:val="auto"/>
        </w:rPr>
        <w:t>” is defined in Section 5.2(a).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ind w:firstLine="1497"/>
        <w:spacing w:after="0" w:line="258" w:lineRule="auto"/>
        <w:rPr>
          <w:sz w:val="20"/>
          <w:szCs w:val="20"/>
          <w:color w:val="auto"/>
        </w:rPr>
      </w:pPr>
      <w:r>
        <w:rPr>
          <w:rFonts w:ascii="Times New Roman" w:cs="Times New Roman" w:eastAsia="Times New Roman" w:hAnsi="Times New Roman"/>
          <w:sz w:val="22"/>
          <w:szCs w:val="22"/>
          <w:color w:val="010000"/>
        </w:rPr>
        <w:t xml:space="preserve">Section 1.2 </w:t>
      </w:r>
      <w:r>
        <w:rPr>
          <w:rFonts w:ascii="Times New Roman" w:cs="Times New Roman" w:eastAsia="Times New Roman" w:hAnsi="Times New Roman"/>
          <w:sz w:val="22"/>
          <w:szCs w:val="22"/>
          <w:u w:val="single" w:color="auto"/>
          <w:color w:val="000000"/>
        </w:rPr>
        <w:t>Certain Interpretations</w:t>
      </w:r>
      <w:r>
        <w:rPr>
          <w:rFonts w:ascii="Times New Roman" w:cs="Times New Roman" w:eastAsia="Times New Roman" w:hAnsi="Times New Roman"/>
          <w:sz w:val="22"/>
          <w:szCs w:val="22"/>
          <w:color w:val="000000"/>
        </w:rPr>
        <w:t>. Except where expressly stated otherwise in this Agreement, the following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rules of interpretation apply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-198755</wp:posOffset>
            </wp:positionV>
            <wp:extent cx="8229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8" w:lineRule="exact"/>
        <w:rPr>
          <w:sz w:val="20"/>
          <w:szCs w:val="20"/>
          <w:color w:val="auto"/>
        </w:rPr>
      </w:pPr>
    </w:p>
    <w:p>
      <w:pPr>
        <w:ind w:left="1940" w:hanging="435"/>
        <w:spacing w:after="0"/>
        <w:tabs>
          <w:tab w:leader="none" w:pos="1940" w:val="left"/>
        </w:tabs>
        <w:numPr>
          <w:ilvl w:val="0"/>
          <w:numId w:val="1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otherwise defined, all terms that are defined in the UCC shall have the meanings stated in the UCC;</w:t>
      </w:r>
    </w:p>
    <w:p>
      <w:pPr>
        <w:spacing w:after="0" w:line="217" w:lineRule="exact"/>
        <w:rPr>
          <w:rFonts w:ascii="Times New Roman" w:cs="Times New Roman" w:eastAsia="Times New Roman" w:hAnsi="Times New Roman"/>
          <w:sz w:val="21"/>
          <w:szCs w:val="21"/>
          <w:color w:val="010000"/>
        </w:rPr>
      </w:pPr>
    </w:p>
    <w:p>
      <w:pPr>
        <w:ind w:left="1940" w:hanging="435"/>
        <w:spacing w:after="0"/>
        <w:tabs>
          <w:tab w:leader="none" w:pos="1940"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words of the masculine, feminine or neuter gender shall mean and include the correlative words of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genders;</w:t>
      </w:r>
    </w:p>
    <w:p>
      <w:pPr>
        <w:spacing w:after="0" w:line="182" w:lineRule="exact"/>
        <w:rPr>
          <w:sz w:val="20"/>
          <w:szCs w:val="20"/>
          <w:color w:val="auto"/>
        </w:rPr>
      </w:pPr>
    </w:p>
    <w:p>
      <w:pPr>
        <w:ind w:right="120" w:firstLine="1505"/>
        <w:spacing w:after="0" w:line="258" w:lineRule="auto"/>
        <w:tabs>
          <w:tab w:leader="none" w:pos="1929"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“either” and “or” are not exclusive and “include,” “includes” and “including” are not limiting and shall be deemed to be followed by the words “without limitation;”</w:t>
      </w:r>
    </w:p>
    <w:p>
      <w:pPr>
        <w:spacing w:after="0" w:line="158" w:lineRule="exact"/>
        <w:rPr>
          <w:rFonts w:ascii="Times New Roman" w:cs="Times New Roman" w:eastAsia="Times New Roman" w:hAnsi="Times New Roman"/>
          <w:sz w:val="22"/>
          <w:szCs w:val="22"/>
          <w:color w:val="010000"/>
        </w:rPr>
      </w:pPr>
    </w:p>
    <w:p>
      <w:pPr>
        <w:ind w:right="100" w:firstLine="1505"/>
        <w:spacing w:after="0" w:line="258" w:lineRule="auto"/>
        <w:tabs>
          <w:tab w:leader="none" w:pos="1929"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“extent” in the phrase “to the extent” means the degree to which a subject or other thing extends, and such phrase does not mean simply “if;”</w:t>
      </w:r>
    </w:p>
    <w:p>
      <w:pPr>
        <w:spacing w:after="0" w:line="158" w:lineRule="exact"/>
        <w:rPr>
          <w:rFonts w:ascii="Times New Roman" w:cs="Times New Roman" w:eastAsia="Times New Roman" w:hAnsi="Times New Roman"/>
          <w:sz w:val="22"/>
          <w:szCs w:val="22"/>
          <w:color w:val="010000"/>
        </w:rPr>
      </w:pPr>
    </w:p>
    <w:p>
      <w:pPr>
        <w:ind w:right="340" w:firstLine="1505"/>
        <w:spacing w:after="0" w:line="258" w:lineRule="auto"/>
        <w:tabs>
          <w:tab w:leader="none" w:pos="1929"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“hereof,” “hereto,” “herein” and “hereunder” and words of similar import when used in this Agreement refer to this Agreement as a whole and not to any particular provision of this Agreement;</w:t>
      </w:r>
    </w:p>
    <w:p>
      <w:pPr>
        <w:spacing w:after="0" w:line="158" w:lineRule="exact"/>
        <w:rPr>
          <w:rFonts w:ascii="Times New Roman" w:cs="Times New Roman" w:eastAsia="Times New Roman" w:hAnsi="Times New Roman"/>
          <w:sz w:val="22"/>
          <w:szCs w:val="22"/>
          <w:color w:val="010000"/>
        </w:rPr>
      </w:pPr>
    </w:p>
    <w:p>
      <w:pPr>
        <w:ind w:right="40" w:firstLine="1505"/>
        <w:spacing w:after="0" w:line="244" w:lineRule="auto"/>
        <w:tabs>
          <w:tab w:leader="none" w:pos="1929"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a Person are also to its permitted successors and assigns (subject to any restrictions on assignment, transfer or delegation set forth herein), and any reference to a Person in a particular capacity excludes such Person in other capacities;</w:t>
      </w:r>
    </w:p>
    <w:p>
      <w:pPr>
        <w:spacing w:after="0" w:line="173"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 “will” shall be construed to have the same meaning and effect as the word “shall”;</w:t>
      </w:r>
    </w:p>
    <w:p>
      <w:pPr>
        <w:spacing w:after="0" w:line="206"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definitions are applicable to the singular as well as the plural forms of such terms;</w:t>
      </w:r>
    </w:p>
    <w:p>
      <w:pPr>
        <w:spacing w:after="0" w:line="206" w:lineRule="exact"/>
        <w:rPr>
          <w:rFonts w:ascii="Times New Roman" w:cs="Times New Roman" w:eastAsia="Times New Roman" w:hAnsi="Times New Roman"/>
          <w:sz w:val="22"/>
          <w:szCs w:val="22"/>
          <w:color w:val="010000"/>
        </w:rPr>
      </w:pPr>
    </w:p>
    <w:p>
      <w:pPr>
        <w:ind w:right="80" w:firstLine="1505"/>
        <w:spacing w:after="0" w:line="282" w:lineRule="auto"/>
        <w:tabs>
          <w:tab w:leader="none" w:pos="1929" w:val="left"/>
        </w:tabs>
        <w:numPr>
          <w:ilvl w:val="0"/>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otherwise indicated, references to an “Article”, “Section” or “Exhibit” refer to an Article or Section of, or an Exhibit to, this Agreement, and references to a “Schedule” refer to the corresponding part of the Disclosure Schedule;</w:t>
      </w:r>
    </w:p>
    <w:p>
      <w:pPr>
        <w:spacing w:after="0" w:line="134" w:lineRule="exact"/>
        <w:rPr>
          <w:rFonts w:ascii="Times New Roman" w:cs="Times New Roman" w:eastAsia="Times New Roman" w:hAnsi="Times New Roman"/>
          <w:sz w:val="21"/>
          <w:szCs w:val="21"/>
          <w:color w:val="010000"/>
        </w:rPr>
      </w:pPr>
    </w:p>
    <w:p>
      <w:pPr>
        <w:ind w:right="540" w:firstLine="1505"/>
        <w:spacing w:after="0" w:line="258" w:lineRule="auto"/>
        <w:tabs>
          <w:tab w:leader="none" w:pos="1929"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computation of a period of time from a specified date to a later specified date, the word “from” means “from and including”;</w:t>
      </w:r>
    </w:p>
    <w:p>
      <w:pPr>
        <w:spacing w:after="0" w:line="158"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 or otherwise to dollar amounts refer to the lawful currency of the United States;</w:t>
      </w:r>
    </w:p>
    <w:p>
      <w:pPr>
        <w:spacing w:after="0" w:line="206" w:lineRule="exact"/>
        <w:rPr>
          <w:rFonts w:ascii="Times New Roman" w:cs="Times New Roman" w:eastAsia="Times New Roman" w:hAnsi="Times New Roman"/>
          <w:sz w:val="22"/>
          <w:szCs w:val="22"/>
          <w:color w:val="010000"/>
        </w:rPr>
      </w:pPr>
    </w:p>
    <w:p>
      <w:pPr>
        <w:ind w:right="240" w:firstLine="1505"/>
        <w:spacing w:after="0" w:line="239" w:lineRule="auto"/>
        <w:tabs>
          <w:tab w:leader="none" w:pos="1929"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07" w:name="page208"/>
    <w:bookmarkEnd w:id="207"/>
    <w:p>
      <w:pPr>
        <w:ind w:left="-40" w:firstLine="1505"/>
        <w:spacing w:after="0" w:line="244" w:lineRule="auto"/>
        <w:tabs>
          <w:tab w:leader="none" w:pos="1889"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provisions referring to matters that would or could have, or would or could reasonably be expected to have, or similar phrases, shall be deemed to have such result or expectation with or without the giving of notice or the passage of time, or both;</w:t>
      </w:r>
    </w:p>
    <w:p>
      <w:pPr>
        <w:spacing w:after="0" w:line="173" w:lineRule="exact"/>
        <w:rPr>
          <w:rFonts w:ascii="Times New Roman" w:cs="Times New Roman" w:eastAsia="Times New Roman" w:hAnsi="Times New Roman"/>
          <w:sz w:val="22"/>
          <w:szCs w:val="22"/>
          <w:color w:val="010000"/>
        </w:rPr>
      </w:pPr>
    </w:p>
    <w:p>
      <w:pPr>
        <w:ind w:left="-40" w:right="360" w:firstLine="1505"/>
        <w:spacing w:after="0" w:line="244" w:lineRule="auto"/>
        <w:tabs>
          <w:tab w:leader="none" w:pos="1889"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covenants that are to be undertaken “reasonably,” such actions (or inactions) shall take into account Buyer’s and Seller’s relative economic interests in the matter and the relative economic impact of the applicable action (or inaction) on such interests;</w:t>
      </w:r>
    </w:p>
    <w:p>
      <w:pPr>
        <w:spacing w:after="0" w:line="173" w:lineRule="exact"/>
        <w:rPr>
          <w:rFonts w:ascii="Times New Roman" w:cs="Times New Roman" w:eastAsia="Times New Roman" w:hAnsi="Times New Roman"/>
          <w:sz w:val="22"/>
          <w:szCs w:val="22"/>
          <w:color w:val="010000"/>
        </w:rPr>
      </w:pPr>
    </w:p>
    <w:p>
      <w:pPr>
        <w:ind w:left="-40" w:firstLine="1505"/>
        <w:spacing w:after="0" w:line="244" w:lineRule="auto"/>
        <w:tabs>
          <w:tab w:leader="none" w:pos="1889"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standard for determining what is “material” with regard to information of the Seller in connection with ARTICLE 4 of this Agreement shall be the same standard of materiality that the Seller applies when determining what is material for purposes of the federal securities laws;</w:t>
      </w:r>
    </w:p>
    <w:p>
      <w:pPr>
        <w:spacing w:after="0" w:line="173" w:lineRule="exact"/>
        <w:rPr>
          <w:rFonts w:ascii="Times New Roman" w:cs="Times New Roman" w:eastAsia="Times New Roman" w:hAnsi="Times New Roman"/>
          <w:sz w:val="22"/>
          <w:szCs w:val="22"/>
          <w:color w:val="010000"/>
        </w:rPr>
      </w:pPr>
    </w:p>
    <w:p>
      <w:pPr>
        <w:ind w:left="-40" w:right="80" w:firstLine="1505"/>
        <w:spacing w:after="0" w:line="258" w:lineRule="auto"/>
        <w:tabs>
          <w:tab w:leader="none" w:pos="1889"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this Agreement include the Bill of Sale, the Disclosure Schedule and any certificates or other agreements delivered in connection with the transactions contemplated by this Agreement; and</w:t>
      </w:r>
    </w:p>
    <w:p>
      <w:pPr>
        <w:spacing w:after="0" w:line="158" w:lineRule="exact"/>
        <w:rPr>
          <w:rFonts w:ascii="Times New Roman" w:cs="Times New Roman" w:eastAsia="Times New Roman" w:hAnsi="Times New Roman"/>
          <w:sz w:val="22"/>
          <w:szCs w:val="22"/>
          <w:color w:val="010000"/>
        </w:rPr>
      </w:pPr>
    </w:p>
    <w:p>
      <w:pPr>
        <w:ind w:left="-40" w:right="140" w:firstLine="1505"/>
        <w:spacing w:after="0" w:line="244" w:lineRule="auto"/>
        <w:tabs>
          <w:tab w:leader="none" w:pos="1889"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2</w:t>
      </w:r>
    </w:p>
    <w:p>
      <w:pPr>
        <w:spacing w:after="0" w:line="14" w:lineRule="exact"/>
        <w:rPr>
          <w:sz w:val="20"/>
          <w:szCs w:val="20"/>
          <w:color w:val="auto"/>
        </w:rPr>
      </w:pPr>
    </w:p>
    <w:p>
      <w:pPr>
        <w:ind w:left="1460" w:right="1600" w:firstLine="114"/>
        <w:spacing w:after="0" w:line="237" w:lineRule="auto"/>
        <w:rPr>
          <w:sz w:val="20"/>
          <w:szCs w:val="20"/>
          <w:color w:val="auto"/>
        </w:rPr>
      </w:pPr>
      <w:r>
        <w:rPr>
          <w:rFonts w:ascii="Times New Roman" w:cs="Times New Roman" w:eastAsia="Times New Roman" w:hAnsi="Times New Roman"/>
          <w:sz w:val="22"/>
          <w:szCs w:val="22"/>
          <w:color w:val="auto"/>
        </w:rPr>
        <w:t xml:space="preserve">PURCHASE, SALE AND ASSIGNMENT OF THE REVENUE PARTICIPATION RIGHT </w:t>
      </w:r>
      <w:r>
        <w:rPr>
          <w:rFonts w:ascii="Times New Roman" w:cs="Times New Roman" w:eastAsia="Times New Roman" w:hAnsi="Times New Roman"/>
          <w:sz w:val="22"/>
          <w:szCs w:val="22"/>
          <w:color w:val="010000"/>
        </w:rPr>
        <w:t xml:space="preserve">Section 2.1 </w:t>
      </w:r>
      <w:r>
        <w:rPr>
          <w:rFonts w:ascii="Times New Roman" w:cs="Times New Roman" w:eastAsia="Times New Roman" w:hAnsi="Times New Roman"/>
          <w:sz w:val="22"/>
          <w:szCs w:val="22"/>
          <w:u w:val="single" w:color="auto"/>
          <w:color w:val="000000"/>
        </w:rPr>
        <w:t>Purchase, Sale and Assignment</w:t>
      </w:r>
      <w:r>
        <w:rPr>
          <w:rFonts w:ascii="Times New Roman" w:cs="Times New Roman" w:eastAsia="Times New Roman" w:hAnsi="Times New Roman"/>
          <w:sz w:val="22"/>
          <w:szCs w:val="22"/>
          <w:color w:val="000000"/>
        </w:rPr>
        <w:t>.</w:t>
      </w:r>
    </w:p>
    <w:p>
      <w:pPr>
        <w:spacing w:after="0" w:line="178" w:lineRule="exact"/>
        <w:rPr>
          <w:sz w:val="20"/>
          <w:szCs w:val="20"/>
          <w:color w:val="auto"/>
        </w:rPr>
      </w:pPr>
    </w:p>
    <w:p>
      <w:pPr>
        <w:ind w:left="-40" w:right="60" w:firstLine="1505"/>
        <w:spacing w:after="0" w:line="236" w:lineRule="auto"/>
        <w:tabs>
          <w:tab w:leader="none" w:pos="1889"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and upon the terms and subject to the conditions of this Agreement, the Seller shall sell, transfer, assign and convey to the Buyer, without recourse (except as expressly provided herein), and the Buyer shall purchase, acquire and accept from the Seller, the Revenue Participation Right, free and clear of all Liens. Immediately upon the sale to the Buyer by the Seller of the Revenue Participation Right pursuant to this Section 2.1(a), all of the Seller’s right, title and interest in and to the Revenue Participation Right shall terminate, and all such right, title and interest shall vest in the Buyer free and clear of all Liens.</w:t>
      </w:r>
    </w:p>
    <w:p>
      <w:pPr>
        <w:spacing w:after="0" w:line="181" w:lineRule="exact"/>
        <w:rPr>
          <w:rFonts w:ascii="Times New Roman" w:cs="Times New Roman" w:eastAsia="Times New Roman" w:hAnsi="Times New Roman"/>
          <w:sz w:val="22"/>
          <w:szCs w:val="22"/>
          <w:color w:val="010000"/>
        </w:rPr>
      </w:pPr>
    </w:p>
    <w:p>
      <w:pPr>
        <w:ind w:left="-40" w:right="20" w:firstLine="1505"/>
        <w:spacing w:after="0" w:line="234" w:lineRule="auto"/>
        <w:tabs>
          <w:tab w:leader="none" w:pos="1889"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is the intention of the parties hereto that the sale, transfer, assignment and conveyance contemplated by this Agreement be, and is, a true, complete, absolute and irrevocable sale, transfer, assignment and conveyance by the Seller to the Buyer of all of the Seller’s right, title and interest in and to the Revenue Participation Right. Neither the Seller nor the Buyer intends the transactions contemplated by this Agreement to be, or for any purpose characterized as, a loan from the Buyer to the Seller or a pledge, a security interest, a financing transaction or a borrowing. It is the intention of the parties hereto that the beneficial interest in and title to the Revenue Participation Right and any “proceeds” (as such term is defined in the UCC) thereof shall not be part of the Seller’s estate in the event of the filing of a petition by or against the Seller under any Bankruptcy Laws. Each of the Seller and the Buyer hereby waives (each on behalf of itself and its Affiliates), to the maximum extent permitted by applicable law,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572770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08" w:right="359" w:bottom="1440" w:gutter="0" w:footer="0" w:header="0"/>
        </w:sectPr>
      </w:pPr>
    </w:p>
    <w:bookmarkStart w:id="208" w:name="page209"/>
    <w:bookmarkEnd w:id="208"/>
    <w:p>
      <w:pPr>
        <w:spacing w:after="0" w:line="244" w:lineRule="auto"/>
        <w:rPr>
          <w:sz w:val="20"/>
          <w:szCs w:val="20"/>
          <w:color w:val="auto"/>
        </w:rPr>
      </w:pPr>
      <w:r>
        <w:rPr>
          <w:rFonts w:ascii="Times New Roman" w:cs="Times New Roman" w:eastAsia="Times New Roman" w:hAnsi="Times New Roman"/>
          <w:sz w:val="21"/>
          <w:szCs w:val="21"/>
          <w:color w:val="auto"/>
        </w:rPr>
        <w:t>any right to contest or otherwise assert that this Agreement does not constitute a true, complete, absolute and irrevocable sale, transfer, assignment and conveyance by the Seller to the Buyer of all of the Seller’s right, title and interest in and to the Revenue Participation Right under applicable law, which waiver shall, to the maximum extent permitted by applicable law, be enforceable against the Seller in any bankruptcy or insolvency proceeding relating to the Seller. Accordingly, the Seller shall treat the sale, transfer, assignment and conveyance of the Revenue Participation Right as a sale of “accounts” or “payment intangibles” (as appropriate) in accordance with the UCC, and the Seller hereby authorizes the Buyer, from and after the Closing, to file security filings and financing statements (and continuation statements with respect to such financing statements when applicable) naming the Seller as the debtor/seller and the Buyer as the secured party/buyer in respect to the Revenue Participation Right. Not in derogation of the foregoing statement of the intent of the parties hereto in this regard, and for the purposes of providing additional assurance to the Buyer in the event that, despite the intent of the parties hereto, the sale, transfer, assignment and conveyance contemplated hereby is hereafter held by a court of competent jurisdiction not to be a sale (any such event, a “</w:t>
      </w:r>
      <w:r>
        <w:rPr>
          <w:rFonts w:ascii="Times New Roman" w:cs="Times New Roman" w:eastAsia="Times New Roman" w:hAnsi="Times New Roman"/>
          <w:sz w:val="21"/>
          <w:szCs w:val="21"/>
          <w:u w:val="single" w:color="auto"/>
          <w:color w:val="auto"/>
        </w:rPr>
        <w:t>Recharacterization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Event</w:t>
      </w:r>
      <w:r>
        <w:rPr>
          <w:rFonts w:ascii="Times New Roman" w:cs="Times New Roman" w:eastAsia="Times New Roman" w:hAnsi="Times New Roman"/>
          <w:sz w:val="21"/>
          <w:szCs w:val="21"/>
          <w:color w:val="auto"/>
        </w:rPr>
        <w:t>”), the Seller does hereby grant to the Buyer, as security for all of the Seller’s obligations hereunder (including the payment of the Royalty Payments), a first priority security interest in and to all right, title and interest in, to and under the Product Collateral and the Seller does hereby authorize the Buyer, from and after the Closing, to file such security filings and financing statements (and continuation statements with respect to such financing statements when applicable) in such manner and such jurisdictions as are necessary or appropriate to perfect such security interest (the “</w:t>
      </w:r>
      <w:r>
        <w:rPr>
          <w:rFonts w:ascii="Times New Roman" w:cs="Times New Roman" w:eastAsia="Times New Roman" w:hAnsi="Times New Roman"/>
          <w:sz w:val="21"/>
          <w:szCs w:val="21"/>
          <w:u w:val="single" w:color="auto"/>
          <w:color w:val="auto"/>
        </w:rPr>
        <w:t>Back-Up Security Interest</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right="60" w:firstLine="1497"/>
        <w:spacing w:after="0" w:line="239" w:lineRule="auto"/>
        <w:rPr>
          <w:sz w:val="20"/>
          <w:szCs w:val="20"/>
          <w:color w:val="auto"/>
        </w:rPr>
      </w:pPr>
      <w:r>
        <w:rPr>
          <w:rFonts w:ascii="Times New Roman" w:cs="Times New Roman" w:eastAsia="Times New Roman" w:hAnsi="Times New Roman"/>
          <w:sz w:val="22"/>
          <w:szCs w:val="22"/>
          <w:color w:val="010000"/>
        </w:rPr>
        <w:t xml:space="preserve">Section 2.2 </w:t>
      </w:r>
      <w:r>
        <w:rPr>
          <w:rFonts w:ascii="Times New Roman" w:cs="Times New Roman" w:eastAsia="Times New Roman" w:hAnsi="Times New Roman"/>
          <w:sz w:val="22"/>
          <w:szCs w:val="22"/>
          <w:u w:val="single" w:color="auto"/>
          <w:color w:val="000000"/>
        </w:rPr>
        <w:t>Purchase Price</w:t>
      </w:r>
      <w:r>
        <w:rPr>
          <w:rFonts w:ascii="Times New Roman" w:cs="Times New Roman" w:eastAsia="Times New Roman" w:hAnsi="Times New Roman"/>
          <w:sz w:val="22"/>
          <w:szCs w:val="22"/>
          <w:color w:val="000000"/>
        </w:rPr>
        <w:t>. At the Closing and upon the terms and subject to the conditions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the purchase price to be paid as consideration to the Seller for the sale, transfer, assignment and conveyance of the Revenue Participation Right to the Buyer is $100,000,000 in cash (the “</w:t>
      </w:r>
      <w:r>
        <w:rPr>
          <w:rFonts w:ascii="Times New Roman" w:cs="Times New Roman" w:eastAsia="Times New Roman" w:hAnsi="Times New Roman"/>
          <w:sz w:val="22"/>
          <w:szCs w:val="22"/>
          <w:u w:val="single" w:color="auto"/>
          <w:color w:val="000000"/>
        </w:rPr>
        <w:t>Purchase Price</w:t>
      </w:r>
      <w:r>
        <w:rPr>
          <w:rFonts w:ascii="Times New Roman" w:cs="Times New Roman" w:eastAsia="Times New Roman" w:hAnsi="Times New Roman"/>
          <w:sz w:val="22"/>
          <w:szCs w:val="22"/>
          <w:color w:val="000000"/>
        </w:rPr>
        <w:t>”) less any Transaction Expenses that have not been reimbursed to the Buyer hereunder prior to the Closing.</w:t>
      </w:r>
    </w:p>
    <w:p>
      <w:pPr>
        <w:spacing w:after="0" w:line="180" w:lineRule="exact"/>
        <w:rPr>
          <w:sz w:val="20"/>
          <w:szCs w:val="20"/>
          <w:color w:val="auto"/>
        </w:rPr>
      </w:pPr>
    </w:p>
    <w:p>
      <w:pPr>
        <w:ind w:right="100" w:firstLine="1497"/>
        <w:spacing w:after="0" w:line="236" w:lineRule="auto"/>
        <w:rPr>
          <w:sz w:val="20"/>
          <w:szCs w:val="20"/>
          <w:color w:val="auto"/>
        </w:rPr>
      </w:pPr>
      <w:r>
        <w:rPr>
          <w:rFonts w:ascii="Times New Roman" w:cs="Times New Roman" w:eastAsia="Times New Roman" w:hAnsi="Times New Roman"/>
          <w:sz w:val="22"/>
          <w:szCs w:val="22"/>
          <w:color w:val="010000"/>
        </w:rPr>
        <w:t xml:space="preserve">Section 2.3 </w:t>
      </w:r>
      <w:r>
        <w:rPr>
          <w:rFonts w:ascii="Times New Roman" w:cs="Times New Roman" w:eastAsia="Times New Roman" w:hAnsi="Times New Roman"/>
          <w:sz w:val="22"/>
          <w:szCs w:val="22"/>
          <w:u w:val="single" w:color="auto"/>
          <w:color w:val="000000"/>
        </w:rPr>
        <w:t>No Assumed Obligations; Excluded Assets.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Notwithstanding any provision in this Agreement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contrary, the Buyer is only agreeing, on the terms and conditions set forth in this Agreement, to purchase, acquire and accept the Revenue Participation Right and is not assuming any liability or obligation of the Seller or any of its Affiliates of whatever nature, whether presently in existence or arising or asserted hereafter. Except as specifically set forth herein in respect of the Revenue Participation Right purchased, acquired and accepted hereunder, the Buyer does not, by such purchase, acquisition and acceptance, acquire any other assets of the Seller or its Affiliates.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CLOSING</w:t>
      </w:r>
    </w:p>
    <w:p>
      <w:pPr>
        <w:ind w:right="100" w:firstLine="1497"/>
        <w:spacing w:after="0" w:line="235" w:lineRule="auto"/>
        <w:rPr>
          <w:sz w:val="20"/>
          <w:szCs w:val="20"/>
          <w:color w:val="auto"/>
        </w:rPr>
      </w:pPr>
      <w:r>
        <w:rPr>
          <w:rFonts w:ascii="Times New Roman" w:cs="Times New Roman" w:eastAsia="Times New Roman" w:hAnsi="Times New Roman"/>
          <w:sz w:val="22"/>
          <w:szCs w:val="22"/>
          <w:color w:val="010000"/>
        </w:rPr>
        <w:t xml:space="preserve">Section 3.1 </w:t>
      </w:r>
      <w:r>
        <w:rPr>
          <w:rFonts w:ascii="Times New Roman" w:cs="Times New Roman" w:eastAsia="Times New Roman" w:hAnsi="Times New Roman"/>
          <w:sz w:val="22"/>
          <w:szCs w:val="22"/>
          <w:u w:val="single" w:color="auto"/>
          <w:color w:val="000000"/>
        </w:rPr>
        <w:t>Closing</w:t>
      </w:r>
      <w:r>
        <w:rPr>
          <w:rFonts w:ascii="Times New Roman" w:cs="Times New Roman" w:eastAsia="Times New Roman" w:hAnsi="Times New Roman"/>
          <w:sz w:val="22"/>
          <w:szCs w:val="22"/>
          <w:color w:val="000000"/>
        </w:rPr>
        <w:t>. The Closing shall take place remotely via the exchange of documents and signatures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20th Business Day, or such period as mutually agreed upon by the parties hereto, after the date on which the conditions set forth in ARTICLE 5 are satisfied or waived.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9" w:name="page210"/>
    <w:bookmarkEnd w:id="209"/>
    <w:p>
      <w:pPr>
        <w:ind w:right="120"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3.2 </w:t>
      </w:r>
      <w:r>
        <w:rPr>
          <w:rFonts w:ascii="Times New Roman" w:cs="Times New Roman" w:eastAsia="Times New Roman" w:hAnsi="Times New Roman"/>
          <w:sz w:val="22"/>
          <w:szCs w:val="22"/>
          <w:u w:val="single" w:color="auto"/>
          <w:color w:val="000000"/>
        </w:rPr>
        <w:t>Payment of Purchase Price</w:t>
      </w:r>
      <w:r>
        <w:rPr>
          <w:rFonts w:ascii="Times New Roman" w:cs="Times New Roman" w:eastAsia="Times New Roman" w:hAnsi="Times New Roman"/>
          <w:sz w:val="22"/>
          <w:szCs w:val="22"/>
          <w:color w:val="000000"/>
        </w:rPr>
        <w:t>. At the Closing, the Buyer shall deliver (or cause to be delivered)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payment of the Purchase Price to the Seller by electronic funds transfer or wire transfer of immediately available funds to one or more accounts specified by the Seller.</w:t>
      </w:r>
    </w:p>
    <w:p>
      <w:pPr>
        <w:spacing w:after="0" w:line="173" w:lineRule="exact"/>
        <w:rPr>
          <w:sz w:val="20"/>
          <w:szCs w:val="20"/>
          <w:color w:val="auto"/>
        </w:rPr>
      </w:pPr>
    </w:p>
    <w:p>
      <w:pPr>
        <w:jc w:val="both"/>
        <w:ind w:right="300"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3.3 </w:t>
      </w:r>
      <w:r>
        <w:rPr>
          <w:rFonts w:ascii="Times New Roman" w:cs="Times New Roman" w:eastAsia="Times New Roman" w:hAnsi="Times New Roman"/>
          <w:sz w:val="22"/>
          <w:szCs w:val="22"/>
          <w:u w:val="single" w:color="auto"/>
          <w:color w:val="000000"/>
        </w:rPr>
        <w:t>Bill of Sale</w:t>
      </w:r>
      <w:r>
        <w:rPr>
          <w:rFonts w:ascii="Times New Roman" w:cs="Times New Roman" w:eastAsia="Times New Roman" w:hAnsi="Times New Roman"/>
          <w:sz w:val="22"/>
          <w:szCs w:val="22"/>
          <w:color w:val="000000"/>
        </w:rPr>
        <w:t>. At the Closing, upon confirmation of the receipt of the Purchase Price, the Seller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deliver to the Buyer a duly executed bill of sale evidencing the sale, transfer, assignment and conveyance of the Revenue Participation Right in substantially the form attached hereto as Exhibit B (the “</w:t>
      </w:r>
      <w:r>
        <w:rPr>
          <w:rFonts w:ascii="Times New Roman" w:cs="Times New Roman" w:eastAsia="Times New Roman" w:hAnsi="Times New Roman"/>
          <w:sz w:val="22"/>
          <w:szCs w:val="22"/>
          <w:u w:val="single" w:color="auto"/>
          <w:color w:val="000000"/>
        </w:rPr>
        <w:t>Bill of Sale</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010000"/>
        </w:rPr>
        <w:t>ARTICLE 4</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REPRESENTATIONS AND WARRANTIES</w:t>
      </w:r>
    </w:p>
    <w:p>
      <w:pPr>
        <w:ind w:right="60" w:firstLine="1497"/>
        <w:spacing w:after="0" w:line="232" w:lineRule="auto"/>
        <w:rPr>
          <w:sz w:val="20"/>
          <w:szCs w:val="20"/>
          <w:color w:val="auto"/>
        </w:rPr>
      </w:pPr>
      <w:r>
        <w:rPr>
          <w:rFonts w:ascii="Times New Roman" w:cs="Times New Roman" w:eastAsia="Times New Roman" w:hAnsi="Times New Roman"/>
          <w:sz w:val="22"/>
          <w:szCs w:val="22"/>
          <w:color w:val="010000"/>
        </w:rPr>
        <w:t xml:space="preserve">Section 4.1 </w:t>
      </w:r>
      <w:r>
        <w:rPr>
          <w:rFonts w:ascii="Times New Roman" w:cs="Times New Roman" w:eastAsia="Times New Roman" w:hAnsi="Times New Roman"/>
          <w:sz w:val="22"/>
          <w:szCs w:val="22"/>
          <w:u w:val="single" w:color="auto"/>
          <w:color w:val="000000"/>
        </w:rPr>
        <w:t>Seller’s Representations and Warranties</w:t>
      </w:r>
      <w:r>
        <w:rPr>
          <w:rFonts w:ascii="Times New Roman" w:cs="Times New Roman" w:eastAsia="Times New Roman" w:hAnsi="Times New Roman"/>
          <w:sz w:val="22"/>
          <w:szCs w:val="22"/>
          <w:color w:val="000000"/>
        </w:rPr>
        <w:t>. Except as set forth on the Disclosure Schedule attached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hereto (provided, the list of Existing Licenses under Schedule 4.1(h)(i) of the Disclosure Schedule and the list of Existing Patent Rights under Schedule 4.1(k)(i) of the Disclosure Schedule may be updated as of the Closing to the extent such updates would not have a material and adverse effect on any Product, any Product Rights or the Revenue Participation Right or be materially adverse to the Buyer’s interests under this Agreement), the Seller represents and warrants to the Buyer that as of the date hereof and as of the Closing Date:</w:t>
      </w:r>
    </w:p>
    <w:p>
      <w:pPr>
        <w:spacing w:after="0" w:line="183" w:lineRule="exact"/>
        <w:rPr>
          <w:sz w:val="20"/>
          <w:szCs w:val="20"/>
          <w:color w:val="auto"/>
        </w:rPr>
      </w:pPr>
    </w:p>
    <w:p>
      <w:pPr>
        <w:ind w:right="120" w:firstLine="1505"/>
        <w:spacing w:after="0" w:line="236" w:lineRule="auto"/>
        <w:tabs>
          <w:tab w:leader="none" w:pos="1929"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Existence; Good Standing</w:t>
      </w:r>
      <w:r>
        <w:rPr>
          <w:rFonts w:ascii="Times New Roman" w:cs="Times New Roman" w:eastAsia="Times New Roman" w:hAnsi="Times New Roman"/>
          <w:sz w:val="22"/>
          <w:szCs w:val="22"/>
          <w:color w:val="auto"/>
        </w:rPr>
        <w:t>. The Seller is a corporation duly incorporated, validly existing and in good standing under the laws of the State of Delaware. The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181" w:lineRule="exact"/>
        <w:rPr>
          <w:rFonts w:ascii="Times New Roman" w:cs="Times New Roman" w:eastAsia="Times New Roman" w:hAnsi="Times New Roman"/>
          <w:sz w:val="22"/>
          <w:szCs w:val="22"/>
          <w:color w:val="010000"/>
        </w:rPr>
      </w:pPr>
    </w:p>
    <w:p>
      <w:pPr>
        <w:ind w:firstLine="1505"/>
        <w:spacing w:after="0" w:line="244" w:lineRule="auto"/>
        <w:tabs>
          <w:tab w:leader="none" w:pos="1929"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w:t>
      </w:r>
    </w:p>
    <w:p>
      <w:pPr>
        <w:spacing w:after="0" w:line="173" w:lineRule="exact"/>
        <w:rPr>
          <w:rFonts w:ascii="Times New Roman" w:cs="Times New Roman" w:eastAsia="Times New Roman" w:hAnsi="Times New Roman"/>
          <w:sz w:val="22"/>
          <w:szCs w:val="22"/>
          <w:color w:val="010000"/>
        </w:rPr>
      </w:pPr>
    </w:p>
    <w:p>
      <w:pPr>
        <w:ind w:right="20" w:firstLine="1505"/>
        <w:spacing w:after="0" w:line="239" w:lineRule="auto"/>
        <w:tabs>
          <w:tab w:leader="none" w:pos="1929"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This Agreement has been duly executed and delivered by an authorized officer of the Seller and constitutes the valid and binding obligation of the Seller, enforceable against the Seller in accordance with its terms, except as may be limited by applicable Bankruptcy Laws or by general principles of equity (whether considered in a proceeding in equity or at law).</w:t>
      </w:r>
    </w:p>
    <w:p>
      <w:pPr>
        <w:spacing w:after="0" w:line="180" w:lineRule="exact"/>
        <w:rPr>
          <w:rFonts w:ascii="Times New Roman" w:cs="Times New Roman" w:eastAsia="Times New Roman" w:hAnsi="Times New Roman"/>
          <w:sz w:val="22"/>
          <w:szCs w:val="22"/>
          <w:color w:val="010000"/>
        </w:rPr>
      </w:pPr>
    </w:p>
    <w:p>
      <w:pPr>
        <w:ind w:right="100" w:firstLine="1505"/>
        <w:spacing w:after="0" w:line="238" w:lineRule="auto"/>
        <w:tabs>
          <w:tab w:leader="none" w:pos="1929"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the Seller of this Agreement and the consummation of the transactions contemplated hereby do not and will not (i) contravene or conflict with the certificate of incorporation or bylaws of the Seller, (ii) contravene or conflict with or constitute a material default under any law binding upon or applicable to the Seller or the Revenue Participation Right or (iii) contravene or conflict with or constitute a material default under any material Contract or Judgment binding upon or applicable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to the Seller or the Revenue Participation Right.</w:t>
      </w:r>
    </w:p>
    <w:p>
      <w:pPr>
        <w:spacing w:after="0" w:line="206" w:lineRule="exact"/>
        <w:rPr>
          <w:sz w:val="20"/>
          <w:szCs w:val="20"/>
          <w:color w:val="auto"/>
        </w:rPr>
      </w:pPr>
    </w:p>
    <w:p>
      <w:pPr>
        <w:ind w:firstLine="1505"/>
        <w:spacing w:after="0" w:line="247" w:lineRule="auto"/>
        <w:tabs>
          <w:tab w:leader="none" w:pos="1929" w:val="left"/>
        </w:tabs>
        <w:numPr>
          <w:ilvl w:val="1"/>
          <w:numId w:val="1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Except for the UCC financing statements contemplated by Section 2.1(b), or any filings required by U.S. federal securities laws or stock exchange rules, or as set forth in Schedule 4.1(e) of the Disclosure Schedule, no consent, approval, license, order, authorization, registration, declaration or filing with or of any Governmental Entity or other Person is required to be done or obtained by the Seller in connection with (i) the execution and delivery by the Seller of this Agreement,</w:t>
      </w:r>
    </w:p>
    <w:p>
      <w:pPr>
        <w:spacing w:after="0" w:line="1" w:lineRule="exact"/>
        <w:rPr>
          <w:rFonts w:ascii="Times New Roman" w:cs="Times New Roman" w:eastAsia="Times New Roman" w:hAnsi="Times New Roman"/>
          <w:sz w:val="21"/>
          <w:szCs w:val="21"/>
          <w:color w:val="010000"/>
        </w:rPr>
      </w:pPr>
    </w:p>
    <w:p>
      <w:pPr>
        <w:ind w:right="340" w:firstLine="8"/>
        <w:spacing w:after="0" w:line="237" w:lineRule="auto"/>
        <w:tabs>
          <w:tab w:leader="none" w:pos="31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by the Seller of its obligations under this Agreement or (iii) the consummation by the Seller of any of the transactions contemplated by this Agreement.</w:t>
      </w:r>
    </w:p>
    <w:p>
      <w:pPr>
        <w:spacing w:after="0" w:line="178" w:lineRule="exact"/>
        <w:rPr>
          <w:rFonts w:ascii="Times New Roman" w:cs="Times New Roman" w:eastAsia="Times New Roman" w:hAnsi="Times New Roman"/>
          <w:sz w:val="22"/>
          <w:szCs w:val="22"/>
          <w:color w:val="auto"/>
        </w:rPr>
      </w:pPr>
    </w:p>
    <w:p>
      <w:pPr>
        <w:ind w:right="180" w:firstLine="1505"/>
        <w:spacing w:after="0" w:line="255" w:lineRule="auto"/>
        <w:tabs>
          <w:tab w:leader="none" w:pos="1929" w:val="left"/>
        </w:tabs>
        <w:numPr>
          <w:ilvl w:val="1"/>
          <w:numId w:val="1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Litigation</w:t>
      </w:r>
      <w:r>
        <w:rPr>
          <w:rFonts w:ascii="Times New Roman" w:cs="Times New Roman" w:eastAsia="Times New Roman" w:hAnsi="Times New Roman"/>
          <w:sz w:val="21"/>
          <w:szCs w:val="21"/>
          <w:color w:val="auto"/>
        </w:rPr>
        <w:t>. Neither the Seller nor any of its Subsidiaries is a party to, and has not received any written notice of, any action, suit, investigation or proceeding pending before any Governmental Entity and, to the Knowledge of the Seller, no such action, suit, investigation or proceeding has been threatened against the Seller, that, individually or in the aggregate, has had or would, if determined adversely, reasonably be expected to have a Material Adverse Effect.</w:t>
      </w:r>
    </w:p>
    <w:p>
      <w:pPr>
        <w:spacing w:after="0" w:line="161" w:lineRule="exact"/>
        <w:rPr>
          <w:rFonts w:ascii="Times New Roman" w:cs="Times New Roman" w:eastAsia="Times New Roman" w:hAnsi="Times New Roman"/>
          <w:sz w:val="21"/>
          <w:szCs w:val="21"/>
          <w:color w:val="010000"/>
        </w:rPr>
      </w:pPr>
    </w:p>
    <w:p>
      <w:pPr>
        <w:ind w:left="1940" w:hanging="435"/>
        <w:spacing w:after="0"/>
        <w:tabs>
          <w:tab w:leader="none" w:pos="194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1500" w:right="120" w:firstLine="754"/>
        <w:spacing w:after="0" w:line="238" w:lineRule="auto"/>
        <w:tabs>
          <w:tab w:leader="none" w:pos="2681" w:val="left"/>
        </w:tabs>
        <w:numPr>
          <w:ilvl w:val="2"/>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applications, submissions, information and data related to a Product submitted or utilized as the basis for any request to any Regulatory Authority by or on behalf of the Seller were true and correct in all material respects as of the date of such submission or request, and, to the Knowledge of the Seller any material updates, changes, corrections or modification to such applications, submissions, information or data required under applicable laws or regulations have been submitted to the necessary Regulatory Authorities.</w:t>
      </w:r>
    </w:p>
    <w:p>
      <w:pPr>
        <w:spacing w:after="0" w:line="176" w:lineRule="exact"/>
        <w:rPr>
          <w:rFonts w:ascii="Times New Roman" w:cs="Times New Roman" w:eastAsia="Times New Roman" w:hAnsi="Times New Roman"/>
          <w:sz w:val="22"/>
          <w:szCs w:val="22"/>
          <w:color w:val="010000"/>
        </w:rPr>
      </w:pPr>
    </w:p>
    <w:p>
      <w:pPr>
        <w:ind w:left="1500" w:firstLine="754"/>
        <w:spacing w:after="0" w:line="234" w:lineRule="auto"/>
        <w:tabs>
          <w:tab w:leader="none" w:pos="2681" w:val="left"/>
        </w:tabs>
        <w:numPr>
          <w:ilvl w:val="2"/>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Seller nor any of its Subsidiaries has committed any act, made any statement or failed to make any statement that would reasonably be expected to provide a basis for the FDA to invoke its policy with respect to “Fraud, Untrue Statements of Material Facts, Bribery, and Illegal Gratuities”, 56 Fed. Reg. 46191 (September 10, 1991) (the “</w:t>
      </w:r>
      <w:r>
        <w:rPr>
          <w:rFonts w:ascii="Times New Roman" w:cs="Times New Roman" w:eastAsia="Times New Roman" w:hAnsi="Times New Roman"/>
          <w:sz w:val="22"/>
          <w:szCs w:val="22"/>
          <w:u w:val="single" w:color="auto"/>
          <w:color w:val="auto"/>
        </w:rPr>
        <w:t>FDA Application Integrity Policy</w:t>
      </w:r>
      <w:r>
        <w:rPr>
          <w:rFonts w:ascii="Times New Roman" w:cs="Times New Roman" w:eastAsia="Times New Roman" w:hAnsi="Times New Roman"/>
          <w:sz w:val="22"/>
          <w:szCs w:val="22"/>
          <w:color w:val="auto"/>
        </w:rPr>
        <w:t>”) and any amendments thereto, or any similar policies by FDA, the EMA or any other Regulatory Authority, set forth in any applicable laws or regulations. Neither the Seller nor, to the Knowledge of the Seller, any of its officers, employees, contractors or agents is the subject of any pending or, to the Knowledge of the Seller, threatened investigation by FDA or any other Regulatory Authority that could reasonably result in the invocation of the FDA Application Integrity Policy or any similar policy by any Regulatory Authority.</w:t>
      </w:r>
    </w:p>
    <w:p>
      <w:pPr>
        <w:spacing w:after="0" w:line="183" w:lineRule="exact"/>
        <w:rPr>
          <w:rFonts w:ascii="Times New Roman" w:cs="Times New Roman" w:eastAsia="Times New Roman" w:hAnsi="Times New Roman"/>
          <w:sz w:val="22"/>
          <w:szCs w:val="22"/>
          <w:color w:val="010000"/>
        </w:rPr>
      </w:pPr>
    </w:p>
    <w:p>
      <w:pPr>
        <w:ind w:left="1500" w:right="40" w:firstLine="1503"/>
        <w:spacing w:after="0" w:line="247" w:lineRule="auto"/>
        <w:tabs>
          <w:tab w:leader="none" w:pos="3430" w:val="left"/>
        </w:tabs>
        <w:numPr>
          <w:ilvl w:val="3"/>
          <w:numId w:val="1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has provided to the Buyer prior to the date hereof true and correct copies of all material written communications sent or received by the Seller and any of its Affiliates to or from any Regulatory Authorities that (A) related to the Product since [***]; (B) would indicate that such Regulatory Authority (1) is likely to reject, condition, or delay any application for Marketing Approval of any Product, or</w:t>
      </w:r>
    </w:p>
    <w:p>
      <w:pPr>
        <w:spacing w:after="0" w:line="1" w:lineRule="exact"/>
        <w:rPr>
          <w:rFonts w:ascii="Times New Roman" w:cs="Times New Roman" w:eastAsia="Times New Roman" w:hAnsi="Times New Roman"/>
          <w:sz w:val="21"/>
          <w:szCs w:val="21"/>
          <w:color w:val="010000"/>
        </w:rPr>
      </w:pPr>
    </w:p>
    <w:p>
      <w:pPr>
        <w:ind w:left="150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(2) is likely to pursue any</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11" w:name="page212"/>
    <w:bookmarkEnd w:id="211"/>
    <w:p>
      <w:pPr>
        <w:ind w:left="380" w:right="60"/>
        <w:spacing w:after="0" w:line="258" w:lineRule="auto"/>
        <w:rPr>
          <w:sz w:val="20"/>
          <w:szCs w:val="20"/>
          <w:color w:val="auto"/>
        </w:rPr>
      </w:pPr>
      <w:r>
        <w:rPr>
          <w:rFonts w:ascii="Times New Roman" w:cs="Times New Roman" w:eastAsia="Times New Roman" w:hAnsi="Times New Roman"/>
          <w:sz w:val="22"/>
          <w:szCs w:val="22"/>
          <w:color w:val="auto"/>
        </w:rPr>
        <w:t>material compliance actions against Seller; or (C) would otherwise, individually or in the aggregate, reasonably be expected to result in a Material Adverse Effect.</w:t>
      </w:r>
    </w:p>
    <w:p>
      <w:pPr>
        <w:spacing w:after="0" w:line="158" w:lineRule="exact"/>
        <w:rPr>
          <w:sz w:val="20"/>
          <w:szCs w:val="20"/>
          <w:color w:val="auto"/>
        </w:rPr>
      </w:pPr>
    </w:p>
    <w:p>
      <w:pPr>
        <w:jc w:val="both"/>
        <w:ind w:left="380" w:right="40" w:firstLine="1503"/>
        <w:spacing w:after="0" w:line="244" w:lineRule="auto"/>
        <w:tabs>
          <w:tab w:leader="none" w:pos="2310" w:val="left"/>
        </w:tabs>
        <w:numPr>
          <w:ilvl w:val="2"/>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(A) the date hereof, no Product has been the subject of a prior Marketing Approval in the Territory and (B) the Closing Date, the Product has not been subject of a prior Marketing Approval in the Territory other than the U.S. Marketing Approval.</w:t>
      </w:r>
    </w:p>
    <w:p>
      <w:pPr>
        <w:spacing w:after="0" w:line="173" w:lineRule="exact"/>
        <w:rPr>
          <w:rFonts w:ascii="Times New Roman" w:cs="Times New Roman" w:eastAsia="Times New Roman" w:hAnsi="Times New Roman"/>
          <w:sz w:val="22"/>
          <w:szCs w:val="22"/>
          <w:color w:val="010000"/>
        </w:rPr>
      </w:pPr>
    </w:p>
    <w:p>
      <w:pPr>
        <w:ind w:left="380" w:right="100" w:firstLine="1503"/>
        <w:spacing w:after="0" w:line="248" w:lineRule="auto"/>
        <w:tabs>
          <w:tab w:leader="none" w:pos="2310" w:val="left"/>
        </w:tabs>
        <w:numPr>
          <w:ilvl w:val="2"/>
          <w:numId w:val="1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None of the Seller, any of its Subsidiaries and, to the Knowledge of the Seller, any Third Party manufacturer of any Product, has received from the FDA a “Warning Letter”, Form FDA-483, “Untitled Letter,” or similar material written correspondence or notice alleging violations of applicable laws and regulations enforced by the FDA, or any comparable material written correspondence from any other Regulatory Authority with regard to any Product or the manufacture, processing, packaging or holding thereof, the subject of which communication is unresolved and if determined adversely to the Seller or such Subsidiary would, individually or in the aggregate, reasonably be expected to result in a Material Adverse Effect.</w:t>
      </w:r>
    </w:p>
    <w:p>
      <w:pPr>
        <w:spacing w:after="0" w:line="170" w:lineRule="exact"/>
        <w:rPr>
          <w:rFonts w:ascii="Times New Roman" w:cs="Times New Roman" w:eastAsia="Times New Roman" w:hAnsi="Times New Roman"/>
          <w:sz w:val="21"/>
          <w:szCs w:val="21"/>
          <w:color w:val="010000"/>
        </w:rPr>
      </w:pPr>
    </w:p>
    <w:p>
      <w:pPr>
        <w:ind w:left="380" w:firstLine="1503"/>
        <w:spacing w:after="0" w:line="247" w:lineRule="auto"/>
        <w:tabs>
          <w:tab w:leader="none" w:pos="2310" w:val="left"/>
        </w:tabs>
        <w:numPr>
          <w:ilvl w:val="2"/>
          <w:numId w:val="1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Since [***], (A) there have been no Safety Notices, (B) to the Knowledge of the Seller, there are no unresolved material product complaints with respect to any Product, which would result in a Material Adverse Effect, and (C) to the Knowledge of the Seller, there are no facts currently in existence that would, individually or in the aggregate, reasonably be expected to result in (1) a material Safety Notice with respect to any Product, or (2) a material change in the labeling of any Product. Since [***], neither the Seller nor any of its Subsidiaries has experienced any significant failures in the manufacturing of any Product for clinical use or commercial sale that have not been resolved, or that would, individually or in the aggregate, have had or, if such failure occurred again, would reasonably be expected to result in a Material Adverse Effect.</w:t>
      </w:r>
    </w:p>
    <w:p>
      <w:pPr>
        <w:spacing w:after="0" w:line="171" w:lineRule="exact"/>
        <w:rPr>
          <w:rFonts w:ascii="Times New Roman" w:cs="Times New Roman" w:eastAsia="Times New Roman" w:hAnsi="Times New Roman"/>
          <w:sz w:val="21"/>
          <w:szCs w:val="21"/>
          <w:color w:val="010000"/>
        </w:rPr>
      </w:pPr>
    </w:p>
    <w:p>
      <w:pPr>
        <w:ind w:left="380" w:firstLine="754"/>
        <w:spacing w:after="0" w:line="244" w:lineRule="auto"/>
        <w:tabs>
          <w:tab w:leader="none" w:pos="1561" w:val="left"/>
        </w:tabs>
        <w:numPr>
          <w:ilvl w:val="1"/>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possesses all material permits, licenses, registrations, certificates, authorizations, orders, clearances, and approvals, including, if applicable, all Marketing Approvals (collectively,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from the appropriate federal, state or foreign regulatory authorities necessary to conduct the Seller’s business as currently conducted, including all such material Permits required by the FDA or, any other Regulatory Authority. The Seller has not received any written notice of proceedings relating to the suspension, modification, revocation or cancellation of any Permit. Neither the Seller nor, to the Knowledge of the Seller, any officer, employee or agent of the Seller has been convicted of any crime or engaged in any conduct that has previously caused or would reasonably be expected to result in (A) disqualification or debarment by the FDA under 21 U.S.C. Sections 335(a) or (b), or any similar law, rule or regulation of any other governmental entities,</w:t>
      </w:r>
    </w:p>
    <w:p>
      <w:pPr>
        <w:spacing w:after="0" w:line="1" w:lineRule="exact"/>
        <w:rPr>
          <w:rFonts w:ascii="Times New Roman" w:cs="Times New Roman" w:eastAsia="Times New Roman" w:hAnsi="Times New Roman"/>
          <w:sz w:val="21"/>
          <w:szCs w:val="21"/>
          <w:color w:val="010000"/>
        </w:rPr>
      </w:pPr>
    </w:p>
    <w:p>
      <w:pPr>
        <w:ind w:left="380" w:right="20" w:firstLine="5"/>
        <w:spacing w:after="0" w:line="235" w:lineRule="auto"/>
        <w:tabs>
          <w:tab w:leader="none" w:pos="72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debarment, suspension, or exclusion under any federal healthcare programs or by the General Services Administration, or any similar law, rule or regulation of any other governmental entities, or (C) exclusion under 42 U.S.C. Section 1320a-7 or any similar law, rule or regulation administered by</w:t>
      </w: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08" w:right="379" w:bottom="1440" w:gutter="0" w:footer="0" w:header="0"/>
        </w:sectPr>
      </w:pPr>
    </w:p>
    <w:bookmarkStart w:id="212" w:name="page213"/>
    <w:bookmarkEnd w:id="212"/>
    <w:p>
      <w:pPr>
        <w:ind w:left="380"/>
        <w:spacing w:after="0" w:line="238" w:lineRule="auto"/>
        <w:rPr>
          <w:sz w:val="20"/>
          <w:szCs w:val="20"/>
          <w:color w:val="auto"/>
        </w:rPr>
      </w:pPr>
      <w:r>
        <w:rPr>
          <w:rFonts w:ascii="Times New Roman" w:cs="Times New Roman" w:eastAsia="Times New Roman" w:hAnsi="Times New Roman"/>
          <w:sz w:val="22"/>
          <w:szCs w:val="22"/>
          <w:color w:val="auto"/>
        </w:rPr>
        <w:t>any Regulatory Authority. To the Knowledge of the Seller, neither the Seller nor any of its officers, employees, any of its contractors or agents has made an untrue statement of material fact on, or material omissions from, any notifications, applications, approvals, reports and other submissions to the FDA with respect to any Product, or, to the extent such statement or other submission would reasonably be expected to have a Material Adverse Effect, any similar Regulatory Authority outside of the Territory.</w:t>
      </w:r>
    </w:p>
    <w:p>
      <w:pPr>
        <w:spacing w:after="0" w:line="177" w:lineRule="exact"/>
        <w:rPr>
          <w:sz w:val="20"/>
          <w:szCs w:val="20"/>
          <w:color w:val="auto"/>
        </w:rPr>
      </w:pPr>
    </w:p>
    <w:p>
      <w:pPr>
        <w:ind w:left="380" w:right="40" w:firstLine="754"/>
        <w:spacing w:after="0" w:line="235" w:lineRule="auto"/>
        <w:tabs>
          <w:tab w:leader="none" w:pos="1993" w:val="left"/>
        </w:tabs>
        <w:numPr>
          <w:ilvl w:val="1"/>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is and has been in compliance with all applicable laws administered or issued by the FDA or any similar Regulatory Authority, including the Federal Food, Drug, and Cosmetic Act, applicable requirements in FDA regulations, and any mandatory orders issued by FDA or similar Regulatory Authorities, and all other laws regarding ownership, developing, testing, manufacturing, packaging, storage, import, export, disposal, marketing, distributing, promoting, and complaint handling or adverse event reporting for the products of the Seller, except to the extent that such failure to comply with such applicable laws would not reasonably be expected to result in a Material Adverse Effect.</w:t>
      </w:r>
    </w:p>
    <w:p>
      <w:pPr>
        <w:spacing w:after="0" w:line="183" w:lineRule="exact"/>
        <w:rPr>
          <w:rFonts w:ascii="Times New Roman" w:cs="Times New Roman" w:eastAsia="Times New Roman" w:hAnsi="Times New Roman"/>
          <w:sz w:val="22"/>
          <w:szCs w:val="22"/>
          <w:color w:val="010000"/>
        </w:rPr>
      </w:pPr>
    </w:p>
    <w:p>
      <w:pPr>
        <w:ind w:left="820" w:hanging="435"/>
        <w:spacing w:after="0"/>
        <w:tabs>
          <w:tab w:leader="none" w:pos="820"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Licenses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380" w:right="40" w:firstLine="1503"/>
        <w:spacing w:after="0" w:line="235" w:lineRule="auto"/>
        <w:tabs>
          <w:tab w:leader="none" w:pos="2310" w:val="left"/>
        </w:tabs>
        <w:numPr>
          <w:ilvl w:val="2"/>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Licenses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4.1(h)(i)</w:t>
      </w:r>
      <w:r>
        <w:rPr>
          <w:rFonts w:ascii="Times New Roman" w:cs="Times New Roman" w:eastAsia="Times New Roman" w:hAnsi="Times New Roman"/>
          <w:sz w:val="22"/>
          <w:szCs w:val="22"/>
          <w:color w:val="auto"/>
        </w:rPr>
        <w:t xml:space="preserve"> of the Disclosure Schedule, there are no In-Licenses and no Out-Licenses (any In-License set forth on </w:t>
      </w:r>
      <w:r>
        <w:rPr>
          <w:rFonts w:ascii="Times New Roman" w:cs="Times New Roman" w:eastAsia="Times New Roman" w:hAnsi="Times New Roman"/>
          <w:sz w:val="22"/>
          <w:szCs w:val="22"/>
          <w:u w:val="single" w:color="auto"/>
          <w:color w:val="auto"/>
        </w:rPr>
        <w:t>Schedule 4.1(h)(i)</w:t>
      </w:r>
      <w:r>
        <w:rPr>
          <w:rFonts w:ascii="Times New Roman" w:cs="Times New Roman" w:eastAsia="Times New Roman" w:hAnsi="Times New Roman"/>
          <w:sz w:val="22"/>
          <w:szCs w:val="22"/>
          <w:color w:val="auto"/>
        </w:rPr>
        <w:t xml:space="preserve"> of the Disclosure Schedule, an “</w:t>
      </w:r>
      <w:r>
        <w:rPr>
          <w:rFonts w:ascii="Times New Roman" w:cs="Times New Roman" w:eastAsia="Times New Roman" w:hAnsi="Times New Roman"/>
          <w:sz w:val="22"/>
          <w:szCs w:val="22"/>
          <w:u w:val="single" w:color="auto"/>
          <w:color w:val="auto"/>
        </w:rPr>
        <w:t>Existing In-License</w:t>
      </w:r>
      <w:r>
        <w:rPr>
          <w:rFonts w:ascii="Times New Roman" w:cs="Times New Roman" w:eastAsia="Times New Roman" w:hAnsi="Times New Roman"/>
          <w:sz w:val="22"/>
          <w:szCs w:val="22"/>
          <w:color w:val="auto"/>
        </w:rPr>
        <w:t xml:space="preserve">” and any Out-License set forth on </w:t>
      </w:r>
      <w:r>
        <w:rPr>
          <w:rFonts w:ascii="Times New Roman" w:cs="Times New Roman" w:eastAsia="Times New Roman" w:hAnsi="Times New Roman"/>
          <w:sz w:val="22"/>
          <w:szCs w:val="22"/>
          <w:u w:val="single" w:color="auto"/>
          <w:color w:val="auto"/>
        </w:rPr>
        <w:t>Schedule 4.1(h)(i)</w:t>
      </w:r>
      <w:r>
        <w:rPr>
          <w:rFonts w:ascii="Times New Roman" w:cs="Times New Roman" w:eastAsia="Times New Roman" w:hAnsi="Times New Roman"/>
          <w:sz w:val="22"/>
          <w:szCs w:val="22"/>
          <w:color w:val="auto"/>
        </w:rPr>
        <w:t xml:space="preserve"> of the Disclosure Schedule, an “</w:t>
      </w:r>
      <w:r>
        <w:rPr>
          <w:rFonts w:ascii="Times New Roman" w:cs="Times New Roman" w:eastAsia="Times New Roman" w:hAnsi="Times New Roman"/>
          <w:sz w:val="22"/>
          <w:szCs w:val="22"/>
          <w:u w:val="single" w:color="auto"/>
          <w:color w:val="auto"/>
        </w:rPr>
        <w:t>Existing Out-License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Existing Licenses</w:t>
      </w:r>
      <w:r>
        <w:rPr>
          <w:rFonts w:ascii="Times New Roman" w:cs="Times New Roman" w:eastAsia="Times New Roman" w:hAnsi="Times New Roman"/>
          <w:sz w:val="22"/>
          <w:szCs w:val="22"/>
          <w:color w:val="auto"/>
        </w:rPr>
        <w:t>”). A true, correct and complete copy of each Existing License has been provided to the Buyer by the Seller. Neither the Seller nor any of its Affiliates nor the respective counterparty thereto has made or entered into any amendment, supplement or modification to, or granted any waiver under any provision of any Existing License.</w:t>
      </w:r>
    </w:p>
    <w:p>
      <w:pPr>
        <w:spacing w:after="0" w:line="183" w:lineRule="exact"/>
        <w:rPr>
          <w:rFonts w:ascii="Times New Roman" w:cs="Times New Roman" w:eastAsia="Times New Roman" w:hAnsi="Times New Roman"/>
          <w:sz w:val="22"/>
          <w:szCs w:val="22"/>
          <w:color w:val="010000"/>
        </w:rPr>
      </w:pPr>
    </w:p>
    <w:p>
      <w:pPr>
        <w:ind w:left="380" w:right="20" w:firstLine="1503"/>
        <w:spacing w:after="0" w:line="236" w:lineRule="auto"/>
        <w:tabs>
          <w:tab w:leader="none" w:pos="2310" w:val="left"/>
        </w:tabs>
        <w:numPr>
          <w:ilvl w:val="2"/>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Validity and Enforceability of Licenses</w:t>
      </w:r>
      <w:r>
        <w:rPr>
          <w:rFonts w:ascii="Times New Roman" w:cs="Times New Roman" w:eastAsia="Times New Roman" w:hAnsi="Times New Roman"/>
          <w:sz w:val="22"/>
          <w:szCs w:val="22"/>
          <w:color w:val="auto"/>
        </w:rPr>
        <w:t>. Each Existing License is a valid and binding obligation of each counterparty thereto. Each Existing License is enforceable against each counterparty thereto in accordance with its terms except as may be limited by applicable Bankruptcy Laws or by general principles of equity (whether considered in a proceeding in equity or at law). Neither the Seller nor any of its Affiliates has received any written notice in connection with any Existing License challenging the validity, enforceability or interpretation of any provision of such agreement.</w:t>
      </w:r>
    </w:p>
    <w:p>
      <w:pPr>
        <w:spacing w:after="0" w:line="181" w:lineRule="exact"/>
        <w:rPr>
          <w:rFonts w:ascii="Times New Roman" w:cs="Times New Roman" w:eastAsia="Times New Roman" w:hAnsi="Times New Roman"/>
          <w:sz w:val="22"/>
          <w:szCs w:val="22"/>
          <w:color w:val="010000"/>
        </w:rPr>
      </w:pPr>
    </w:p>
    <w:p>
      <w:pPr>
        <w:ind w:left="380" w:right="540" w:firstLine="1503"/>
        <w:spacing w:after="0" w:line="239" w:lineRule="auto"/>
        <w:tabs>
          <w:tab w:leader="none" w:pos="2310" w:val="left"/>
        </w:tabs>
        <w:numPr>
          <w:ilvl w:val="2"/>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Termination</w:t>
      </w:r>
      <w:r>
        <w:rPr>
          <w:rFonts w:ascii="Times New Roman" w:cs="Times New Roman" w:eastAsia="Times New Roman" w:hAnsi="Times New Roman"/>
          <w:sz w:val="22"/>
          <w:szCs w:val="22"/>
          <w:color w:val="auto"/>
        </w:rPr>
        <w:t>. Neither the Seller nor any of its Affiliates has (A) given notice to a counterparty of the termination of any Existing License (whether in whole or in part) or any notice to a counterparty expressing any intention or desire to terminate any Existing License or (B) received from a counterparty thereto any written notice of termination of any Existing License</w:t>
      </w: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13" w:name="page214"/>
    <w:bookmarkEnd w:id="213"/>
    <w:p>
      <w:pPr>
        <w:ind w:left="1480" w:right="440"/>
        <w:spacing w:after="0" w:line="258" w:lineRule="auto"/>
        <w:rPr>
          <w:sz w:val="20"/>
          <w:szCs w:val="20"/>
          <w:color w:val="auto"/>
        </w:rPr>
      </w:pPr>
      <w:r>
        <w:rPr>
          <w:rFonts w:ascii="Times New Roman" w:cs="Times New Roman" w:eastAsia="Times New Roman" w:hAnsi="Times New Roman"/>
          <w:sz w:val="22"/>
          <w:szCs w:val="22"/>
          <w:color w:val="auto"/>
        </w:rPr>
        <w:t>(whether in whole or in part) or any written notice from a counterparty expressing any intention or desire to terminate any Existing License.</w:t>
      </w:r>
    </w:p>
    <w:p>
      <w:pPr>
        <w:spacing w:after="0" w:line="158" w:lineRule="exact"/>
        <w:rPr>
          <w:sz w:val="20"/>
          <w:szCs w:val="20"/>
          <w:color w:val="auto"/>
        </w:rPr>
      </w:pPr>
    </w:p>
    <w:p>
      <w:pPr>
        <w:ind w:left="1480" w:right="60" w:firstLine="1503"/>
        <w:spacing w:after="0" w:line="236" w:lineRule="auto"/>
        <w:tabs>
          <w:tab w:leader="none" w:pos="3410"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Breaches or Defaults</w:t>
      </w:r>
      <w:r>
        <w:rPr>
          <w:rFonts w:ascii="Times New Roman" w:cs="Times New Roman" w:eastAsia="Times New Roman" w:hAnsi="Times New Roman"/>
          <w:sz w:val="22"/>
          <w:szCs w:val="22"/>
          <w:color w:val="auto"/>
        </w:rPr>
        <w:t>. There is and has been no material breach or default under any provision of any Existing License either by the Seller or any of its Affiliates, or, to the Knowledge of the Seller, by the respective counterparty (or any predecessor thereof) thereto, and there is no event that upon notice or the passage of time, or both, would reasonably be expected to give rise to any material breach or default either by the Seller or any of its Affiliates, or, to the Knowledge of the Seller, by the respective counterparty to such agreement.</w:t>
      </w:r>
    </w:p>
    <w:p>
      <w:pPr>
        <w:spacing w:after="0" w:line="181" w:lineRule="exact"/>
        <w:rPr>
          <w:rFonts w:ascii="Times New Roman" w:cs="Times New Roman" w:eastAsia="Times New Roman" w:hAnsi="Times New Roman"/>
          <w:sz w:val="22"/>
          <w:szCs w:val="22"/>
          <w:color w:val="010000"/>
        </w:rPr>
      </w:pPr>
    </w:p>
    <w:p>
      <w:pPr>
        <w:ind w:left="1480" w:right="160" w:firstLine="1503"/>
        <w:spacing w:after="0" w:line="257" w:lineRule="exact"/>
        <w:tabs>
          <w:tab w:leader="none" w:pos="3410"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Payments Made</w:t>
      </w:r>
      <w:r>
        <w:rPr>
          <w:rFonts w:ascii="Times New Roman" w:cs="Times New Roman" w:eastAsia="Times New Roman" w:hAnsi="Times New Roman"/>
          <w:sz w:val="22"/>
          <w:szCs w:val="22"/>
          <w:color w:val="auto"/>
        </w:rPr>
        <w:t>. The respective counterparty of each Existing Out-License has made all payments to the Seller or any of its Affiliates required under each Existing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License as of the date hereof. The Seller and its Affiliates have made all payments to the respective counterparty of each Existing In-License required under each Existing In-License as of the date hereof.</w:t>
      </w:r>
    </w:p>
    <w:p>
      <w:pPr>
        <w:spacing w:after="0" w:line="176" w:lineRule="exact"/>
        <w:rPr>
          <w:rFonts w:ascii="Times New Roman" w:cs="Times New Roman" w:eastAsia="Times New Roman" w:hAnsi="Times New Roman"/>
          <w:sz w:val="22"/>
          <w:szCs w:val="22"/>
          <w:color w:val="010000"/>
        </w:rPr>
      </w:pPr>
    </w:p>
    <w:p>
      <w:pPr>
        <w:ind w:left="1480" w:right="180" w:firstLine="1503"/>
        <w:spacing w:after="0" w:line="251" w:lineRule="auto"/>
        <w:tabs>
          <w:tab w:leader="none" w:pos="3410" w:val="left"/>
        </w:tabs>
        <w:numPr>
          <w:ilvl w:val="1"/>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Assignments</w:t>
      </w:r>
      <w:r>
        <w:rPr>
          <w:rFonts w:ascii="Times New Roman" w:cs="Times New Roman" w:eastAsia="Times New Roman" w:hAnsi="Times New Roman"/>
          <w:sz w:val="21"/>
          <w:szCs w:val="21"/>
          <w:color w:val="auto"/>
        </w:rPr>
        <w:t>. Neither the Seller nor any of its Affiliates has assigned any of their rights or obligations under any such Existing License. Neither the Seller nor any of its Affiliates has consented to any assignment by the counterparty to any Existing License of any of such counterparty’s rights or obligations under any such Existing License. To the Knowledge of the Seller, the counterparty to any Existing License has not assigned any of its rights or obligations under any such Existing License to any Person.</w:t>
      </w:r>
    </w:p>
    <w:p>
      <w:pPr>
        <w:spacing w:after="0" w:line="168" w:lineRule="exact"/>
        <w:rPr>
          <w:rFonts w:ascii="Times New Roman" w:cs="Times New Roman" w:eastAsia="Times New Roman" w:hAnsi="Times New Roman"/>
          <w:sz w:val="21"/>
          <w:szCs w:val="21"/>
          <w:color w:val="010000"/>
        </w:rPr>
      </w:pPr>
    </w:p>
    <w:p>
      <w:pPr>
        <w:jc w:val="both"/>
        <w:ind w:left="1480" w:right="260" w:firstLine="1503"/>
        <w:spacing w:after="0" w:line="244" w:lineRule="auto"/>
        <w:tabs>
          <w:tab w:leader="none" w:pos="3410"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Indemnification Claims</w:t>
      </w:r>
      <w:r>
        <w:rPr>
          <w:rFonts w:ascii="Times New Roman" w:cs="Times New Roman" w:eastAsia="Times New Roman" w:hAnsi="Times New Roman"/>
          <w:sz w:val="22"/>
          <w:szCs w:val="22"/>
          <w:color w:val="auto"/>
        </w:rPr>
        <w:t>. Neither the Seller nor any of its Affiliates has notified any Person of any claims for indemnification under any Existing License nor has the Seller or any of its Affiliates received any claims for indemnification under any Existing License.</w:t>
      </w:r>
    </w:p>
    <w:p>
      <w:pPr>
        <w:spacing w:after="0" w:line="173" w:lineRule="exact"/>
        <w:rPr>
          <w:rFonts w:ascii="Times New Roman" w:cs="Times New Roman" w:eastAsia="Times New Roman" w:hAnsi="Times New Roman"/>
          <w:sz w:val="22"/>
          <w:szCs w:val="22"/>
          <w:color w:val="010000"/>
        </w:rPr>
      </w:pPr>
    </w:p>
    <w:p>
      <w:pPr>
        <w:jc w:val="both"/>
        <w:ind w:left="1480" w:firstLine="1503"/>
        <w:spacing w:after="0" w:line="244" w:lineRule="auto"/>
        <w:tabs>
          <w:tab w:leader="none" w:pos="3842"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Infringement</w:t>
      </w:r>
      <w:r>
        <w:rPr>
          <w:rFonts w:ascii="Times New Roman" w:cs="Times New Roman" w:eastAsia="Times New Roman" w:hAnsi="Times New Roman"/>
          <w:sz w:val="22"/>
          <w:szCs w:val="22"/>
          <w:color w:val="auto"/>
        </w:rPr>
        <w:t>. Neither the Seller nor any of its Affiliates has received any written notice from, or given any written notice to, any counterparty to any Existing License regarding any infringement of any of the Existing Patent Rights licensed thereunder.</w:t>
      </w:r>
    </w:p>
    <w:p>
      <w:pPr>
        <w:spacing w:after="0" w:line="173" w:lineRule="exact"/>
        <w:rPr>
          <w:rFonts w:ascii="Times New Roman" w:cs="Times New Roman" w:eastAsia="Times New Roman" w:hAnsi="Times New Roman"/>
          <w:sz w:val="22"/>
          <w:szCs w:val="22"/>
          <w:color w:val="010000"/>
        </w:rPr>
      </w:pPr>
    </w:p>
    <w:p>
      <w:pPr>
        <w:ind w:left="-20" w:right="80" w:firstLine="1505"/>
        <w:spacing w:after="0" w:line="247" w:lineRule="auto"/>
        <w:tabs>
          <w:tab w:leader="none" w:pos="1909" w:val="left"/>
        </w:tabs>
        <w:numPr>
          <w:ilvl w:val="0"/>
          <w:numId w:val="1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Liens; Title to Product Collateral and Revenue Participation Right</w:t>
      </w:r>
      <w:r>
        <w:rPr>
          <w:rFonts w:ascii="Times New Roman" w:cs="Times New Roman" w:eastAsia="Times New Roman" w:hAnsi="Times New Roman"/>
          <w:sz w:val="21"/>
          <w:szCs w:val="21"/>
          <w:color w:val="auto"/>
        </w:rPr>
        <w:t>. The Seller is the sole and exclusive owner of all of the Product Collateral. None of the Product Collateral is subject to any Lien other than Permitted Liens. The Seller has the full right to sell, transfer, convey and assign to Buyer all of the Seller’s rights and interests in and to the Revenue Participation Right being sold, transferred, conveyed and assigned to the Buyer pursuant to this Agreement without any requirement to obtain the consent of any Person. The claims and rights of the Buyer created by this Agreement in and to the Revenue Participation Right and any other Product Collateral are not subordinated in right of payment to any creditor of the Seller or any other Person. Upon the Closing, the Seller will convey to Buyer, subject to the terms and conditions set forth in this Agreement, good and marketable title to the Revenue Participation Right, free and clear of all Liens.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14" w:name="page215"/>
    <w:bookmarkEnd w:id="214"/>
    <w:p>
      <w:pPr>
        <w:ind w:left="-20" w:right="40" w:firstLine="1505"/>
        <w:spacing w:after="0" w:line="235" w:lineRule="auto"/>
        <w:tabs>
          <w:tab w:leader="none" w:pos="1909"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Manufacturing; Supply</w:t>
      </w:r>
      <w:r>
        <w:rPr>
          <w:rFonts w:ascii="Times New Roman" w:cs="Times New Roman" w:eastAsia="Times New Roman" w:hAnsi="Times New Roman"/>
          <w:sz w:val="22"/>
          <w:szCs w:val="22"/>
          <w:color w:val="auto"/>
        </w:rPr>
        <w:t xml:space="preserve">. All Products have, since [***], been manufactured, transported, stored and handled in all material respects in accordance with applicable law, including with good manufacturing practices to the extent required by applicable law. Since [***], neither the Seller nor any Affiliate of the Seller has experienced any failures in the manufacturing or supply of any Product that, individually or in the aggregate, have had or would reasonably be expected to result in a Material Adverse Effect. The Seller has on hand or has made adequate provisions to secure sufficient clinical quantities the Product to complete all clinical trials and all activities required for U.S. Marketing Approval, in each case, that are ongoing or planned as of the date hereof. The Seller has on hand or has made adequate provisions to secure sufficient quantities of </w:t>
      </w:r>
      <w:r>
        <w:rPr>
          <w:rFonts w:ascii="Times New Roman" w:cs="Times New Roman" w:eastAsia="Times New Roman" w:hAnsi="Times New Roman"/>
          <w:sz w:val="22"/>
          <w:szCs w:val="22"/>
          <w:u w:val="single" w:color="auto"/>
          <w:color w:val="auto"/>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xml:space="preserve"> to support the commercial launch of the Product in the Territory.</w:t>
      </w:r>
    </w:p>
    <w:p>
      <w:pPr>
        <w:spacing w:after="0" w:line="178" w:lineRule="exact"/>
        <w:rPr>
          <w:rFonts w:ascii="Times New Roman" w:cs="Times New Roman" w:eastAsia="Times New Roman" w:hAnsi="Times New Roman"/>
          <w:sz w:val="22"/>
          <w:szCs w:val="22"/>
          <w:color w:val="010000"/>
        </w:rPr>
      </w:pPr>
    </w:p>
    <w:p>
      <w:pPr>
        <w:ind w:left="1920" w:hanging="435"/>
        <w:spacing w:after="0"/>
        <w:tabs>
          <w:tab w:leader="none" w:pos="1920"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1480" w:right="20" w:firstLine="754"/>
        <w:spacing w:after="0" w:line="238" w:lineRule="auto"/>
        <w:tabs>
          <w:tab w:leader="none" w:pos="2661" w:val="left"/>
        </w:tabs>
        <w:numPr>
          <w:ilvl w:val="1"/>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Schedule 4.1(k)(i)</w:t>
      </w:r>
      <w:r>
        <w:rPr>
          <w:rFonts w:ascii="Times New Roman" w:cs="Times New Roman" w:eastAsia="Times New Roman" w:hAnsi="Times New Roman"/>
          <w:sz w:val="22"/>
          <w:szCs w:val="22"/>
          <w:color w:val="auto"/>
        </w:rPr>
        <w:t xml:space="preserve"> of the Disclosure Schedule lists all of the currently existing Patents included within the Patent Rights (the “</w:t>
      </w:r>
      <w:r>
        <w:rPr>
          <w:rFonts w:ascii="Times New Roman" w:cs="Times New Roman" w:eastAsia="Times New Roman" w:hAnsi="Times New Roman"/>
          <w:sz w:val="22"/>
          <w:szCs w:val="22"/>
          <w:u w:val="single" w:color="auto"/>
          <w:color w:val="auto"/>
        </w:rPr>
        <w:t>Existing Patent Rights</w:t>
      </w:r>
      <w:r>
        <w:rPr>
          <w:rFonts w:ascii="Times New Roman" w:cs="Times New Roman" w:eastAsia="Times New Roman" w:hAnsi="Times New Roman"/>
          <w:sz w:val="22"/>
          <w:szCs w:val="22"/>
          <w:color w:val="auto"/>
        </w:rPr>
        <w:t xml:space="preserve">”). The Seller is the sole and exclusive owner of all of the Existing Patent Rights. </w:t>
      </w:r>
      <w:r>
        <w:rPr>
          <w:rFonts w:ascii="Times New Roman" w:cs="Times New Roman" w:eastAsia="Times New Roman" w:hAnsi="Times New Roman"/>
          <w:sz w:val="22"/>
          <w:szCs w:val="22"/>
          <w:u w:val="single" w:color="auto"/>
          <w:color w:val="auto"/>
        </w:rPr>
        <w:t>Schedule 4.1(k)(i)</w:t>
      </w:r>
      <w:r>
        <w:rPr>
          <w:rFonts w:ascii="Times New Roman" w:cs="Times New Roman" w:eastAsia="Times New Roman" w:hAnsi="Times New Roman"/>
          <w:sz w:val="22"/>
          <w:szCs w:val="22"/>
          <w:color w:val="auto"/>
        </w:rPr>
        <w:t xml:space="preserve"> of the Disclosure Schedule specifies as to each listed patent or patent application the jurisdictions by or in which each such patent has issued as a patent or such patent application has been filed, including the respective patent or application numbers.</w:t>
      </w:r>
    </w:p>
    <w:p>
      <w:pPr>
        <w:spacing w:after="0" w:line="176" w:lineRule="exact"/>
        <w:rPr>
          <w:rFonts w:ascii="Times New Roman" w:cs="Times New Roman" w:eastAsia="Times New Roman" w:hAnsi="Times New Roman"/>
          <w:sz w:val="22"/>
          <w:szCs w:val="22"/>
          <w:color w:val="010000"/>
        </w:rPr>
      </w:pPr>
    </w:p>
    <w:p>
      <w:pPr>
        <w:ind w:left="1480" w:right="140" w:firstLine="754"/>
        <w:spacing w:after="0" w:line="244" w:lineRule="auto"/>
        <w:tabs>
          <w:tab w:leader="none" w:pos="2661" w:val="left"/>
        </w:tabs>
        <w:numPr>
          <w:ilvl w:val="1"/>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Seller nor any of its Subsidiaries is a party to any pending and, to the Knowledge of the Seller, there is no threatened, litigation, interference, reexamination, opposition or like procedure involving any of the Existing Patent Rights.</w:t>
      </w:r>
    </w:p>
    <w:p>
      <w:pPr>
        <w:spacing w:after="0" w:line="173" w:lineRule="exact"/>
        <w:rPr>
          <w:rFonts w:ascii="Times New Roman" w:cs="Times New Roman" w:eastAsia="Times New Roman" w:hAnsi="Times New Roman"/>
          <w:sz w:val="22"/>
          <w:szCs w:val="22"/>
          <w:color w:val="010000"/>
        </w:rPr>
      </w:pPr>
    </w:p>
    <w:p>
      <w:pPr>
        <w:ind w:left="1480" w:right="120" w:firstLine="754"/>
        <w:spacing w:after="0" w:line="235" w:lineRule="auto"/>
        <w:tabs>
          <w:tab w:leader="none" w:pos="2661" w:val="left"/>
        </w:tabs>
        <w:numPr>
          <w:ilvl w:val="1"/>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the issued Patents in the Territory within the Existing Patent Rights are (A) to the Knowledge of the Seller, valid and enforceable, and (B) in full force and effect. None of the issued Patents in the Territory within the Existing Patent Rights have lapsed, expired or otherwise terminated. Neither Seller nor any of its Subsidiaries has received any written notice relating to the lapse, expiration or other termination of any of the issued Patents in the Territory within the Existing Patent Rights, and neither Seller nor its Subsidiaries has received any written legal opinion that alleges that, an issued Patent within any of the Existing Patent Rights is invalid or unenforceable.</w:t>
      </w:r>
    </w:p>
    <w:p>
      <w:pPr>
        <w:spacing w:after="0" w:line="183" w:lineRule="exact"/>
        <w:rPr>
          <w:rFonts w:ascii="Times New Roman" w:cs="Times New Roman" w:eastAsia="Times New Roman" w:hAnsi="Times New Roman"/>
          <w:sz w:val="22"/>
          <w:szCs w:val="22"/>
          <w:color w:val="010000"/>
        </w:rPr>
      </w:pPr>
    </w:p>
    <w:p>
      <w:pPr>
        <w:ind w:left="1480" w:right="80" w:firstLine="754"/>
        <w:spacing w:after="0" w:line="244" w:lineRule="auto"/>
        <w:tabs>
          <w:tab w:leader="none" w:pos="2661" w:val="left"/>
        </w:tabs>
        <w:numPr>
          <w:ilvl w:val="1"/>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Seller nor any of its Subsidiaries has received any written notice that there is any, and, to the Knowledge of the Seller, there is no, Person who is or claims to be an inventor under any of the Existing Patent Rights who is not a named inventor thereof.</w:t>
      </w:r>
    </w:p>
    <w:p>
      <w:pPr>
        <w:spacing w:after="0" w:line="173" w:lineRule="exact"/>
        <w:rPr>
          <w:rFonts w:ascii="Times New Roman" w:cs="Times New Roman" w:eastAsia="Times New Roman" w:hAnsi="Times New Roman"/>
          <w:sz w:val="22"/>
          <w:szCs w:val="22"/>
          <w:color w:val="010000"/>
        </w:rPr>
      </w:pPr>
    </w:p>
    <w:p>
      <w:pPr>
        <w:ind w:left="1480" w:firstLine="754"/>
        <w:spacing w:after="0" w:line="239" w:lineRule="auto"/>
        <w:tabs>
          <w:tab w:leader="none" w:pos="2661" w:val="left"/>
        </w:tabs>
        <w:numPr>
          <w:ilvl w:val="1"/>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Seller nor its Affiliates has received any written notice of any claim by any Person challenging the inventorship or ownership of, the rights of the Seller in and to, or the patentability, validity or enforceability of, any of the Existing Patent Rights, or asserting that the development, manufacture, importation, sale, offer for sale or use of the Product infringes, misappropriates 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15" w:name="page216"/>
    <w:bookmarkEnd w:id="215"/>
    <w:p>
      <w:pPr>
        <w:ind w:left="1480" w:right="980"/>
        <w:spacing w:after="0" w:line="258" w:lineRule="auto"/>
        <w:rPr>
          <w:sz w:val="20"/>
          <w:szCs w:val="20"/>
          <w:color w:val="auto"/>
        </w:rPr>
      </w:pPr>
      <w:r>
        <w:rPr>
          <w:rFonts w:ascii="Times New Roman" w:cs="Times New Roman" w:eastAsia="Times New Roman" w:hAnsi="Times New Roman"/>
          <w:sz w:val="22"/>
          <w:szCs w:val="22"/>
          <w:color w:val="auto"/>
        </w:rPr>
        <w:t>otherwise violates or will infringe, misappropriate or otherwise violate such Person’s Patents or other intellectual property rights.</w:t>
      </w:r>
    </w:p>
    <w:p>
      <w:pPr>
        <w:spacing w:after="0" w:line="158" w:lineRule="exact"/>
        <w:rPr>
          <w:sz w:val="20"/>
          <w:szCs w:val="20"/>
          <w:color w:val="auto"/>
        </w:rPr>
      </w:pPr>
    </w:p>
    <w:p>
      <w:pPr>
        <w:ind w:left="1480" w:right="120" w:firstLine="754"/>
        <w:spacing w:after="0" w:line="239" w:lineRule="auto"/>
        <w:tabs>
          <w:tab w:leader="none" w:pos="2661"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Knowledge of the Seller, the discovery, development manufacture, importation, sale, offer for sale or use of the Product, in each case in the form the Product exists as of the date hereof and as such activity is currently contemplated by the Seller, has not and will not, infringe, misappropriate or otherwise violate any Patents or other intellectual property rights owned by any Third Party.</w:t>
      </w:r>
    </w:p>
    <w:p>
      <w:pPr>
        <w:spacing w:after="0" w:line="180" w:lineRule="exact"/>
        <w:rPr>
          <w:rFonts w:ascii="Times New Roman" w:cs="Times New Roman" w:eastAsia="Times New Roman" w:hAnsi="Times New Roman"/>
          <w:sz w:val="22"/>
          <w:szCs w:val="22"/>
          <w:color w:val="010000"/>
        </w:rPr>
      </w:pPr>
    </w:p>
    <w:p>
      <w:pPr>
        <w:ind w:left="1480" w:firstLine="754"/>
        <w:spacing w:after="0" w:line="258" w:lineRule="auto"/>
        <w:tabs>
          <w:tab w:leader="none" w:pos="2661"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Knowledge of the Seller, no Person has infringed, misappropriated or otherwise violated, or is infringing, misappropriating or otherwise violating, any of the Patent Rights or Know-How Rights.</w:t>
      </w:r>
    </w:p>
    <w:p>
      <w:pPr>
        <w:spacing w:after="0" w:line="158" w:lineRule="exact"/>
        <w:rPr>
          <w:rFonts w:ascii="Times New Roman" w:cs="Times New Roman" w:eastAsia="Times New Roman" w:hAnsi="Times New Roman"/>
          <w:sz w:val="22"/>
          <w:szCs w:val="22"/>
          <w:color w:val="010000"/>
        </w:rPr>
      </w:pPr>
    </w:p>
    <w:p>
      <w:pPr>
        <w:ind w:left="1480" w:right="160" w:firstLine="754"/>
        <w:spacing w:after="0" w:line="258" w:lineRule="auto"/>
        <w:tabs>
          <w:tab w:leader="none" w:pos="3093"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has paid all maintenance fees, annuities and like payments required as of the date hereof with respect to each of the Existing Patent Rights in the Territory.</w:t>
      </w:r>
    </w:p>
    <w:p>
      <w:pPr>
        <w:spacing w:after="0" w:line="158" w:lineRule="exact"/>
        <w:rPr>
          <w:rFonts w:ascii="Times New Roman" w:cs="Times New Roman" w:eastAsia="Times New Roman" w:hAnsi="Times New Roman"/>
          <w:sz w:val="22"/>
          <w:szCs w:val="22"/>
          <w:color w:val="010000"/>
        </w:rPr>
      </w:pPr>
    </w:p>
    <w:p>
      <w:pPr>
        <w:ind w:left="-20" w:right="60" w:firstLine="1505"/>
        <w:spacing w:after="0" w:line="258" w:lineRule="auto"/>
        <w:tabs>
          <w:tab w:leader="none" w:pos="1909"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4.1(l)</w:t>
      </w:r>
      <w:r>
        <w:rPr>
          <w:rFonts w:ascii="Times New Roman" w:cs="Times New Roman" w:eastAsia="Times New Roman" w:hAnsi="Times New Roman"/>
          <w:sz w:val="22"/>
          <w:szCs w:val="22"/>
          <w:color w:val="auto"/>
        </w:rPr>
        <w:t xml:space="preserve"> sets forth a complete list of the outstanding Indebtedness of the Seller and its Subsidiaries in excess of [***] in the aggregate.</w:t>
      </w:r>
    </w:p>
    <w:p>
      <w:pPr>
        <w:spacing w:after="0" w:line="158" w:lineRule="exact"/>
        <w:rPr>
          <w:rFonts w:ascii="Times New Roman" w:cs="Times New Roman" w:eastAsia="Times New Roman" w:hAnsi="Times New Roman"/>
          <w:sz w:val="22"/>
          <w:szCs w:val="22"/>
          <w:color w:val="010000"/>
        </w:rPr>
      </w:pPr>
    </w:p>
    <w:p>
      <w:pPr>
        <w:ind w:left="-20" w:right="40" w:firstLine="1505"/>
        <w:spacing w:after="0" w:line="238" w:lineRule="auto"/>
        <w:tabs>
          <w:tab w:leader="none" w:pos="1909"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Seller has determined that, and by virtue of its entering into the transactions contemplated by the Transaction Documents to which the Seller is party and its authorization, execution and delivery of the Transaction Documents to which the Seller is party, the Seller’s incurrence of any liability hereunder or thereunder or contemplated hereby or thereby is in the best interests of the Seller and its stockholders. Upon consummation of the transactions contemplated by the Transaction Documents on the date hereof and the application of the proceeds therefrom, the Seller will be Solvent.</w:t>
      </w:r>
    </w:p>
    <w:p>
      <w:pPr>
        <w:spacing w:after="0" w:line="176" w:lineRule="exact"/>
        <w:rPr>
          <w:rFonts w:ascii="Times New Roman" w:cs="Times New Roman" w:eastAsia="Times New Roman" w:hAnsi="Times New Roman"/>
          <w:sz w:val="22"/>
          <w:szCs w:val="22"/>
          <w:color w:val="010000"/>
        </w:rPr>
      </w:pPr>
    </w:p>
    <w:p>
      <w:pPr>
        <w:ind w:left="-20" w:right="40" w:firstLine="1505"/>
        <w:spacing w:after="0" w:line="233" w:lineRule="auto"/>
        <w:tabs>
          <w:tab w:leader="none" w:pos="1909"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Neither the Seller nor, to the Knowledge of the Seller, any of its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Seller or any of its Affiliates in obtaining or retaining business for or with, or directing business to, any person. Neither the Seller nor, to the Knowledge of the Seller, any of its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 has caused each of its Subsidiaries to maintain, systems of internal controls (including, but not limited to, accounting systems, purchasing systems and billing systems) and written policies designed to ensure compliance with the FCPA or any other applicable anti-bribery or anti-corruption law, and designed to ensure that all books and records of the Seller accurately and fairly reflect, 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16" w:name="page217"/>
    <w:bookmarkEnd w:id="216"/>
    <w:p>
      <w:pPr>
        <w:ind w:right="40"/>
        <w:spacing w:after="0" w:line="244" w:lineRule="auto"/>
        <w:rPr>
          <w:sz w:val="20"/>
          <w:szCs w:val="20"/>
          <w:color w:val="auto"/>
        </w:rPr>
      </w:pPr>
      <w:r>
        <w:rPr>
          <w:rFonts w:ascii="Times New Roman" w:cs="Times New Roman" w:eastAsia="Times New Roman" w:hAnsi="Times New Roman"/>
          <w:sz w:val="22"/>
          <w:szCs w:val="22"/>
          <w:color w:val="auto"/>
        </w:rPr>
        <w:t>reasonable detail, all transactions and dispositions of funds and assets. To the Knowledge of the Seller, neither the Seller nor any of its officers, directors or employees are the subject of any allegation, voluntary disclosure, investigation, prosecution or other enforcement action related to the FCPA or any other anti-corruption law.</w:t>
      </w:r>
    </w:p>
    <w:p>
      <w:pPr>
        <w:spacing w:after="0" w:line="173" w:lineRule="exact"/>
        <w:rPr>
          <w:sz w:val="20"/>
          <w:szCs w:val="20"/>
          <w:color w:val="auto"/>
        </w:rPr>
      </w:pPr>
    </w:p>
    <w:p>
      <w:pPr>
        <w:ind w:right="300" w:firstLine="1505"/>
        <w:spacing w:after="0" w:line="244" w:lineRule="auto"/>
        <w:tabs>
          <w:tab w:leader="none" w:pos="1929"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Lien Related Representation and Warranties</w:t>
      </w:r>
      <w:r>
        <w:rPr>
          <w:rFonts w:ascii="Times New Roman" w:cs="Times New Roman" w:eastAsia="Times New Roman" w:hAnsi="Times New Roman"/>
          <w:sz w:val="22"/>
          <w:szCs w:val="22"/>
          <w:color w:val="auto"/>
        </w:rPr>
        <w:t>. The Seller’s exact legal name is, and for the immediately preceding 10 years has been, “Candel Therapeutics, Inc.” The Seller is, and for the prior 10 years has been, incorporated in the State of Delaware.</w:t>
      </w:r>
    </w:p>
    <w:p>
      <w:pPr>
        <w:spacing w:after="0" w:line="173" w:lineRule="exact"/>
        <w:rPr>
          <w:rFonts w:ascii="Times New Roman" w:cs="Times New Roman" w:eastAsia="Times New Roman" w:hAnsi="Times New Roman"/>
          <w:sz w:val="22"/>
          <w:szCs w:val="22"/>
          <w:color w:val="010000"/>
        </w:rPr>
      </w:pPr>
    </w:p>
    <w:p>
      <w:pPr>
        <w:jc w:val="both"/>
        <w:ind w:right="320" w:firstLine="1505"/>
        <w:spacing w:after="0" w:line="261" w:lineRule="auto"/>
        <w:tabs>
          <w:tab w:leader="none" w:pos="1929" w:val="left"/>
        </w:tabs>
        <w:numPr>
          <w:ilvl w:val="0"/>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Brokers’ Fees</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4.1(p) of</w:t>
      </w:r>
      <w:r>
        <w:rPr>
          <w:rFonts w:ascii="Times New Roman" w:cs="Times New Roman" w:eastAsia="Times New Roman" w:hAnsi="Times New Roman"/>
          <w:sz w:val="21"/>
          <w:szCs w:val="21"/>
          <w:color w:val="auto"/>
        </w:rPr>
        <w:t xml:space="preserve"> the Disclosure Schedule, there is no investment banker, broker, finder, financial advisor or other intermediary who has been retained by or is authorized to act on behalf of the Seller who might be entitled to any fee or commission in connection with the transactions contemplated by this Agreement.</w:t>
      </w:r>
    </w:p>
    <w:p>
      <w:pPr>
        <w:spacing w:after="0" w:line="157" w:lineRule="exact"/>
        <w:rPr>
          <w:rFonts w:ascii="Times New Roman" w:cs="Times New Roman" w:eastAsia="Times New Roman" w:hAnsi="Times New Roman"/>
          <w:sz w:val="21"/>
          <w:szCs w:val="21"/>
          <w:color w:val="010000"/>
        </w:rPr>
      </w:pPr>
    </w:p>
    <w:p>
      <w:pPr>
        <w:ind w:left="1940" w:hanging="435"/>
        <w:spacing w:after="0"/>
        <w:tabs>
          <w:tab w:leader="none" w:pos="1940"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4.2</w:t>
      </w:r>
      <w:r>
        <w:rPr>
          <w:sz w:val="20"/>
          <w:szCs w:val="20"/>
          <w:color w:val="auto"/>
        </w:rPr>
        <w:tab/>
      </w:r>
      <w:r>
        <w:rPr>
          <w:rFonts w:ascii="Times New Roman" w:cs="Times New Roman" w:eastAsia="Times New Roman" w:hAnsi="Times New Roman"/>
          <w:sz w:val="21"/>
          <w:szCs w:val="21"/>
          <w:u w:val="single" w:color="auto"/>
          <w:color w:val="auto"/>
        </w:rPr>
        <w:t>Buyer’s Representations and Warranties</w:t>
      </w:r>
      <w:r>
        <w:rPr>
          <w:rFonts w:ascii="Times New Roman" w:cs="Times New Roman" w:eastAsia="Times New Roman" w:hAnsi="Times New Roman"/>
          <w:sz w:val="21"/>
          <w:szCs w:val="21"/>
          <w:color w:val="auto"/>
        </w:rPr>
        <w:t>. The Buyer hereby represents and warrants to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-13970</wp:posOffset>
            </wp:positionV>
            <wp:extent cx="8229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that:</w:t>
      </w:r>
    </w:p>
    <w:p>
      <w:pPr>
        <w:spacing w:after="0" w:line="182" w:lineRule="exact"/>
        <w:rPr>
          <w:sz w:val="20"/>
          <w:szCs w:val="20"/>
          <w:color w:val="auto"/>
        </w:rPr>
      </w:pPr>
    </w:p>
    <w:p>
      <w:pPr>
        <w:ind w:right="60" w:firstLine="1505"/>
        <w:spacing w:after="0" w:line="244" w:lineRule="auto"/>
        <w:tabs>
          <w:tab w:leader="none" w:pos="1929" w:val="left"/>
        </w:tabs>
        <w:numPr>
          <w:ilvl w:val="1"/>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Existence; Good Standing</w:t>
      </w:r>
      <w:r>
        <w:rPr>
          <w:rFonts w:ascii="Times New Roman" w:cs="Times New Roman" w:eastAsia="Times New Roman" w:hAnsi="Times New Roman"/>
          <w:sz w:val="22"/>
          <w:szCs w:val="22"/>
          <w:color w:val="auto"/>
        </w:rPr>
        <w:t>. The Buyer is an Umbrella Irish collective asset-management vehicle with segregated liability between sub-funds that is duly formed, duly organized, and validly existing under the laws of the Republic of Ireland.</w:t>
      </w:r>
    </w:p>
    <w:p>
      <w:pPr>
        <w:spacing w:after="0" w:line="173" w:lineRule="exact"/>
        <w:rPr>
          <w:rFonts w:ascii="Times New Roman" w:cs="Times New Roman" w:eastAsia="Times New Roman" w:hAnsi="Times New Roman"/>
          <w:sz w:val="22"/>
          <w:szCs w:val="22"/>
          <w:color w:val="010000"/>
        </w:rPr>
      </w:pPr>
    </w:p>
    <w:p>
      <w:pPr>
        <w:ind w:right="460" w:firstLine="1505"/>
        <w:spacing w:after="0" w:line="244" w:lineRule="auto"/>
        <w:tabs>
          <w:tab w:leader="none" w:pos="1929" w:val="left"/>
        </w:tabs>
        <w:numPr>
          <w:ilvl w:val="1"/>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Buyer has the requisite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spacing w:after="0" w:line="173" w:lineRule="exact"/>
        <w:rPr>
          <w:rFonts w:ascii="Times New Roman" w:cs="Times New Roman" w:eastAsia="Times New Roman" w:hAnsi="Times New Roman"/>
          <w:sz w:val="22"/>
          <w:szCs w:val="22"/>
          <w:color w:val="010000"/>
        </w:rPr>
      </w:pPr>
    </w:p>
    <w:p>
      <w:pPr>
        <w:ind w:right="20" w:firstLine="1505"/>
        <w:spacing w:after="0" w:line="239" w:lineRule="auto"/>
        <w:tabs>
          <w:tab w:leader="none" w:pos="1929" w:val="left"/>
        </w:tabs>
        <w:numPr>
          <w:ilvl w:val="1"/>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This Agreement has been duly executed and delivered by an authorized person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spacing w:after="0" w:line="180"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1"/>
          <w:numId w:val="1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Conflicts</w:t>
      </w:r>
      <w:r>
        <w:rPr>
          <w:rFonts w:ascii="Times New Roman" w:cs="Times New Roman" w:eastAsia="Times New Roman" w:hAnsi="Times New Roman"/>
          <w:sz w:val="21"/>
          <w:szCs w:val="21"/>
          <w:color w:val="auto"/>
        </w:rPr>
        <w:t>. The execution, delivery and performance by the Buyer of this Agreement do not and will not</w:t>
      </w:r>
    </w:p>
    <w:p>
      <w:pPr>
        <w:spacing w:after="0" w:line="25" w:lineRule="exact"/>
        <w:rPr>
          <w:rFonts w:ascii="Times New Roman" w:cs="Times New Roman" w:eastAsia="Times New Roman" w:hAnsi="Times New Roman"/>
          <w:sz w:val="21"/>
          <w:szCs w:val="21"/>
          <w:color w:val="010000"/>
        </w:rPr>
      </w:pPr>
    </w:p>
    <w:p>
      <w:pPr>
        <w:ind w:firstLine="8"/>
        <w:spacing w:after="0" w:line="235" w:lineRule="auto"/>
        <w:tabs>
          <w:tab w:leader="none" w:pos="25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or conflict with the organizational documents of the Buyer, (ii) contravene or conflict with or constitute a default under any material provision of any law binding upon or applicable to the Buyer or (iii) contravene or conflict with or constitute a default under any material Contract or Judgment binding upon or applicable to the Buyer.</w:t>
      </w:r>
    </w:p>
    <w:p>
      <w:pPr>
        <w:spacing w:after="0" w:line="177" w:lineRule="exact"/>
        <w:rPr>
          <w:rFonts w:ascii="Times New Roman" w:cs="Times New Roman" w:eastAsia="Times New Roman" w:hAnsi="Times New Roman"/>
          <w:sz w:val="22"/>
          <w:szCs w:val="22"/>
          <w:color w:val="auto"/>
        </w:rPr>
      </w:pPr>
    </w:p>
    <w:p>
      <w:pPr>
        <w:ind w:right="20" w:firstLine="1505"/>
        <w:spacing w:after="0" w:line="249" w:lineRule="auto"/>
        <w:tabs>
          <w:tab w:leader="none" w:pos="1929" w:val="left"/>
        </w:tabs>
        <w:numPr>
          <w:ilvl w:val="1"/>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Except for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w:t>
      </w:r>
    </w:p>
    <w:p>
      <w:pPr>
        <w:spacing w:after="0" w:line="1" w:lineRule="exact"/>
        <w:rPr>
          <w:rFonts w:ascii="Times New Roman" w:cs="Times New Roman" w:eastAsia="Times New Roman" w:hAnsi="Times New Roman"/>
          <w:sz w:val="21"/>
          <w:szCs w:val="21"/>
          <w:color w:val="010000"/>
        </w:rPr>
      </w:pPr>
    </w:p>
    <w:p>
      <w:pPr>
        <w:ind w:right="320" w:firstLine="8"/>
        <w:spacing w:after="0" w:line="237" w:lineRule="auto"/>
        <w:tabs>
          <w:tab w:leader="none" w:pos="31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by the Buyer of its obligations under this Agreement or (iii) the consummation by the Buyer of any of the transactions contemplated by this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7" w:name="page218"/>
    <w:bookmarkEnd w:id="217"/>
    <w:p>
      <w:pPr>
        <w:ind w:right="20" w:firstLine="1505"/>
        <w:spacing w:after="0" w:line="261" w:lineRule="auto"/>
        <w:tabs>
          <w:tab w:leader="none" w:pos="1929" w:val="left"/>
        </w:tabs>
        <w:numPr>
          <w:ilvl w:val="0"/>
          <w:numId w:val="1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Litigation</w:t>
      </w:r>
      <w:r>
        <w:rPr>
          <w:rFonts w:ascii="Times New Roman" w:cs="Times New Roman" w:eastAsia="Times New Roman" w:hAnsi="Times New Roman"/>
          <w:sz w:val="21"/>
          <w:szCs w:val="21"/>
          <w:color w:val="auto"/>
        </w:rPr>
        <w:t>. There is no action, suit, investigation or proceeding pending or, to the knowledge of the Buyer, threatened before any Governmental Entity to which the Buyer is a party that would, if determined adversely, reasonably be expected to prevent or materially and adversely affect the ability of the Buyer to perform its obligations under this Agreement.</w:t>
      </w:r>
    </w:p>
    <w:p>
      <w:pPr>
        <w:spacing w:after="0" w:line="157" w:lineRule="exact"/>
        <w:rPr>
          <w:rFonts w:ascii="Times New Roman" w:cs="Times New Roman" w:eastAsia="Times New Roman" w:hAnsi="Times New Roman"/>
          <w:sz w:val="21"/>
          <w:szCs w:val="21"/>
          <w:color w:val="010000"/>
        </w:rPr>
      </w:pPr>
    </w:p>
    <w:p>
      <w:pPr>
        <w:ind w:right="720" w:firstLine="1505"/>
        <w:spacing w:after="0" w:line="258" w:lineRule="auto"/>
        <w:tabs>
          <w:tab w:leader="none" w:pos="1929"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The Buyer will have sufficient cash to pay the Purchase Price at the Closing. The Buyer acknowledges that its obligations under this Agreement are not contingent on obtaining financing.</w:t>
      </w:r>
    </w:p>
    <w:p>
      <w:pPr>
        <w:spacing w:after="0" w:line="158" w:lineRule="exact"/>
        <w:rPr>
          <w:rFonts w:ascii="Times New Roman" w:cs="Times New Roman" w:eastAsia="Times New Roman" w:hAnsi="Times New Roman"/>
          <w:sz w:val="22"/>
          <w:szCs w:val="22"/>
          <w:color w:val="010000"/>
        </w:rPr>
      </w:pPr>
    </w:p>
    <w:p>
      <w:pPr>
        <w:jc w:val="both"/>
        <w:ind w:right="120" w:firstLine="1505"/>
        <w:spacing w:after="0" w:line="244" w:lineRule="auto"/>
        <w:tabs>
          <w:tab w:leader="none" w:pos="1929"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spacing w:after="0" w:line="173"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1"/>
          <w:szCs w:val="21"/>
          <w:color w:val="010000"/>
        </w:rPr>
        <w:t xml:space="preserve">Section 4.3 </w:t>
      </w:r>
      <w:r>
        <w:rPr>
          <w:rFonts w:ascii="Times New Roman" w:cs="Times New Roman" w:eastAsia="Times New Roman" w:hAnsi="Times New Roman"/>
          <w:sz w:val="21"/>
          <w:szCs w:val="21"/>
          <w:u w:val="single" w:color="auto"/>
          <w:color w:val="000000"/>
        </w:rPr>
        <w:t>No Implied Representations and Warranties</w:t>
      </w:r>
      <w:r>
        <w:rPr>
          <w:rFonts w:ascii="Times New Roman" w:cs="Times New Roman" w:eastAsia="Times New Roman" w:hAnsi="Times New Roman"/>
          <w:sz w:val="21"/>
          <w:szCs w:val="21"/>
          <w:color w:val="000000"/>
        </w:rPr>
        <w:t>. The Buyer acknowledges and agrees that, other than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express representations and warranties of the Seller specifically contained in this Agreement, (a) there are no representations or warranties of the Seller either expressed or implied with respect to the Patent Rights or Royalty Payment and that the Buyer shall have no remedies in respect of, any representation or warranty not specifically set forth in this Agreement, and all other representations and warranties are hereby expressly disclaimed, and (b) nothing contained herein guarantees that sales of any Product or the aggregate Royalty Payments due to the Buyer will achieve any specific amounts (it being understood and agreed that nothing in this Section 4.3 shall limit in any way the Seller’s obligations under ARTICLE 8). Notwithstanding the foregoing, claims for fraud, gross negligence, or willful misconduct shall not be waived or limited in any way by this Section 4.3.</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010000"/>
        </w:rPr>
        <w:t>ARTICLE 5</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CONDITIONS TO CLOSING</w:t>
      </w: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5.1</w:t>
      </w:r>
      <w:r>
        <w:rPr>
          <w:sz w:val="20"/>
          <w:szCs w:val="20"/>
          <w:color w:val="auto"/>
        </w:rPr>
        <w:tab/>
      </w:r>
      <w:r>
        <w:rPr>
          <w:rFonts w:ascii="Times New Roman" w:cs="Times New Roman" w:eastAsia="Times New Roman" w:hAnsi="Times New Roman"/>
          <w:sz w:val="21"/>
          <w:szCs w:val="21"/>
          <w:u w:val="single" w:color="auto"/>
          <w:color w:val="auto"/>
        </w:rPr>
        <w:t>Effective Date Actions</w:t>
      </w:r>
      <w:r>
        <w:rPr>
          <w:rFonts w:ascii="Times New Roman" w:cs="Times New Roman" w:eastAsia="Times New Roman" w:hAnsi="Times New Roman"/>
          <w:sz w:val="21"/>
          <w:szCs w:val="21"/>
          <w:color w:val="auto"/>
        </w:rPr>
        <w:t>. Prior to or contemporaneously with the execution of this Agreement:</w:t>
      </w:r>
    </w:p>
    <w:p>
      <w:pPr>
        <w:spacing w:after="0" w:line="182" w:lineRule="exact"/>
        <w:rPr>
          <w:sz w:val="20"/>
          <w:szCs w:val="20"/>
          <w:color w:val="auto"/>
        </w:rPr>
      </w:pPr>
    </w:p>
    <w:p>
      <w:pPr>
        <w:jc w:val="both"/>
        <w:ind w:right="20" w:firstLine="1505"/>
        <w:spacing w:after="0" w:line="238" w:lineRule="auto"/>
        <w:tabs>
          <w:tab w:leader="none" w:pos="1929"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shall have received a certificate of an authorized officer of the Seller, dated as of the date of this Agreement, certifying as to (i) the incumbency of each officer of the Seller executing this Agreement and (ii) the attached thereto copies of the Seller’s (A) certificate of incorporation, (B) bylaws, and (C) resolutions adopted by the Seller’s Board of Directors and/or duly appointed committee authorizing the execution and delivery by the Seller of this Agreement and the consummation by the Seller of the transactions contemplated hereby.</w:t>
      </w:r>
    </w:p>
    <w:p>
      <w:pPr>
        <w:spacing w:after="0" w:line="176" w:lineRule="exact"/>
        <w:rPr>
          <w:rFonts w:ascii="Times New Roman" w:cs="Times New Roman" w:eastAsia="Times New Roman" w:hAnsi="Times New Roman"/>
          <w:sz w:val="22"/>
          <w:szCs w:val="22"/>
          <w:color w:val="010000"/>
        </w:rPr>
      </w:pPr>
    </w:p>
    <w:p>
      <w:pPr>
        <w:ind w:right="480" w:firstLine="1505"/>
        <w:spacing w:after="0" w:line="258" w:lineRule="auto"/>
        <w:tabs>
          <w:tab w:leader="none" w:pos="1929"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have received a certificate of an authorized person of the Buyer, dated the date of this Agreement, certifying as to the incumbency of the officers executing this Agreement on behalf of the Buyer.</w:t>
      </w:r>
    </w:p>
    <w:p>
      <w:pPr>
        <w:spacing w:after="0" w:line="158" w:lineRule="exact"/>
        <w:rPr>
          <w:rFonts w:ascii="Times New Roman" w:cs="Times New Roman" w:eastAsia="Times New Roman" w:hAnsi="Times New Roman"/>
          <w:sz w:val="22"/>
          <w:szCs w:val="22"/>
          <w:color w:val="010000"/>
        </w:rPr>
      </w:pPr>
    </w:p>
    <w:p>
      <w:pPr>
        <w:ind w:right="760" w:firstLine="1505"/>
        <w:spacing w:after="0" w:line="258" w:lineRule="auto"/>
        <w:tabs>
          <w:tab w:leader="none" w:pos="1929"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have paid the Transaction Expenses incurred and invoiced to the Seller within one Business Day of its receipt of invoice (or on or prior to the Effective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2"/>
          <w:szCs w:val="22"/>
          <w:color w:val="auto"/>
        </w:rPr>
        <w:t>Date to the extent invoiced on or prior to the Effective Date).</w:t>
      </w:r>
    </w:p>
    <w:p>
      <w:pPr>
        <w:spacing w:after="0" w:line="206" w:lineRule="exact"/>
        <w:rPr>
          <w:sz w:val="20"/>
          <w:szCs w:val="20"/>
          <w:color w:val="auto"/>
        </w:rPr>
      </w:pPr>
    </w:p>
    <w:p>
      <w:pPr>
        <w:ind w:right="80"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5.2 </w:t>
      </w:r>
      <w:r>
        <w:rPr>
          <w:rFonts w:ascii="Times New Roman" w:cs="Times New Roman" w:eastAsia="Times New Roman" w:hAnsi="Times New Roman"/>
          <w:sz w:val="22"/>
          <w:szCs w:val="22"/>
          <w:u w:val="single" w:color="auto"/>
          <w:color w:val="000000"/>
        </w:rPr>
        <w:t>Conditions to the Buyer’s Obligations</w:t>
      </w:r>
      <w:r>
        <w:rPr>
          <w:rFonts w:ascii="Times New Roman" w:cs="Times New Roman" w:eastAsia="Times New Roman" w:hAnsi="Times New Roman"/>
          <w:sz w:val="22"/>
          <w:szCs w:val="22"/>
          <w:color w:val="000000"/>
        </w:rPr>
        <w:t>. The obligations of the Buyer to consummate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transactions contemplated hereunder on the Closing Date are subject to the satisfaction or waiver, at or prior to the Closing Date, of each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-343535</wp:posOffset>
            </wp:positionV>
            <wp:extent cx="8229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3" w:lineRule="exact"/>
        <w:rPr>
          <w:sz w:val="20"/>
          <w:szCs w:val="20"/>
          <w:color w:val="auto"/>
        </w:rPr>
      </w:pPr>
    </w:p>
    <w:p>
      <w:pPr>
        <w:ind w:right="60" w:firstLine="1505"/>
        <w:spacing w:after="0" w:line="239" w:lineRule="auto"/>
        <w:tabs>
          <w:tab w:leader="none" w:pos="1929"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have received a Marketing Approval [***] (“</w:t>
      </w:r>
      <w:r>
        <w:rPr>
          <w:rFonts w:ascii="Times New Roman" w:cs="Times New Roman" w:eastAsia="Times New Roman" w:hAnsi="Times New Roman"/>
          <w:sz w:val="22"/>
          <w:szCs w:val="22"/>
          <w:u w:val="single" w:color="auto"/>
          <w:color w:val="auto"/>
        </w:rPr>
        <w:t>U.S. Marketing Approval</w:t>
      </w:r>
      <w:r>
        <w:rPr>
          <w:rFonts w:ascii="Times New Roman" w:cs="Times New Roman" w:eastAsia="Times New Roman" w:hAnsi="Times New Roman"/>
          <w:sz w:val="22"/>
          <w:szCs w:val="22"/>
          <w:color w:val="auto"/>
        </w:rPr>
        <w:t>”) on or prior to the Marketing Approval Deadline, and such Marketing Approval shall not have been withdrawn by the FDA. The Buyer shall have received a certificate executed by an authorized officer of the Seller on the Closing Date certifying on behalf of the Seller to the effect of the foregoing.</w:t>
      </w:r>
    </w:p>
    <w:p>
      <w:pPr>
        <w:spacing w:after="0" w:line="180" w:lineRule="exact"/>
        <w:rPr>
          <w:rFonts w:ascii="Times New Roman" w:cs="Times New Roman" w:eastAsia="Times New Roman" w:hAnsi="Times New Roman"/>
          <w:sz w:val="22"/>
          <w:szCs w:val="22"/>
          <w:color w:val="010000"/>
        </w:rPr>
      </w:pPr>
    </w:p>
    <w:p>
      <w:pPr>
        <w:ind w:right="40" w:firstLine="1505"/>
        <w:spacing w:after="0" w:line="236" w:lineRule="auto"/>
        <w:tabs>
          <w:tab w:leader="none" w:pos="1929"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 Business Days after the date the Seller receives the U.S. Marketing Approval, the Seller shall have either (x) repaid in full the Trinity Indebtedness, and all agreements and instruments evidencing or governing such Indebtedness and all lending or other commitments thereunder shall have been terminated and all Liens securing such Indebtedness shall have been released, and the Buyer shall have received such reasonable evidence as it shall reasonably have requested as to the satisfaction of such conditions or (y) entered into an Acceptable Intercreditor Agreement with respect to such Trinity Indebtedness (or any Refinancing Indebtedness thereof) (collectively, the “</w:t>
      </w:r>
      <w:r>
        <w:rPr>
          <w:rFonts w:ascii="Times New Roman" w:cs="Times New Roman" w:eastAsia="Times New Roman" w:hAnsi="Times New Roman"/>
          <w:sz w:val="22"/>
          <w:szCs w:val="22"/>
          <w:u w:val="single" w:color="auto"/>
          <w:color w:val="auto"/>
        </w:rPr>
        <w:t>Indebtedness Condition</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010000"/>
        </w:rPr>
      </w:pPr>
    </w:p>
    <w:p>
      <w:pPr>
        <w:ind w:firstLine="1505"/>
        <w:spacing w:after="0" w:line="239" w:lineRule="auto"/>
        <w:tabs>
          <w:tab w:leader="none" w:pos="1929"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have performed and complied in all material respects with all agreements, covenants, obligations and conditions required to be performed and complied with by it under this Agreement at or prior to the Closing Date, and the Buyer shall have received a certificate executed by a duly authorized officer of the Seller on the Closing Date certifying on behalf of the Seller to the effect of the foregoing.</w:t>
      </w:r>
    </w:p>
    <w:p>
      <w:pPr>
        <w:spacing w:after="0" w:line="180"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Seller shall have delivered to the Buyer an updated </w:t>
      </w:r>
      <w:r>
        <w:rPr>
          <w:rFonts w:ascii="Times New Roman" w:cs="Times New Roman" w:eastAsia="Times New Roman" w:hAnsi="Times New Roman"/>
          <w:sz w:val="22"/>
          <w:szCs w:val="22"/>
          <w:u w:val="single" w:color="auto"/>
          <w:color w:val="auto"/>
        </w:rPr>
        <w:t>Disclosure Schedule 4.1(k)(i)</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firstLine="1505"/>
        <w:spacing w:after="0" w:line="234" w:lineRule="auto"/>
        <w:tabs>
          <w:tab w:leader="none" w:pos="1929"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representations and warranties of the Seller contained in Section 4.1 shall have been true and correct in all material respects as of the date hereof and shall be true and correct in all material respects as of the Closing Date as though made at and as of the date hereof and as of the Closing Date, respectively, except to the extent any such representation or warranty expressly speaks as of a particular date, in which case it shall be true and correct in all material respects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Buyer shall have received a certificate executed by an authorized officer of the Seller on the Closing Date certifying on behalf of the Seller to the effect of the foregoing.</w:t>
      </w:r>
    </w:p>
    <w:p>
      <w:pPr>
        <w:spacing w:after="0" w:line="183" w:lineRule="exact"/>
        <w:rPr>
          <w:rFonts w:ascii="Times New Roman" w:cs="Times New Roman" w:eastAsia="Times New Roman" w:hAnsi="Times New Roman"/>
          <w:sz w:val="22"/>
          <w:szCs w:val="22"/>
          <w:color w:val="010000"/>
        </w:rPr>
      </w:pPr>
    </w:p>
    <w:p>
      <w:pPr>
        <w:ind w:right="440" w:firstLine="1505"/>
        <w:spacing w:after="0" w:line="244" w:lineRule="auto"/>
        <w:tabs>
          <w:tab w:leader="none" w:pos="1929"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event or events shall have occurred, or be reasonably likely to occur, that, individually or in the aggregate, have had or would reasonably be expected to result in a Material Adverse Effect. The Buyer shall have received a certificate executed by a duly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authorized officer of the Seller on the Closing Date certifying on behalf of the Seller to the effect of the foregoing.</w:t>
      </w:r>
    </w:p>
    <w:p>
      <w:pPr>
        <w:spacing w:after="0" w:line="206" w:lineRule="exact"/>
        <w:rPr>
          <w:sz w:val="20"/>
          <w:szCs w:val="20"/>
          <w:color w:val="auto"/>
        </w:rPr>
      </w:pPr>
    </w:p>
    <w:p>
      <w:pPr>
        <w:ind w:right="140" w:firstLine="1505"/>
        <w:spacing w:after="0" w:line="238" w:lineRule="auto"/>
        <w:tabs>
          <w:tab w:leader="none" w:pos="1929"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shall have received financing statements naming the Seller as a seller or debtor, as applicable and the Buyer as a buyer or secured party, as applicable, or other similar instruments, registrations, or documents, in each case suitable for filing under the UCC (or equivalent law) of all jurisdictions as may be necessary or, in the reasonable opinion of the Buyer, desirable to perfect the Back-Up Security Interest in the Product Collateral and the sale of the Revenue Participation Right.</w:t>
      </w:r>
    </w:p>
    <w:p>
      <w:pPr>
        <w:spacing w:after="0" w:line="176" w:lineRule="exact"/>
        <w:rPr>
          <w:rFonts w:ascii="Times New Roman" w:cs="Times New Roman" w:eastAsia="Times New Roman" w:hAnsi="Times New Roman"/>
          <w:sz w:val="22"/>
          <w:szCs w:val="22"/>
          <w:color w:val="010000"/>
        </w:rPr>
      </w:pPr>
    </w:p>
    <w:p>
      <w:pPr>
        <w:ind w:right="420" w:firstLine="1505"/>
        <w:spacing w:after="0" w:line="258" w:lineRule="auto"/>
        <w:tabs>
          <w:tab w:leader="none" w:pos="1929"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have been issued and be in effect any Judgment of any Governmental Entity enjoining, preventing or restricting the consummation of the transactions contemplated by this Agreement.</w:t>
      </w:r>
    </w:p>
    <w:p>
      <w:pPr>
        <w:spacing w:after="0" w:line="158" w:lineRule="exact"/>
        <w:rPr>
          <w:rFonts w:ascii="Times New Roman" w:cs="Times New Roman" w:eastAsia="Times New Roman" w:hAnsi="Times New Roman"/>
          <w:sz w:val="22"/>
          <w:szCs w:val="22"/>
          <w:color w:val="010000"/>
        </w:rPr>
      </w:pPr>
    </w:p>
    <w:p>
      <w:pPr>
        <w:ind w:right="20" w:firstLine="1505"/>
        <w:spacing w:after="0" w:line="244" w:lineRule="auto"/>
        <w:tabs>
          <w:tab w:leader="none" w:pos="1929"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have been instituted or be pending any action or proceeding by any Governmental Entity or any other Person challenging or seeking to make illegal, to obtain material damages, to delay materially or otherwise directly or indirectly to materially restrain or to prohibit the consummation of the transactions contemplated hereby.</w:t>
      </w:r>
    </w:p>
    <w:p>
      <w:pPr>
        <w:spacing w:after="0" w:line="173"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Event of Default shall have occurred and be continuing, and the Seller will be Solvent.</w:t>
      </w:r>
    </w:p>
    <w:p>
      <w:pPr>
        <w:spacing w:after="0" w:line="206" w:lineRule="exact"/>
        <w:rPr>
          <w:rFonts w:ascii="Times New Roman" w:cs="Times New Roman" w:eastAsia="Times New Roman" w:hAnsi="Times New Roman"/>
          <w:sz w:val="22"/>
          <w:szCs w:val="22"/>
          <w:color w:val="010000"/>
        </w:rPr>
      </w:pPr>
    </w:p>
    <w:p>
      <w:pPr>
        <w:ind w:right="660" w:firstLine="1505"/>
        <w:spacing w:after="0" w:line="258" w:lineRule="auto"/>
        <w:tabs>
          <w:tab w:leader="none" w:pos="1929"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shall have received a valid, properly executed IRS Form W-9 certifying that the Seller is exempt from U.S. federal “backup” withholding Tax.</w:t>
      </w:r>
    </w:p>
    <w:p>
      <w:pPr>
        <w:spacing w:after="0" w:line="158" w:lineRule="exact"/>
        <w:rPr>
          <w:rFonts w:ascii="Times New Roman" w:cs="Times New Roman" w:eastAsia="Times New Roman" w:hAnsi="Times New Roman"/>
          <w:sz w:val="22"/>
          <w:szCs w:val="22"/>
          <w:color w:val="010000"/>
        </w:rPr>
      </w:pPr>
    </w:p>
    <w:p>
      <w:pPr>
        <w:ind w:right="220" w:firstLine="1505"/>
        <w:spacing w:after="0" w:line="258" w:lineRule="auto"/>
        <w:tabs>
          <w:tab w:leader="none" w:pos="1929"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have delivered to the Buyer the legal opinion of Goodwin Procter LLP, as counsel to the Seller, in form and substance reasonably acceptable to the Buyer and including the opinions listed on Exhibit C.</w:t>
      </w:r>
    </w:p>
    <w:p>
      <w:pPr>
        <w:spacing w:after="0" w:line="158" w:lineRule="exact"/>
        <w:rPr>
          <w:rFonts w:ascii="Times New Roman" w:cs="Times New Roman" w:eastAsia="Times New Roman" w:hAnsi="Times New Roman"/>
          <w:sz w:val="22"/>
          <w:szCs w:val="22"/>
          <w:color w:val="010000"/>
        </w:rPr>
      </w:pPr>
    </w:p>
    <w:p>
      <w:pPr>
        <w:ind w:right="40" w:firstLine="1505"/>
        <w:spacing w:after="0" w:line="239" w:lineRule="auto"/>
        <w:tabs>
          <w:tab w:leader="none" w:pos="1929"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or prior to the Closing Date, the Seller shall have paid the aggregate amount of any and all Transaction Expenses actually incurred and invoiced prior to or on the Closing Date and not previously paid pursuant to Section 5.1(c); provided that the condition set forth in this Section 5.2(m)‎will be satisfied by the transfer by the Buyer of an amount equal to the Purchase Price minus the Transaction Expenses owed by the Seller under this Section 5.2(m)‎.</w:t>
      </w:r>
    </w:p>
    <w:p>
      <w:pPr>
        <w:spacing w:after="0" w:line="180" w:lineRule="exact"/>
        <w:rPr>
          <w:sz w:val="20"/>
          <w:szCs w:val="20"/>
          <w:color w:val="auto"/>
        </w:rPr>
      </w:pPr>
    </w:p>
    <w:p>
      <w:pPr>
        <w:ind w:right="80"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5.3 </w:t>
      </w:r>
      <w:r>
        <w:rPr>
          <w:rFonts w:ascii="Times New Roman" w:cs="Times New Roman" w:eastAsia="Times New Roman" w:hAnsi="Times New Roman"/>
          <w:sz w:val="22"/>
          <w:szCs w:val="22"/>
          <w:u w:val="single" w:color="auto"/>
          <w:color w:val="000000"/>
        </w:rPr>
        <w:t>Conditions to the Seller’s Obligations</w:t>
      </w:r>
      <w:r>
        <w:rPr>
          <w:rFonts w:ascii="Times New Roman" w:cs="Times New Roman" w:eastAsia="Times New Roman" w:hAnsi="Times New Roman"/>
          <w:sz w:val="22"/>
          <w:szCs w:val="22"/>
          <w:color w:val="000000"/>
        </w:rPr>
        <w:t>. The obligations of the Seller to consummate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transactions contemplated hereunder on the Closing Date are subject to the satisfaction or waiver, at or prior to the Closing Date, of each of the following conditions precedent:</w:t>
      </w:r>
    </w:p>
    <w:p>
      <w:pPr>
        <w:spacing w:after="0" w:line="173" w:lineRule="exact"/>
        <w:rPr>
          <w:sz w:val="20"/>
          <w:szCs w:val="20"/>
          <w:color w:val="auto"/>
        </w:rPr>
      </w:pPr>
    </w:p>
    <w:p>
      <w:pPr>
        <w:ind w:firstLine="1505"/>
        <w:spacing w:after="0" w:line="239" w:lineRule="auto"/>
        <w:tabs>
          <w:tab w:leader="none" w:pos="1929"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shall have performed and complied in all material respects with all agreements, covenants, obligations and conditions required to be performed and complied with by it under this Agreement at or prior to the Closing Date, and the Seller shall have received a certificate executed by a duly authorized person of the Buyer, on the Closing Date certifying on behalf of the Buyer to the effect of the foregoing.</w:t>
      </w:r>
    </w:p>
    <w:p>
      <w:pPr>
        <w:spacing w:after="0" w:line="180" w:lineRule="exact"/>
        <w:rPr>
          <w:rFonts w:ascii="Times New Roman" w:cs="Times New Roman" w:eastAsia="Times New Roman" w:hAnsi="Times New Roman"/>
          <w:sz w:val="22"/>
          <w:szCs w:val="22"/>
          <w:color w:val="010000"/>
        </w:rPr>
      </w:pPr>
    </w:p>
    <w:p>
      <w:pPr>
        <w:ind w:right="200" w:firstLine="1505"/>
        <w:spacing w:after="0" w:line="258" w:lineRule="auto"/>
        <w:tabs>
          <w:tab w:leader="none" w:pos="1929"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representations and warranties of the Buyer contained in Section 4.2 shall have been true and correct in all material respects as of the date hereof and shall be true and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20" w:name="page221"/>
    <w:bookmarkEnd w:id="220"/>
    <w:p>
      <w:pPr>
        <w:spacing w:after="0" w:line="248" w:lineRule="auto"/>
        <w:rPr>
          <w:sz w:val="20"/>
          <w:szCs w:val="20"/>
          <w:color w:val="auto"/>
        </w:rPr>
      </w:pPr>
      <w:r>
        <w:rPr>
          <w:rFonts w:ascii="Times New Roman" w:cs="Times New Roman" w:eastAsia="Times New Roman" w:hAnsi="Times New Roman"/>
          <w:sz w:val="21"/>
          <w:szCs w:val="21"/>
          <w:color w:val="auto"/>
        </w:rPr>
        <w:t xml:space="preserve">correct in all material respects as of the Closing Date as though made at and as of the date hereof and Closing Date, respectively, except to the extent any such representation or warranty expressly speaks as of a particular date, in which case it shall be true and correct in all material respects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Seller shall have received a certificate executed by a duly authorized person of the Buyer, on the Closing Date certifying on behalf of the Buyer to the effect of the foregoing.</w:t>
      </w:r>
    </w:p>
    <w:p>
      <w:pPr>
        <w:spacing w:after="0" w:line="170" w:lineRule="exact"/>
        <w:rPr>
          <w:sz w:val="20"/>
          <w:szCs w:val="20"/>
          <w:color w:val="auto"/>
        </w:rPr>
      </w:pPr>
    </w:p>
    <w:p>
      <w:pPr>
        <w:ind w:right="400" w:firstLine="1505"/>
        <w:spacing w:after="0" w:line="258" w:lineRule="auto"/>
        <w:tabs>
          <w:tab w:leader="none" w:pos="1929"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have been issued and be in effect any Judgment of any Governmental Entity enjoining, preventing or restricting the consummation of the transactions contemplated by this Agreement.</w:t>
      </w:r>
    </w:p>
    <w:p>
      <w:pPr>
        <w:spacing w:after="0" w:line="158" w:lineRule="exact"/>
        <w:rPr>
          <w:rFonts w:ascii="Times New Roman" w:cs="Times New Roman" w:eastAsia="Times New Roman" w:hAnsi="Times New Roman"/>
          <w:sz w:val="22"/>
          <w:szCs w:val="22"/>
          <w:color w:val="010000"/>
        </w:rPr>
      </w:pPr>
    </w:p>
    <w:p>
      <w:pPr>
        <w:ind w:firstLine="1505"/>
        <w:spacing w:after="0" w:line="244" w:lineRule="auto"/>
        <w:tabs>
          <w:tab w:leader="none" w:pos="1929"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have been instituted or be pending any action or proceeding by any Governmental Entity or any other Person challenging or seeking to make illegal, to obtain material damages, to delay materially or otherwise directly or indirectly to materially restrain or to prohibit the consummation of the transactions contemplated hereby.</w:t>
      </w:r>
    </w:p>
    <w:p>
      <w:pPr>
        <w:spacing w:after="0" w:line="173" w:lineRule="exact"/>
        <w:rPr>
          <w:rFonts w:ascii="Times New Roman" w:cs="Times New Roman" w:eastAsia="Times New Roman" w:hAnsi="Times New Roman"/>
          <w:sz w:val="22"/>
          <w:szCs w:val="22"/>
          <w:color w:val="010000"/>
        </w:rPr>
      </w:pPr>
    </w:p>
    <w:p>
      <w:pPr>
        <w:ind w:right="420" w:firstLine="1505"/>
        <w:spacing w:after="0" w:line="244" w:lineRule="auto"/>
        <w:tabs>
          <w:tab w:leader="none" w:pos="1929"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have received a valid, properly executed appropriate IRS Form W-8 (including any accompanying documentation and other applicable forms) certifying that the payments to Buyer with respect to the Revenue Participation Rights are within the scope of the exemption granted by the U.S.-Ireland Treaty.</w:t>
      </w:r>
    </w:p>
    <w:p>
      <w:pPr>
        <w:spacing w:after="0" w:line="173" w:lineRule="exact"/>
        <w:rPr>
          <w:sz w:val="20"/>
          <w:szCs w:val="20"/>
          <w:color w:val="auto"/>
        </w:rPr>
      </w:pPr>
    </w:p>
    <w:p>
      <w:pPr>
        <w:ind w:right="140"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5.4 </w:t>
      </w:r>
      <w:r>
        <w:rPr>
          <w:rFonts w:ascii="Times New Roman" w:cs="Times New Roman" w:eastAsia="Times New Roman" w:hAnsi="Times New Roman"/>
          <w:sz w:val="22"/>
          <w:szCs w:val="22"/>
          <w:u w:val="single" w:color="auto"/>
          <w:color w:val="000000"/>
        </w:rPr>
        <w:t>Frustration of Closing Conditions</w:t>
      </w:r>
      <w:r>
        <w:rPr>
          <w:rFonts w:ascii="Times New Roman" w:cs="Times New Roman" w:eastAsia="Times New Roman" w:hAnsi="Times New Roman"/>
          <w:sz w:val="22"/>
          <w:szCs w:val="22"/>
          <w:color w:val="000000"/>
        </w:rPr>
        <w:t>. No party may rely on the failure of any condition set forth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ARTICLE 5 to be satisfied, including for purposes of exercising any such party’s termination rights under ARTICLE 9, if such failure was directly or indirectly caused by such party’s breach of this Agreement.</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010000"/>
        </w:rPr>
        <w:t>ARTICLE 6</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COVENANTS</w:t>
      </w:r>
    </w:p>
    <w:p>
      <w:pPr>
        <w:ind w:firstLine="1497"/>
        <w:spacing w:after="0" w:line="232" w:lineRule="auto"/>
        <w:rPr>
          <w:sz w:val="20"/>
          <w:szCs w:val="20"/>
          <w:color w:val="auto"/>
        </w:rPr>
      </w:pPr>
      <w:r>
        <w:rPr>
          <w:rFonts w:ascii="Times New Roman" w:cs="Times New Roman" w:eastAsia="Times New Roman" w:hAnsi="Times New Roman"/>
          <w:sz w:val="22"/>
          <w:szCs w:val="22"/>
          <w:color w:val="010000"/>
        </w:rPr>
        <w:t xml:space="preserve">Section 6.1 </w:t>
      </w:r>
      <w:r>
        <w:rPr>
          <w:rFonts w:ascii="Times New Roman" w:cs="Times New Roman" w:eastAsia="Times New Roman" w:hAnsi="Times New Roman"/>
          <w:sz w:val="22"/>
          <w:szCs w:val="22"/>
          <w:u w:val="single" w:color="auto"/>
          <w:color w:val="000000"/>
        </w:rPr>
        <w:t>Reporting</w:t>
      </w:r>
      <w:r>
        <w:rPr>
          <w:rFonts w:ascii="Times New Roman" w:cs="Times New Roman" w:eastAsia="Times New Roman" w:hAnsi="Times New Roman"/>
          <w:sz w:val="22"/>
          <w:szCs w:val="22"/>
          <w:color w:val="000000"/>
        </w:rPr>
        <w:t>. As long as the Seller is subject to the reporting requirements of the Exchange Act,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Seller shall provide, or otherwise make available, to the Buyer copies of the Seller SEC Documents, it being understood and acknowledged that the Seller’s provision of Seller SEC Documents through the SEC’s EDGAR database or any successor thereto shall be deemed to satisfy the Seller’s requirement to provide or make available the Seller SEC Documents; provided that if the Seller ceases to be subject to the reporting requirements of the Exchange Act, including as a result of a Change of Control, the following clauses (a)-(e) shall apply:</w:t>
      </w:r>
    </w:p>
    <w:p>
      <w:pPr>
        <w:spacing w:after="0" w:line="183" w:lineRule="exact"/>
        <w:rPr>
          <w:sz w:val="20"/>
          <w:szCs w:val="20"/>
          <w:color w:val="auto"/>
        </w:rPr>
      </w:pPr>
    </w:p>
    <w:p>
      <w:pPr>
        <w:ind w:firstLine="1505"/>
        <w:spacing w:after="0" w:line="261" w:lineRule="auto"/>
        <w:tabs>
          <w:tab w:leader="none" w:pos="1929"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the end of each Calendar Quarter, but in any event no later than [***] calendar days after the end of such Calendar Quarter, the Seller shall provide the Buyer a reasonably detailed quarterly report setting forth, with respect to such Calendar Quarter, (i) the Clinical Updates, (ii) the Commercial Updates, (iii) the Regulatory Updates, and (iv) the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21" w:name="page222"/>
    <w:bookmarkEnd w:id="221"/>
    <w:p>
      <w:pPr>
        <w:ind w:right="20"/>
        <w:spacing w:after="0" w:line="244" w:lineRule="auto"/>
        <w:rPr>
          <w:sz w:val="20"/>
          <w:szCs w:val="20"/>
          <w:color w:val="auto"/>
        </w:rPr>
      </w:pPr>
      <w:r>
        <w:rPr>
          <w:rFonts w:ascii="Times New Roman" w:cs="Times New Roman" w:eastAsia="Times New Roman" w:hAnsi="Times New Roman"/>
          <w:sz w:val="22"/>
          <w:szCs w:val="22"/>
          <w:color w:val="auto"/>
        </w:rPr>
        <w:t>Intellectual Property Updates, in each case of (i)–(iv), with respect to (A) the Territory, and (B) outside the Territory to the extent it would reasonably be expected to result in a material and adverse effect on the Products or any Product Rights in the Territory (the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40" w:firstLine="1505"/>
        <w:spacing w:after="0" w:line="258" w:lineRule="auto"/>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include in each Report as applicable any (i) material CMC updates and (ii) details as to the achievement of any development, regulatory, sales, or other milestone event set forth in each Out-License and In-License.</w:t>
      </w:r>
    </w:p>
    <w:p>
      <w:pPr>
        <w:spacing w:after="0" w:line="158" w:lineRule="exact"/>
        <w:rPr>
          <w:rFonts w:ascii="Times New Roman" w:cs="Times New Roman" w:eastAsia="Times New Roman" w:hAnsi="Times New Roman"/>
          <w:sz w:val="22"/>
          <w:szCs w:val="22"/>
          <w:color w:val="auto"/>
        </w:rPr>
      </w:pPr>
    </w:p>
    <w:p>
      <w:pPr>
        <w:ind w:firstLine="1505"/>
        <w:spacing w:after="0" w:line="236" w:lineRule="auto"/>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notify the Buyer (and in no event more than [***] Business Days of the Knowledge of the Seller of the following events) of (i) any material action, demand, suit, claim, cause of action, proceeding or investigation pending or, to the Knowledge of the Seller, threatened (in writing) by or against the Seller or any of its Subsidiaries, or (ii) any material proceeding or inquiry of any Governmental Entity pending or, to the Knowledge of the Seller, threatened (in writing) against the Seller or any of its Subsidiaries, in each case, related to any Product, the Product Collateral or any Transaction Document.</w:t>
      </w:r>
    </w:p>
    <w:p>
      <w:pPr>
        <w:spacing w:after="0" w:line="181"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Seller or any of its Affiliates enters into any Permitted License, commercialization, co-promotion, collaboration, distribution, marketing or partnering program with respect to any Product or any Product Rights, in each case that grants a license with respect to the Intellectual Property Rights to any Subsidiary of the Seller, (i) at least [***] Business Days prior to the consummation of any such transaction if such transaction is material to the Seller (including any Permitted License) or (ii) promptly (and in any event within [***] Business Days) following consummation of any such transaction if such transaction is not material to the Seller, the Seller shall give the Buyer written notice thereof. Substantially concurrently with the delivery of such notice, the Seller shall cause any such Subsidiary to execute and deliver to the Buyer a joinder agreement and other documents reasonably requested and reasonably satisfactory to the Buyer in order to cause such Subsidiary to become a party to the applicable Transaction Documents as if such Subsidiary was a party thereto as of the date hereof.</w:t>
      </w:r>
    </w:p>
    <w:p>
      <w:pPr>
        <w:spacing w:after="0" w:line="179" w:lineRule="exact"/>
        <w:rPr>
          <w:rFonts w:ascii="Times New Roman" w:cs="Times New Roman" w:eastAsia="Times New Roman" w:hAnsi="Times New Roman"/>
          <w:sz w:val="22"/>
          <w:szCs w:val="22"/>
          <w:color w:val="auto"/>
        </w:rPr>
      </w:pPr>
    </w:p>
    <w:p>
      <w:pPr>
        <w:ind w:right="80" w:firstLine="1505"/>
        <w:spacing w:after="0" w:line="235" w:lineRule="auto"/>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shall provide the Buyer with such additional information in its possession or control regarding the updates included in each Report as the Buyer may reasonably request from time to time. At the Buyer’s election, the Buyer shall be entitled to a quarterly update meeting, or as the Buyer may otherwise reasonably request, to discuss the Reports and the royalty reports delivered by the Seller pursuant to </w:t>
      </w:r>
      <w:r>
        <w:rPr>
          <w:rFonts w:ascii="Arial" w:cs="Arial" w:eastAsia="Arial" w:hAnsi="Arial"/>
          <w:sz w:val="22"/>
          <w:szCs w:val="22"/>
          <w:color w:val="auto"/>
        </w:rPr>
        <w:t>‎</w:t>
      </w:r>
      <w:r>
        <w:rPr>
          <w:rFonts w:ascii="Times New Roman" w:cs="Times New Roman" w:eastAsia="Times New Roman" w:hAnsi="Times New Roman"/>
          <w:sz w:val="22"/>
          <w:szCs w:val="22"/>
          <w:color w:val="auto"/>
        </w:rPr>
        <w:t>Section 6.2(b). The Seller shall prepare and maintain and shall cause its Affiliates and Licensees to prepare and maintain reasonably complete and accurate records of the information to be disclosed in each Report. All Reports, and the Confidential Information contained therein, shall be the Confidential Information of Seller and subject to the obligations of confidentiality set forth in ARTICLE 8.</w:t>
      </w:r>
    </w:p>
    <w:p>
      <w:pPr>
        <w:spacing w:after="0" w:line="182" w:lineRule="exact"/>
        <w:rPr>
          <w:rFonts w:ascii="Times New Roman" w:cs="Times New Roman" w:eastAsia="Times New Roman" w:hAnsi="Times New Roman"/>
          <w:sz w:val="22"/>
          <w:szCs w:val="22"/>
          <w:color w:val="auto"/>
        </w:rPr>
      </w:pPr>
    </w:p>
    <w:p>
      <w:pPr>
        <w:ind w:right="160" w:firstLine="1505"/>
        <w:spacing w:after="0" w:line="238" w:lineRule="auto"/>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agrees that, prior to disclosing to the Buyer any information the Seller would, in the Seller’s reasonable judgment, consider material non-public information, including information that may be required to be provided in accordance with this Agreement, the Seller shall consult with Buyer and, if so instructed by Buyer, shall not share such information with the Buyer unless and until the Buyer provides prior written approval (which may include e-mail) for the Seller to provide such information to the Buyer. The Seller shall not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22" w:name="page223"/>
    <w:bookmarkEnd w:id="222"/>
    <w:p>
      <w:pPr>
        <w:ind w:right="780"/>
        <w:spacing w:after="0" w:line="258" w:lineRule="auto"/>
        <w:rPr>
          <w:sz w:val="20"/>
          <w:szCs w:val="20"/>
          <w:color w:val="auto"/>
        </w:rPr>
      </w:pPr>
      <w:r>
        <w:rPr>
          <w:rFonts w:ascii="Times New Roman" w:cs="Times New Roman" w:eastAsia="Times New Roman" w:hAnsi="Times New Roman"/>
          <w:sz w:val="22"/>
          <w:szCs w:val="22"/>
          <w:color w:val="auto"/>
        </w:rPr>
        <w:t>be considered in breach of any provision of any Transaction Document as a result of Buyer’s election not to receive such information.</w:t>
      </w:r>
    </w:p>
    <w:p>
      <w:pPr>
        <w:spacing w:after="0" w:line="15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6.2</w:t>
      </w:r>
      <w:r>
        <w:rPr>
          <w:sz w:val="20"/>
          <w:szCs w:val="20"/>
          <w:color w:val="auto"/>
        </w:rPr>
        <w:tab/>
      </w:r>
      <w:r>
        <w:rPr>
          <w:rFonts w:ascii="Times New Roman" w:cs="Times New Roman" w:eastAsia="Times New Roman" w:hAnsi="Times New Roman"/>
          <w:sz w:val="21"/>
          <w:szCs w:val="21"/>
          <w:u w:val="single" w:color="auto"/>
          <w:color w:val="auto"/>
        </w:rPr>
        <w:t>Royalty Payments; Royalty Reports; Change of Control</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-13970</wp:posOffset>
            </wp:positionV>
            <wp:extent cx="8229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right="20" w:firstLine="1505"/>
        <w:spacing w:after="0" w:line="235" w:lineRule="auto"/>
        <w:tabs>
          <w:tab w:leader="none" w:pos="1929"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each Calendar Quarter beginning on the First Commercial Sale in the Territory until the Royalty Termination Date, the Seller shall pay to the Buyer, without any setoff or offset (subject, in each case, to Section 6.13), the Royalty Payment promptly but in any event no later than [***] Business Days after the earlier of the (i) date that Seller has filed the applicable Seller SEC Document in respect of each such Calendar Quarter and (ii) filing deadline of such applicable Seller SEC Document, taking into account any extensions thereof under SEC Form 12b-25 (provided, that if the Seller shall cease to be a public company subject to the requirements of the Exchange Act, the Seller must make payments pursuant to this Section 6.2(a) no later than [***] calendar days after the end of each Calendar Quarter).</w:t>
      </w:r>
    </w:p>
    <w:p>
      <w:pPr>
        <w:spacing w:after="0" w:line="183" w:lineRule="exact"/>
        <w:rPr>
          <w:rFonts w:ascii="Times New Roman" w:cs="Times New Roman" w:eastAsia="Times New Roman" w:hAnsi="Times New Roman"/>
          <w:sz w:val="22"/>
          <w:szCs w:val="22"/>
          <w:color w:val="010000"/>
        </w:rPr>
      </w:pPr>
    </w:p>
    <w:p>
      <w:pPr>
        <w:ind w:right="80" w:firstLine="1505"/>
        <w:spacing w:after="0" w:line="233" w:lineRule="auto"/>
        <w:tabs>
          <w:tab w:leader="none" w:pos="1929"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each Calendar Quarter beginning on the First Commercial Sale in the Territory until the Royalty Termination Date, the Seller shall provide to Buyer a report, (in substantially the form to be reasonably agreed between Buyer and Seller within [***] calendar days of the date hereof) promptly, but in any event no later than [***] Business Days after the earlier of the (i) date that Seller has filed the applicable Seller SEC Document in respect of each such Calendar Quarter and (ii) filing deadline of such applicable Seller SEC Document, taking into account any extensions thereof under SEC Form 12b-25 (provided, that if the Seller shall cease to be a public company subject to the reporting requirements of the Exchange Act, the Seller must provide the reports pursuant to this Section 6.2(b) no later than [***] calendar days after the end of each Calendar Quarter), setting forth in reasonable detail (A) the calculation of Net Sales and Gross Sales, for the applicable Calendar Quarter and Calendar Year to date (including a detailed break-down of all permitted deductions from Gross Sales used to determine Net Sales and any Net Sales described in Section 6.5(e)), and (B) the calculation of the Royalty Payment payable to the Buyer for the applicable Calendar Quarter, identifying the number of units of Product sold by the Seller, its Affiliates and each Licensee in the Territory.</w:t>
      </w:r>
    </w:p>
    <w:p>
      <w:pPr>
        <w:spacing w:after="0" w:line="184"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1500" w:firstLine="754"/>
        <w:spacing w:after="0" w:line="233" w:lineRule="auto"/>
        <w:tabs>
          <w:tab w:leader="none" w:pos="2681" w:val="left"/>
        </w:tabs>
        <w:numPr>
          <w:ilvl w:val="1"/>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Seller enters into a definitive Contract to consummate a Change of Control (such Contract, a “</w:t>
      </w:r>
      <w:r>
        <w:rPr>
          <w:rFonts w:ascii="Times New Roman" w:cs="Times New Roman" w:eastAsia="Times New Roman" w:hAnsi="Times New Roman"/>
          <w:sz w:val="22"/>
          <w:szCs w:val="22"/>
          <w:u w:val="single" w:color="auto"/>
          <w:color w:val="auto"/>
        </w:rPr>
        <w:t>CoC Agreement</w:t>
      </w:r>
      <w:r>
        <w:rPr>
          <w:rFonts w:ascii="Times New Roman" w:cs="Times New Roman" w:eastAsia="Times New Roman" w:hAnsi="Times New Roman"/>
          <w:sz w:val="22"/>
          <w:szCs w:val="22"/>
          <w:color w:val="auto"/>
        </w:rPr>
        <w:t>”), the Seller shall have the option to prepay (the “</w:t>
      </w:r>
      <w:r>
        <w:rPr>
          <w:rFonts w:ascii="Times New Roman" w:cs="Times New Roman" w:eastAsia="Times New Roman" w:hAnsi="Times New Roman"/>
          <w:sz w:val="22"/>
          <w:szCs w:val="22"/>
          <w:u w:val="single" w:color="auto"/>
          <w:color w:val="auto"/>
        </w:rPr>
        <w:t>Buy-Back Option</w:t>
      </w:r>
      <w:r>
        <w:rPr>
          <w:rFonts w:ascii="Times New Roman" w:cs="Times New Roman" w:eastAsia="Times New Roman" w:hAnsi="Times New Roman"/>
          <w:sz w:val="22"/>
          <w:szCs w:val="22"/>
          <w:color w:val="auto"/>
        </w:rPr>
        <w:t>”), or the Buyer may require the Seller to prepay or cause a prepayment (the “</w:t>
      </w:r>
      <w:r>
        <w:rPr>
          <w:rFonts w:ascii="Times New Roman" w:cs="Times New Roman" w:eastAsia="Times New Roman" w:hAnsi="Times New Roman"/>
          <w:sz w:val="22"/>
          <w:szCs w:val="22"/>
          <w:u w:val="single" w:color="auto"/>
          <w:color w:val="auto"/>
        </w:rPr>
        <w:t>Buy-Back Requirement</w:t>
      </w:r>
      <w:r>
        <w:rPr>
          <w:rFonts w:ascii="Times New Roman" w:cs="Times New Roman" w:eastAsia="Times New Roman" w:hAnsi="Times New Roman"/>
          <w:sz w:val="22"/>
          <w:szCs w:val="22"/>
          <w:color w:val="auto"/>
        </w:rPr>
        <w:t>”) of, a prespecified amount (the “</w:t>
      </w:r>
      <w:r>
        <w:rPr>
          <w:rFonts w:ascii="Times New Roman" w:cs="Times New Roman" w:eastAsia="Times New Roman" w:hAnsi="Times New Roman"/>
          <w:sz w:val="22"/>
          <w:szCs w:val="22"/>
          <w:u w:val="single" w:color="auto"/>
          <w:color w:val="auto"/>
        </w:rPr>
        <w:t>CoC Payment</w:t>
      </w:r>
      <w:r>
        <w:rPr>
          <w:rFonts w:ascii="Times New Roman" w:cs="Times New Roman" w:eastAsia="Times New Roman" w:hAnsi="Times New Roman"/>
          <w:sz w:val="22"/>
          <w:szCs w:val="22"/>
          <w:color w:val="auto"/>
        </w:rPr>
        <w:t>”) on the date of consummation of such Change of Control (the “</w:t>
      </w:r>
      <w:r>
        <w:rPr>
          <w:rFonts w:ascii="Times New Roman" w:cs="Times New Roman" w:eastAsia="Times New Roman" w:hAnsi="Times New Roman"/>
          <w:sz w:val="22"/>
          <w:szCs w:val="22"/>
          <w:u w:val="single" w:color="auto"/>
          <w:color w:val="auto"/>
        </w:rPr>
        <w:t>CoC Date</w:t>
      </w:r>
      <w:r>
        <w:rPr>
          <w:rFonts w:ascii="Times New Roman" w:cs="Times New Roman" w:eastAsia="Times New Roman" w:hAnsi="Times New Roman"/>
          <w:sz w:val="22"/>
          <w:szCs w:val="22"/>
          <w:color w:val="auto"/>
        </w:rPr>
        <w:t xml:space="preserve">”) to the Buyer, with such amount to be based on the CoC Date, as follows: (a) [***] if the CoC Date is on or prior to the Closing Date, (b) [***] if the CoC Date is after the Closing Date but on or prior to the first anniversary of the Closing Date, (c) [***] if the CoC Date is after the first anniversary of the Closing Date but on or prior to the second anniversary of the Closing Date, and (d) an amount equal to [***]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amount of all Royalty Payments received by the Buyer from the Seller as of the CoC Date if the CoC Date is after the second anniversary of the Closing Date. Notwithstanding the foregoing, the Seller shall not have the Buy-Back Option if the failure to</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3" w:name="page224"/>
    <w:bookmarkEnd w:id="223"/>
    <w:p>
      <w:pPr>
        <w:ind w:left="1500" w:right="400"/>
        <w:spacing w:after="0" w:line="258" w:lineRule="auto"/>
        <w:rPr>
          <w:sz w:val="20"/>
          <w:szCs w:val="20"/>
          <w:color w:val="auto"/>
        </w:rPr>
      </w:pPr>
      <w:r>
        <w:rPr>
          <w:rFonts w:ascii="Times New Roman" w:cs="Times New Roman" w:eastAsia="Times New Roman" w:hAnsi="Times New Roman"/>
          <w:sz w:val="22"/>
          <w:szCs w:val="22"/>
          <w:color w:val="auto"/>
        </w:rPr>
        <w:t>satisfy the conditions set forth in ARTICLE 5 was caused by the Seller’s failure to achieve the Indebtedness Condition or to use such efforts to cause the Closing to occur as required by Section 6.10.</w:t>
      </w:r>
    </w:p>
    <w:p>
      <w:pPr>
        <w:spacing w:after="0" w:line="158" w:lineRule="exact"/>
        <w:rPr>
          <w:sz w:val="20"/>
          <w:szCs w:val="20"/>
          <w:color w:val="auto"/>
        </w:rPr>
      </w:pPr>
    </w:p>
    <w:p>
      <w:pPr>
        <w:ind w:left="1500" w:right="80" w:firstLine="754"/>
        <w:spacing w:after="0" w:line="246" w:lineRule="auto"/>
        <w:tabs>
          <w:tab w:leader="none" w:pos="2681" w:val="left"/>
        </w:tabs>
        <w:numPr>
          <w:ilvl w:val="1"/>
          <w:numId w:val="1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Seller entering into a CoC Agreement, the Seller shall promptly but no later than [***] Business Days thereafter deliver notice of the Seller entering into such CoC Agreement to the Buyer, including whether the Seller is exercising the Buy-Back Option. If the Seller elects to exercise the Buy-Back Option, or if the Buyer exercises the Buy-Back Requirement by delivering notice to the Seller within [***] Business Days after receiving such notice from the Seller, the Seller shall pay the applicable CoC Payment to the Buyer upon the consummation of such Change of Control. The Seller’s obligation to pay such CoC Payment following the Seller’s exercise of the Buy-Back Option or the Buyer’s exercise of the Buy-Back Requirement shall be contingent upon the consummation of such Change of Control. If such Change of Control is not consummated, the exercise of such Buy-Back Option or such Buy-Back Requirement shall be void.</w:t>
      </w:r>
    </w:p>
    <w:p>
      <w:pPr>
        <w:spacing w:after="0" w:line="175" w:lineRule="exact"/>
        <w:rPr>
          <w:rFonts w:ascii="Times New Roman" w:cs="Times New Roman" w:eastAsia="Times New Roman" w:hAnsi="Times New Roman"/>
          <w:sz w:val="21"/>
          <w:szCs w:val="21"/>
          <w:color w:val="010000"/>
        </w:rPr>
      </w:pPr>
    </w:p>
    <w:p>
      <w:pPr>
        <w:ind w:left="1500" w:right="60" w:firstLine="754"/>
        <w:spacing w:after="0" w:line="249" w:lineRule="auto"/>
        <w:tabs>
          <w:tab w:leader="none" w:pos="2681" w:val="left"/>
        </w:tabs>
        <w:numPr>
          <w:ilvl w:val="1"/>
          <w:numId w:val="1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of the foregoing to the contrary, in the event the Buy-Back Option or Buy-Back Requirement is exercised and the Change of Control is consummated during any Calendar Quarter during which the Seller has invoiced, billed or otherwise recorded Net Sales and would otherwise be obligated to make a Royalty Payment to the Buyer, the Seller shall be obligated to make all Royalty Payments otherwise due in accordance with Section 6.2(a) for all such Net Sales up to the date the Seller remits the applicable CoC Payment to the Buyer, and such CoC Payment shall include the foregoing amount of such Royalty Payment.</w:t>
      </w:r>
    </w:p>
    <w:p>
      <w:pPr>
        <w:spacing w:after="0" w:line="170" w:lineRule="exact"/>
        <w:rPr>
          <w:rFonts w:ascii="Times New Roman" w:cs="Times New Roman" w:eastAsia="Times New Roman" w:hAnsi="Times New Roman"/>
          <w:sz w:val="21"/>
          <w:szCs w:val="21"/>
          <w:color w:val="010000"/>
        </w:rPr>
      </w:pPr>
    </w:p>
    <w:p>
      <w:pPr>
        <w:ind w:right="120" w:firstLine="1505"/>
        <w:spacing w:after="0" w:line="244" w:lineRule="auto"/>
        <w:tabs>
          <w:tab w:leader="none" w:pos="1929"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payments required to be made by either party under this Agreement shall be made in United States Dollars via electronic funds transfer or wire transfer of immediately available funds to such bank account as the other party shall designate in writing prior to the date of such payment.</w:t>
      </w:r>
    </w:p>
    <w:p>
      <w:pPr>
        <w:spacing w:after="0" w:line="173" w:lineRule="exact"/>
        <w:rPr>
          <w:rFonts w:ascii="Times New Roman" w:cs="Times New Roman" w:eastAsia="Times New Roman" w:hAnsi="Times New Roman"/>
          <w:sz w:val="22"/>
          <w:szCs w:val="22"/>
          <w:color w:val="010000"/>
        </w:rPr>
      </w:pPr>
    </w:p>
    <w:p>
      <w:pPr>
        <w:ind w:firstLine="1505"/>
        <w:spacing w:after="0" w:line="244" w:lineRule="auto"/>
        <w:tabs>
          <w:tab w:leader="none" w:pos="1929"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late fee of [***] over the Prime Rate (calculated on a per annum basis) will accrue on all unpaid amounts with respect to any payments due to the Buyer hereunder from the date such obligation was due. The imposition and payment of a late fee shall not constitute a waiver of the Buyer’s rights with respect to such payment default.</w:t>
      </w:r>
    </w:p>
    <w:p>
      <w:pPr>
        <w:spacing w:after="0" w:line="173" w:lineRule="exact"/>
        <w:rPr>
          <w:sz w:val="20"/>
          <w:szCs w:val="20"/>
          <w:color w:val="auto"/>
        </w:rPr>
      </w:pPr>
    </w:p>
    <w:p>
      <w:pPr>
        <w:ind w:right="100" w:firstLine="1497"/>
        <w:spacing w:after="0" w:line="235" w:lineRule="auto"/>
        <w:rPr>
          <w:sz w:val="20"/>
          <w:szCs w:val="20"/>
          <w:color w:val="auto"/>
        </w:rPr>
      </w:pPr>
      <w:r>
        <w:rPr>
          <w:rFonts w:ascii="Times New Roman" w:cs="Times New Roman" w:eastAsia="Times New Roman" w:hAnsi="Times New Roman"/>
          <w:sz w:val="22"/>
          <w:szCs w:val="22"/>
          <w:color w:val="010000"/>
        </w:rPr>
        <w:t xml:space="preserve">Section 6.3 </w:t>
      </w:r>
      <w:r>
        <w:rPr>
          <w:rFonts w:ascii="Times New Roman" w:cs="Times New Roman" w:eastAsia="Times New Roman" w:hAnsi="Times New Roman"/>
          <w:sz w:val="22"/>
          <w:szCs w:val="22"/>
          <w:u w:val="single" w:color="auto"/>
          <w:color w:val="000000"/>
        </w:rPr>
        <w:t>Disclosures</w:t>
      </w:r>
      <w:r>
        <w:rPr>
          <w:rFonts w:ascii="Times New Roman" w:cs="Times New Roman" w:eastAsia="Times New Roman" w:hAnsi="Times New Roman"/>
          <w:sz w:val="22"/>
          <w:szCs w:val="22"/>
          <w:color w:val="000000"/>
        </w:rPr>
        <w:t>. Except (a) for a press release previously approved in form and substance by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Seller and the Buyer or any other public announcement using substantially the same text as such press release and (b) any disclosure required by applicable law, by the rules and regulations of any securities exchange or market on which any security of such party hereto may be listed or traded or by any Governmental Entity of competent jurisdiction, neither the Buyer nor the Seller shall, and each party hereto shall cause its Affiliates not to, without the prior written consent of the other party hereto (which consent shall not be unreasonably withheld, delayed or conditioned), issue any press release or make any other public disclosure with respect to this Agreement or any of the other Transaction Documents or any of</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spacing w:after="0" w:line="235" w:lineRule="auto"/>
        <w:rPr>
          <w:sz w:val="20"/>
          <w:szCs w:val="20"/>
          <w:color w:val="auto"/>
        </w:rPr>
      </w:pPr>
      <w:r>
        <w:rPr>
          <w:rFonts w:ascii="Times New Roman" w:cs="Times New Roman" w:eastAsia="Times New Roman" w:hAnsi="Times New Roman"/>
          <w:sz w:val="22"/>
          <w:szCs w:val="22"/>
          <w:color w:val="auto"/>
        </w:rPr>
        <w:t>the transactions contemplated hereby or thereby. The Buyer acknowledges that it will be necessary for the Seller to file this Agreement with the SEC and to make other public disclosures regarding the terms of this Agreement and payments made under this Agreement in its reports filed with the SEC, and the Seller agrees that it will provide the Buyer a reasonable opportunity to review and comment on any proposed redactions to the copy of this Agreement to be filed with the SEC, as well as on such other public disclosures made by the Seller relating to the Buyer or this Agreement or the transactions contemplated hereby (e.g., press releases or Current Report on Form 8-K), provided that the Seller shall not be required to provide the Buyer the opportunity to review and comment on any disclosure substantively identical to any disclosure previously reviewed and commented upon by the Buyer.</w:t>
      </w:r>
    </w:p>
    <w:p>
      <w:pPr>
        <w:spacing w:after="0" w:line="178" w:lineRule="exact"/>
        <w:rPr>
          <w:sz w:val="20"/>
          <w:szCs w:val="20"/>
          <w:color w:val="auto"/>
        </w:rPr>
      </w:pPr>
    </w:p>
    <w:p>
      <w:pPr>
        <w:ind w:right="40" w:firstLine="1497"/>
        <w:spacing w:after="0" w:line="231" w:lineRule="auto"/>
        <w:rPr>
          <w:sz w:val="20"/>
          <w:szCs w:val="20"/>
          <w:color w:val="auto"/>
        </w:rPr>
      </w:pPr>
      <w:r>
        <w:rPr>
          <w:rFonts w:ascii="Times New Roman" w:cs="Times New Roman" w:eastAsia="Times New Roman" w:hAnsi="Times New Roman"/>
          <w:sz w:val="22"/>
          <w:szCs w:val="22"/>
          <w:color w:val="010000"/>
        </w:rPr>
        <w:t xml:space="preserve">Section 6.4 </w:t>
      </w:r>
      <w:r>
        <w:rPr>
          <w:rFonts w:ascii="Times New Roman" w:cs="Times New Roman" w:eastAsia="Times New Roman" w:hAnsi="Times New Roman"/>
          <w:sz w:val="22"/>
          <w:szCs w:val="22"/>
          <w:u w:val="single" w:color="auto"/>
          <w:color w:val="000000"/>
        </w:rPr>
        <w:t>Inspections and Audits of the Seller</w:t>
      </w:r>
      <w:r>
        <w:rPr>
          <w:rFonts w:ascii="Times New Roman" w:cs="Times New Roman" w:eastAsia="Times New Roman" w:hAnsi="Times New Roman"/>
          <w:sz w:val="22"/>
          <w:szCs w:val="22"/>
          <w:color w:val="000000"/>
        </w:rPr>
        <w:t>. Following the Closing, upon at least [***] Business Days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written notice and during normal business hours, no more frequently than once per Calendar Year, the Buyer may cause an inspection and/or audit by an independent public accounting firm reasonably acceptable to the Seller to be made of the Seller’s books of account for the three Calendar Years prior to the audit for the purpose of determining the correctness of the calculation of the Royalty Payments made under this Agreement. Upon the Buyer’s reasonable request, no more frequently than once per Calendar Year while any Out-License for Commercializing Product in the Territory remains in effect, the Seller shall use Commercially Reasonable Efforts to exercise any rights it may have under such Out-License to cause an inspection and/or audit by an independent public accounting firm to be made of the books of account of any counterparty thereto for the purpose of determining the correctness of the calculation of the Royalty Payments made under this Agreement. Seller shall notify Buyer in writing if it initiates an inspection and/or audit of the books of account of any counterparty to an Out-License to the extent such inspection and/or audit is related to the Royalty Payments, and shall provide to Buyer a redacted copy of any report relating thereto within [***] Business Days of receipt thereof; provided that any redactions to such report shall not include any information necessary to determine the correctness of the calculation of the Royalty Payments made under this Agreement. All of the out-of-pocket expenses of any inspection or audit requested by the Buyer hereunder (including the fees and expenses of such independent public accounting firm designated for such purpose) shall be borne solely by the Buyer, unless the independent public accounting firm determines that Royalty Payments previously paid to Buyer during the period of the audit were underpaid by an amount greater than 5% of the Royalty Payments actually paid during such period, in which case such expenses shall be borne by the Seller. Any such accounting firm or Seller shall not disclose the confidential information of the Seller or any such Licensee relating to any Product to the Buyer, except to the extent such disclosure is necessary to determine the correctness of Royalty Payments or otherwise would be included in a Report. All information obtained by the Buyer as a result of any such inspection or audit shall be Confidential Information subject to ARTICLE 8. If any audit discloses any underpayments by the Seller to the Buyer, then such underpayment shall be paid by the Seller to the Buyer within [***] calendar days of it being so disclosed (and such underpayment shall not be deemed an Event of Default during such [***] calendar days period). If any audit discloses any overpayments by the Seller to the Buyer, then the Seller shall have the right to credit the amount of the overpayment against each subsequent quarterly Royalty Payment due to the Buyer until the overpayment has been fully applied. If the overpayment is not fully applied prior to the final quarterly Royalty Payment due hereunder, the Buyer shall promptly refund an amount equal to any such remaining overpayment.</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25" w:name="page226"/>
    <w:bookmarkEnd w:id="225"/>
    <w:p>
      <w:pPr>
        <w:ind w:left="1480"/>
        <w:spacing w:after="0"/>
        <w:tabs>
          <w:tab w:leader="none" w:pos="2760" w:val="left"/>
        </w:tabs>
        <w:rPr>
          <w:sz w:val="20"/>
          <w:szCs w:val="20"/>
          <w:color w:val="auto"/>
        </w:rPr>
      </w:pPr>
      <w:r>
        <w:rPr>
          <w:rFonts w:ascii="Times New Roman" w:cs="Times New Roman" w:eastAsia="Times New Roman" w:hAnsi="Times New Roman"/>
          <w:sz w:val="22"/>
          <w:szCs w:val="22"/>
          <w:color w:val="010000"/>
        </w:rPr>
        <w:t>Section 6.5</w:t>
      </w:r>
      <w:r>
        <w:rPr>
          <w:sz w:val="20"/>
          <w:szCs w:val="20"/>
          <w:color w:val="auto"/>
        </w:rPr>
        <w:tab/>
      </w:r>
      <w:r>
        <w:rPr>
          <w:rFonts w:ascii="Times New Roman" w:cs="Times New Roman" w:eastAsia="Times New Roman" w:hAnsi="Times New Roman"/>
          <w:sz w:val="21"/>
          <w:szCs w:val="21"/>
          <w:u w:val="single" w:color="auto"/>
          <w:color w:val="auto"/>
        </w:rPr>
        <w:t>Intellectual Property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firstLine="1505"/>
        <w:spacing w:after="0" w:line="243" w:lineRule="auto"/>
        <w:tabs>
          <w:tab w:leader="none" w:pos="1909" w:val="left"/>
        </w:tabs>
        <w:numPr>
          <w:ilvl w:val="0"/>
          <w:numId w:val="1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shall, at its sole expense, either directly or by causing any Licensee in the Territory or, to the extent the failure to take such action would reasonably be expected to result in a material and adverse effect on any Products or Product Rights in the Territory, outside the Territory, to do so, use Commercially Reasonable Efforts to (i) take such actions (including using Commercially Reasonable Efforts to take legal action to specifically enforce the applicable terms of any In-License or Out-License) and (ii) prepare, execute, deliver and file any and all agreements, documents or instruments, in each case ((i) and (ii)) that are necessary to diligently prosecute and maintain, and to avoid disclaimer or abandonment of, the Patent Rights in the Territory. The Seller shall (either directly or indirectly through a Licensee) use Commercially Reasonable Efforts to ensure that all patent applications in the Patent Rights are diligently prosecuted with the intent to protect the Products and the Product Rights in the Territory. In the exercise of its reasonable business discretion, the Seller (either directly or indirectly through a Licensee) shall use Commercially Reasonable Efforts to diligently defend or assert the Patent Rights against material infringement or interference by any other Persons in the Territory or outside the Territory to the extent failure to do so would reasonably be expected to result in a material and adverse effect on any Products or Product Rights in the Territory, and against any material claims of invalidity or unenforceability asserted by a Third Party in a court or administrative proceeding (including any reexamination, inter partes review, opposition, or like proceeding), including, without limitation, by bringing any legal action for infringement or defending any counterclaim of invalidity or action of a Third Party for declaratory judgment of non-infringement or non-interference, or by otherwise abating such infringement or claims of invalidity or unenforceability, in each case in the Territory, or outside the Territory to the extent failure to do so would reasonably be expected to result in a material and adverse effect on any Products or Product Rights in the Territory. Notwithstanding any other obligation of the Seller under this Section‎ 6.5(a), the Seller shall (either directly or indirectly through a Licensee) (i) reasonably and in good faith evaluate and respond to (A) certifications made by a Third Party under paragraph IV of 21 U.S.C. §355(j)(2)(A)(vii) or §355(b)(2)(A) with respect to any Purple Book Patent and (B) any claim of invalidity or unenforceability by a Third Party against a Purple Book Patent, including in each case by initiating an appropriate legal action and (ii) not disclaim or abandon any Purple Book Patents.</w:t>
      </w:r>
    </w:p>
    <w:p>
      <w:pPr>
        <w:spacing w:after="0" w:line="182" w:lineRule="exact"/>
        <w:rPr>
          <w:rFonts w:ascii="Times New Roman" w:cs="Times New Roman" w:eastAsia="Times New Roman" w:hAnsi="Times New Roman"/>
          <w:sz w:val="21"/>
          <w:szCs w:val="21"/>
          <w:color w:val="010000"/>
        </w:rPr>
      </w:pPr>
    </w:p>
    <w:p>
      <w:pPr>
        <w:ind w:left="-20" w:right="40" w:firstLine="1505"/>
        <w:spacing w:after="0" w:line="238" w:lineRule="auto"/>
        <w:tabs>
          <w:tab w:leader="none" w:pos="1909"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provide to the Buyer a copy of any written notice received by the Seller from a Third Party alleging or claiming that the making, having made, using, importing, offering for sale or selling of any Products infringes or misappropriates any Patents or other intellectual property rights of such Third Party, together with copies of material correspondence sent or received by the Seller related thereto, as soon as practicable and in any event not more than [***] Business Days following such delivery or receipt.</w:t>
      </w:r>
    </w:p>
    <w:p>
      <w:pPr>
        <w:spacing w:after="0" w:line="176" w:lineRule="exact"/>
        <w:rPr>
          <w:rFonts w:ascii="Times New Roman" w:cs="Times New Roman" w:eastAsia="Times New Roman" w:hAnsi="Times New Roman"/>
          <w:sz w:val="22"/>
          <w:szCs w:val="22"/>
          <w:color w:val="010000"/>
        </w:rPr>
      </w:pPr>
    </w:p>
    <w:p>
      <w:pPr>
        <w:ind w:left="-20" w:right="40" w:firstLine="1505"/>
        <w:spacing w:after="0" w:line="251" w:lineRule="auto"/>
        <w:tabs>
          <w:tab w:leader="none" w:pos="1909" w:val="left"/>
        </w:tabs>
        <w:numPr>
          <w:ilvl w:val="0"/>
          <w:numId w:val="1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shall promptly inform the Buyer of any infringement by a Third Party of any Patent Right of which any of the individuals named in the definition of “Knowledge of the Seller” (or the successors of such Person at the Seller) becomes aware. Without limiting the foregoing, the Seller shall provide to the Buyer a copy of any written notice of any suspected infringement of any Patent Rights delivered or received by the Seller, as well as copies of material correspondence related thereto, as soon as practicable and in any event not more than [***] Business Days following such delivery or receipt.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26" w:name="page227"/>
    <w:bookmarkEnd w:id="226"/>
    <w:p>
      <w:pPr>
        <w:ind w:left="-8" w:right="100" w:firstLine="1505"/>
        <w:spacing w:after="0" w:line="244" w:lineRule="auto"/>
        <w:tabs>
          <w:tab w:leader="none" w:pos="1921"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 Business Days of initiating, or permitting a Licensee to initiate, an enforcement action regarding any suspected infringement by a Third Party of any Patent Right, the Seller shall provide the Buyer with written notice of such enforcement action.</w:t>
      </w:r>
    </w:p>
    <w:p>
      <w:pPr>
        <w:spacing w:after="0" w:line="173" w:lineRule="exact"/>
        <w:rPr>
          <w:rFonts w:ascii="Times New Roman" w:cs="Times New Roman" w:eastAsia="Times New Roman" w:hAnsi="Times New Roman"/>
          <w:sz w:val="22"/>
          <w:szCs w:val="22"/>
          <w:color w:val="010000"/>
        </w:rPr>
      </w:pPr>
    </w:p>
    <w:p>
      <w:pPr>
        <w:ind w:left="-8" w:right="120" w:firstLine="1505"/>
        <w:spacing w:after="0" w:line="236" w:lineRule="auto"/>
        <w:tabs>
          <w:tab w:leader="none" w:pos="1921"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Seller recovers monetary damages from a Third Party in an action brought for such Third Party’s infringement of any Patent Rights in the Territory in a manner that is competitive with any Products, where such damages, whether in the form of judgment or settlement, are awarded for such infringement of such Patent Rights in the Territory, (i) such recovery will be allocated first to the reimbursement of any expenses incurred by the Seller, its Affiliates, their respective Licensees or the Buyer (including all reasonable attorney’s fees), as applicable, and (ii) any residual amount of such damages after application of clause (i) will be treated as Net Sales.</w:t>
      </w:r>
    </w:p>
    <w:p>
      <w:pPr>
        <w:spacing w:after="0" w:line="181" w:lineRule="exact"/>
        <w:rPr>
          <w:sz w:val="20"/>
          <w:szCs w:val="20"/>
          <w:color w:val="auto"/>
        </w:rPr>
      </w:pPr>
    </w:p>
    <w:p>
      <w:pPr>
        <w:ind w:left="1492"/>
        <w:spacing w:after="0"/>
        <w:tabs>
          <w:tab w:leader="none" w:pos="2772" w:val="left"/>
        </w:tabs>
        <w:rPr>
          <w:sz w:val="20"/>
          <w:szCs w:val="20"/>
          <w:color w:val="auto"/>
        </w:rPr>
      </w:pPr>
      <w:r>
        <w:rPr>
          <w:rFonts w:ascii="Times New Roman" w:cs="Times New Roman" w:eastAsia="Times New Roman" w:hAnsi="Times New Roman"/>
          <w:sz w:val="22"/>
          <w:szCs w:val="22"/>
          <w:color w:val="010000"/>
        </w:rPr>
        <w:t>Section 6.6</w:t>
      </w:r>
      <w:r>
        <w:rPr>
          <w:sz w:val="20"/>
          <w:szCs w:val="20"/>
          <w:color w:val="auto"/>
        </w:rPr>
        <w:tab/>
      </w:r>
      <w:r>
        <w:rPr>
          <w:rFonts w:ascii="Times New Roman" w:cs="Times New Roman" w:eastAsia="Times New Roman" w:hAnsi="Times New Roman"/>
          <w:sz w:val="21"/>
          <w:szCs w:val="21"/>
          <w:u w:val="single" w:color="auto"/>
          <w:color w:val="auto"/>
        </w:rPr>
        <w:t>In-Licenses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 w:right="720" w:firstLine="1505"/>
        <w:spacing w:after="0" w:line="244" w:lineRule="auto"/>
        <w:tabs>
          <w:tab w:leader="none" w:pos="1921" w:val="left"/>
        </w:tabs>
        <w:numPr>
          <w:ilvl w:val="1"/>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promptly (and in any event within [***] Business Days) provide the Buyer with (i) executed copies of any In-License entered into by the Seller or its Affiliates, and (ii) executed copies of each amendment, supplement, modification or written waiver of any provision of any In-License.</w:t>
      </w:r>
    </w:p>
    <w:p>
      <w:pPr>
        <w:spacing w:after="0" w:line="173" w:lineRule="exact"/>
        <w:rPr>
          <w:rFonts w:ascii="Times New Roman" w:cs="Times New Roman" w:eastAsia="Times New Roman" w:hAnsi="Times New Roman"/>
          <w:sz w:val="22"/>
          <w:szCs w:val="22"/>
          <w:color w:val="010000"/>
        </w:rPr>
      </w:pPr>
    </w:p>
    <w:p>
      <w:pPr>
        <w:ind w:left="-8" w:firstLine="1505"/>
        <w:spacing w:after="0" w:line="249" w:lineRule="auto"/>
        <w:tabs>
          <w:tab w:leader="none" w:pos="1921" w:val="left"/>
        </w:tabs>
        <w:numPr>
          <w:ilvl w:val="1"/>
          <w:numId w:val="1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shall use Commercially Reasonable Efforts to comply in all material respects with its obligations under any In-Licenses with respect to the Products or any Product Rights in the Territory and shall not take any action or forego any action that would reasonably be expected to result in a material breach thereof. Promptly, and in any event within</w:t>
      </w:r>
    </w:p>
    <w:p>
      <w:pPr>
        <w:spacing w:after="0" w:line="1" w:lineRule="exact"/>
        <w:rPr>
          <w:rFonts w:ascii="Times New Roman" w:cs="Times New Roman" w:eastAsia="Times New Roman" w:hAnsi="Times New Roman"/>
          <w:sz w:val="21"/>
          <w:szCs w:val="21"/>
          <w:color w:val="010000"/>
        </w:rPr>
      </w:pPr>
    </w:p>
    <w:p>
      <w:pPr>
        <w:ind w:left="-8" w:right="220" w:firstLine="8"/>
        <w:spacing w:after="0" w:line="232" w:lineRule="auto"/>
        <w:tabs>
          <w:tab w:leader="none" w:pos="51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receipt of any (written or oral) notice from a counterparty to any In-License or its Affiliates of an alleged material breach under any In-License, the Seller shall provide the Buyer a copy thereof. The Seller shall use its Commercially Reasonable Efforts to cure any material breaches by it under any In-License and shall give written notice to the Buyer upon curing any such breach. The Seller shall provide the Buyer with written notice following becoming aware of any party’s material breach of its obligations under any In-License. The Seller shall not terminate any In-License without providing the Buyer prior written notice. Promptly, and in any event within [***] Business Days following the Seller’s notice to a counterparty to any In-License of an alleged material breach by such counterparty under any such In-License, the Seller shall provide the Buyer a copy thereof.</w:t>
      </w:r>
    </w:p>
    <w:p>
      <w:pPr>
        <w:spacing w:after="0" w:line="180" w:lineRule="exact"/>
        <w:rPr>
          <w:sz w:val="20"/>
          <w:szCs w:val="20"/>
          <w:color w:val="auto"/>
        </w:rPr>
      </w:pPr>
    </w:p>
    <w:p>
      <w:pPr>
        <w:ind w:left="1492"/>
        <w:spacing w:after="0"/>
        <w:tabs>
          <w:tab w:leader="none" w:pos="2772" w:val="left"/>
        </w:tabs>
        <w:rPr>
          <w:sz w:val="20"/>
          <w:szCs w:val="20"/>
          <w:color w:val="auto"/>
        </w:rPr>
      </w:pPr>
      <w:r>
        <w:rPr>
          <w:rFonts w:ascii="Times New Roman" w:cs="Times New Roman" w:eastAsia="Times New Roman" w:hAnsi="Times New Roman"/>
          <w:sz w:val="22"/>
          <w:szCs w:val="22"/>
          <w:color w:val="010000"/>
        </w:rPr>
        <w:t>Section 6.7</w:t>
      </w:r>
      <w:r>
        <w:rPr>
          <w:sz w:val="20"/>
          <w:szCs w:val="20"/>
          <w:color w:val="auto"/>
        </w:rPr>
        <w:tab/>
      </w:r>
      <w:r>
        <w:rPr>
          <w:rFonts w:ascii="Times New Roman" w:cs="Times New Roman" w:eastAsia="Times New Roman" w:hAnsi="Times New Roman"/>
          <w:sz w:val="21"/>
          <w:szCs w:val="21"/>
          <w:u w:val="single" w:color="auto"/>
          <w:color w:val="auto"/>
        </w:rPr>
        <w:t>Out-Licenses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right="20" w:firstLine="1505"/>
        <w:spacing w:after="0" w:line="235" w:lineRule="auto"/>
        <w:tabs>
          <w:tab w:leader="none" w:pos="1921"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the remainder of this Section 6.7(a), the Seller shall not enter into an Out-License with any Person to Commercialize any Product in the Territory unless, subject to compliance with this Section 6.7, it has received the Buyer’s prior written consent (not to be unreasonably withheld, conditioned or delayed), provided that such Out-License shall not assign or otherwise convey title to or impose any Lien on any of the Product Collateral, other than the grant of the license or sublicense thereunder, in favor of the Licensee (any such license, a “</w:t>
      </w:r>
      <w:r>
        <w:rPr>
          <w:rFonts w:ascii="Times New Roman" w:cs="Times New Roman" w:eastAsia="Times New Roman" w:hAnsi="Times New Roman"/>
          <w:sz w:val="22"/>
          <w:szCs w:val="22"/>
          <w:u w:val="single" w:color="auto"/>
          <w:color w:val="auto"/>
        </w:rPr>
        <w:t>Permitted License</w:t>
      </w:r>
      <w:r>
        <w:rPr>
          <w:rFonts w:ascii="Times New Roman" w:cs="Times New Roman" w:eastAsia="Times New Roman" w:hAnsi="Times New Roman"/>
          <w:sz w:val="22"/>
          <w:szCs w:val="22"/>
          <w:color w:val="auto"/>
        </w:rPr>
        <w:t>”). Notwithstanding the foregoing, subject to compliance with this Section 6.7, the Seller may enter into (i) and Out-License with a Qualified Licensee, or (ii) an Out-License with a Third Party to research, develop or manufacture any Product in the Territory, in each case of clauses (i) and (ii), without the Buyer’s prior written consent, provided that such</w:t>
      </w: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572770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227" w:name="page228"/>
    <w:bookmarkEnd w:id="227"/>
    <w:p>
      <w:pPr>
        <w:ind w:right="40"/>
        <w:spacing w:after="0" w:line="244" w:lineRule="auto"/>
        <w:rPr>
          <w:sz w:val="20"/>
          <w:szCs w:val="20"/>
          <w:color w:val="auto"/>
        </w:rPr>
      </w:pPr>
      <w:r>
        <w:rPr>
          <w:rFonts w:ascii="Times New Roman" w:cs="Times New Roman" w:eastAsia="Times New Roman" w:hAnsi="Times New Roman"/>
          <w:sz w:val="22"/>
          <w:szCs w:val="22"/>
          <w:color w:val="auto"/>
        </w:rPr>
        <w:t>license shall not assign or otherwise convey title to or impose any Lien on any of the Product Collateral, other than the grant of the license or sublicense thereunder, in favor of such Third Party (and any such license in each case of clauses (i) and (ii) shall be deemed a Permitted License hereunder).</w:t>
      </w:r>
    </w:p>
    <w:p>
      <w:pPr>
        <w:spacing w:after="0" w:line="173" w:lineRule="exact"/>
        <w:rPr>
          <w:sz w:val="20"/>
          <w:szCs w:val="20"/>
          <w:color w:val="auto"/>
        </w:rPr>
      </w:pPr>
    </w:p>
    <w:p>
      <w:pPr>
        <w:ind w:right="140" w:firstLine="1505"/>
        <w:spacing w:after="0" w:line="238" w:lineRule="auto"/>
        <w:tabs>
          <w:tab w:leader="none" w:pos="1929"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promptly (and in any event within [***] Business Days) provide the Buyer with (i) executed copies of each Out-License that grants any rights to any Product or Product Rights (A) in the Territory or (B) outside the Territory to the extent such rights would reasonably be expected to result in a material and adverse effect on any Products or Product Rights in the Territory and (ii) executed copies of each amendment, supplement, modification or written waiver of any material provision of any such Out-License.</w:t>
      </w:r>
    </w:p>
    <w:p>
      <w:pPr>
        <w:spacing w:after="0" w:line="176" w:lineRule="exact"/>
        <w:rPr>
          <w:rFonts w:ascii="Times New Roman" w:cs="Times New Roman" w:eastAsia="Times New Roman" w:hAnsi="Times New Roman"/>
          <w:sz w:val="22"/>
          <w:szCs w:val="22"/>
          <w:color w:val="010000"/>
        </w:rPr>
      </w:pPr>
    </w:p>
    <w:p>
      <w:pPr>
        <w:ind w:firstLine="1505"/>
        <w:spacing w:after="0" w:line="236" w:lineRule="auto"/>
        <w:tabs>
          <w:tab w:leader="none" w:pos="1929"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include in all Out-Licenses that grant rights to Commercialize any Product in the Territory provisions (i) requiring the licensee to provide to Seller all information that Seller is required to provide in the reports provided to the Buyer under Section 6.2(b) and within the same time frame as required under Section‎ 6.2(b), (ii) allowing the Seller to provide such reports to the Buyer (and the Seller hereby covenants to provide such reports promptly to the Buyer after the Seller’s receipt thereof) and (iii) for inspection and audit rights consistent in all material respects with the Buyer’s rights to audit the Seller set forth in Section 6.4‎.</w:t>
      </w:r>
    </w:p>
    <w:p>
      <w:pPr>
        <w:spacing w:after="0" w:line="181" w:lineRule="exact"/>
        <w:rPr>
          <w:rFonts w:ascii="Times New Roman" w:cs="Times New Roman" w:eastAsia="Times New Roman" w:hAnsi="Times New Roman"/>
          <w:sz w:val="22"/>
          <w:szCs w:val="22"/>
          <w:color w:val="010000"/>
        </w:rPr>
      </w:pPr>
    </w:p>
    <w:p>
      <w:pPr>
        <w:ind w:right="20" w:firstLine="1505"/>
        <w:spacing w:after="0" w:line="236" w:lineRule="auto"/>
        <w:tabs>
          <w:tab w:leader="none" w:pos="1929"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provide the Buyer prompt (and in any event within [***] Business Days of Seller’s knowledge of such event) written notice of a Licensee’s material breach of its obligations under any Out-License that grants any rights to any Product or Product Rights (i) in the Territory, or (ii) outside the Territory to the extent such breach would reasonably be expected to have a material and adverse effect on any Products or Product Rights in the Territory, in each case of which any of the individuals named in the definition of “Knowledge of the Seller” (or the successors of such Person at the Seller) becomes aware.</w:t>
      </w:r>
    </w:p>
    <w:p>
      <w:pPr>
        <w:spacing w:after="0" w:line="181" w:lineRule="exact"/>
        <w:rPr>
          <w:rFonts w:ascii="Times New Roman" w:cs="Times New Roman" w:eastAsia="Times New Roman" w:hAnsi="Times New Roman"/>
          <w:sz w:val="22"/>
          <w:szCs w:val="22"/>
          <w:color w:val="010000"/>
        </w:rPr>
      </w:pPr>
    </w:p>
    <w:p>
      <w:pPr>
        <w:ind w:right="20" w:firstLine="1505"/>
        <w:spacing w:after="0" w:line="253" w:lineRule="auto"/>
        <w:tabs>
          <w:tab w:leader="none" w:pos="1929" w:val="left"/>
        </w:tabs>
        <w:numPr>
          <w:ilvl w:val="1"/>
          <w:numId w:val="1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shall provide the Buyer with written notice promptly (and in any event within [***] Business Days) following the termination of any Out-License that grants any rights to any Product or Product Rights (i) in the Territory, or</w:t>
      </w:r>
    </w:p>
    <w:p>
      <w:pPr>
        <w:ind w:right="340" w:firstLine="8"/>
        <w:spacing w:after="0" w:line="237" w:lineRule="auto"/>
        <w:tabs>
          <w:tab w:leader="none" w:pos="3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outside the Territory to the extent such termination would reasonably be expected to have a material and adverse effect on any Products or Product Rights in the Territory.</w:t>
      </w:r>
    </w:p>
    <w:p>
      <w:pPr>
        <w:spacing w:after="0" w:line="205"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6.8</w:t>
      </w:r>
      <w:r>
        <w:rPr>
          <w:sz w:val="20"/>
          <w:szCs w:val="20"/>
          <w:color w:val="auto"/>
        </w:rPr>
        <w:tab/>
      </w:r>
      <w:r>
        <w:rPr>
          <w:rFonts w:ascii="Times New Roman" w:cs="Times New Roman" w:eastAsia="Times New Roman" w:hAnsi="Times New Roman"/>
          <w:sz w:val="21"/>
          <w:szCs w:val="21"/>
          <w:u w:val="single" w:color="auto"/>
          <w:color w:val="auto"/>
        </w:rPr>
        <w:t>Royalty Transactions; Indebtedness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20" w:firstLine="1505"/>
        <w:spacing w:after="0" w:line="258" w:lineRule="auto"/>
        <w:tabs>
          <w:tab w:leader="none" w:pos="1929"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or prior to the Closing, the Seller shall satisfy the Indebtedness Condition. If reasonably requested by the Seller, the Buyer shall cooperate in good faith to promptly negotiate an Acceptable Intercreditor Agreement.</w:t>
      </w:r>
    </w:p>
    <w:p>
      <w:pPr>
        <w:spacing w:after="0" w:line="158" w:lineRule="exact"/>
        <w:rPr>
          <w:rFonts w:ascii="Times New Roman" w:cs="Times New Roman" w:eastAsia="Times New Roman" w:hAnsi="Times New Roman"/>
          <w:sz w:val="22"/>
          <w:szCs w:val="22"/>
          <w:color w:val="010000"/>
        </w:rPr>
      </w:pPr>
    </w:p>
    <w:p>
      <w:pPr>
        <w:ind w:right="240" w:firstLine="1505"/>
        <w:spacing w:after="0" w:line="238" w:lineRule="auto"/>
        <w:tabs>
          <w:tab w:leader="none" w:pos="1929"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shall not, and shall not permit any of its Subsidiaries to, enter into, create, incur, assume or suffer to exist any Royalty Transaction or any Restricted Indebtedness; provided that, the Seller and its Subsidiaries shall be permitted, without Buyer’s consent, to enter into any Royalty Transaction following the first anniversary of the Closing Date subject to the terms and conditions of this Agreement; provided, further, that any such Royalty Transaction that is secured by a Lien on the Product Collateral shall be subject to an Acceptable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28" w:name="page229"/>
    <w:bookmarkEnd w:id="228"/>
    <w:p>
      <w:pPr>
        <w:spacing w:after="0" w:line="244" w:lineRule="auto"/>
        <w:rPr>
          <w:sz w:val="20"/>
          <w:szCs w:val="20"/>
          <w:color w:val="auto"/>
        </w:rPr>
      </w:pPr>
      <w:r>
        <w:rPr>
          <w:rFonts w:ascii="Times New Roman" w:cs="Times New Roman" w:eastAsia="Times New Roman" w:hAnsi="Times New Roman"/>
          <w:sz w:val="22"/>
          <w:szCs w:val="22"/>
          <w:color w:val="auto"/>
        </w:rPr>
        <w:t>Intercreditor Agreement. As a condition to the incurrence of any secured Permitted Indebtedness for borrowed money with one or more lenders that is secured by the Product Collateral, the Seller shall enter, and cause such lender or lenders or any agent, representative or trustee acting on behalf of such lender or lenders to enter into an Acceptable Intercreditor Agreement.</w:t>
      </w:r>
    </w:p>
    <w:p>
      <w:pPr>
        <w:spacing w:after="0" w:line="173" w:lineRule="exact"/>
        <w:rPr>
          <w:sz w:val="20"/>
          <w:szCs w:val="20"/>
          <w:color w:val="auto"/>
        </w:rPr>
      </w:pPr>
    </w:p>
    <w:p>
      <w:pPr>
        <w:ind w:right="40" w:firstLine="1497"/>
        <w:spacing w:after="0" w:line="249" w:lineRule="auto"/>
        <w:rPr>
          <w:sz w:val="20"/>
          <w:szCs w:val="20"/>
          <w:color w:val="auto"/>
        </w:rPr>
      </w:pPr>
      <w:r>
        <w:rPr>
          <w:rFonts w:ascii="Times New Roman" w:cs="Times New Roman" w:eastAsia="Times New Roman" w:hAnsi="Times New Roman"/>
          <w:sz w:val="21"/>
          <w:szCs w:val="21"/>
          <w:color w:val="010000"/>
        </w:rPr>
        <w:t xml:space="preserve">Section 6.9 </w:t>
      </w:r>
      <w:r>
        <w:rPr>
          <w:rFonts w:ascii="Times New Roman" w:cs="Times New Roman" w:eastAsia="Times New Roman" w:hAnsi="Times New Roman"/>
          <w:sz w:val="21"/>
          <w:szCs w:val="21"/>
          <w:u w:val="single" w:color="auto"/>
          <w:color w:val="000000"/>
        </w:rPr>
        <w:t>Diligence</w:t>
      </w:r>
      <w:r>
        <w:rPr>
          <w:rFonts w:ascii="Times New Roman" w:cs="Times New Roman" w:eastAsia="Times New Roman" w:hAnsi="Times New Roman"/>
          <w:sz w:val="21"/>
          <w:szCs w:val="21"/>
          <w:color w:val="000000"/>
        </w:rPr>
        <w:t>. The Seller shall use Commercially Reasonable Efforts to (i) complete clinical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development of the Product in the Territory as required for U.S. Marketing Approval, (ii) obtain and maintain the U.S. Marketing Approval, and (iii) obtain and maintain Marketing Approvals for the Product for the Approved Indication in the Territory, and</w:t>
      </w:r>
    </w:p>
    <w:p>
      <w:pPr>
        <w:spacing w:after="0" w:line="1" w:lineRule="exact"/>
        <w:rPr>
          <w:sz w:val="20"/>
          <w:szCs w:val="20"/>
          <w:color w:val="auto"/>
        </w:rPr>
      </w:pPr>
    </w:p>
    <w:p>
      <w:pPr>
        <w:ind w:right="20" w:firstLine="8"/>
        <w:spacing w:after="0" w:line="245" w:lineRule="auto"/>
        <w:tabs>
          <w:tab w:leader="none" w:pos="366"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Marketing Approval of any Product in the Territory, Commercialize such Product in the Territory. In furtherance of the foregoing, the Seller shall use Commercially Reasonable Efforts to prepare, execute, deliver and file any and all agreements, documents or instruments that are necessary or desirable to secure and maintain such Marketing Approvals for the Product in the Territory, and the Seller shall use Commercially Reasonable Efforts to not withdraw or abandon, or fail to take any action necessary to prevent the withdrawal or abandonment of the such Marketing Approvals for the Product in the Territory.</w:t>
      </w:r>
    </w:p>
    <w:p>
      <w:pPr>
        <w:spacing w:after="0" w:line="174" w:lineRule="exact"/>
        <w:rPr>
          <w:sz w:val="20"/>
          <w:szCs w:val="20"/>
          <w:color w:val="auto"/>
        </w:rPr>
      </w:pPr>
    </w:p>
    <w:p>
      <w:pPr>
        <w:ind w:right="60" w:firstLine="1497"/>
        <w:spacing w:after="0" w:line="235" w:lineRule="auto"/>
        <w:rPr>
          <w:sz w:val="20"/>
          <w:szCs w:val="20"/>
          <w:color w:val="auto"/>
        </w:rPr>
      </w:pPr>
      <w:r>
        <w:rPr>
          <w:rFonts w:ascii="Times New Roman" w:cs="Times New Roman" w:eastAsia="Times New Roman" w:hAnsi="Times New Roman"/>
          <w:sz w:val="22"/>
          <w:szCs w:val="22"/>
          <w:color w:val="010000"/>
        </w:rPr>
        <w:t xml:space="preserve">Section 6.10 </w:t>
      </w:r>
      <w:r>
        <w:rPr>
          <w:rFonts w:ascii="Times New Roman" w:cs="Times New Roman" w:eastAsia="Times New Roman" w:hAnsi="Times New Roman"/>
          <w:sz w:val="22"/>
          <w:szCs w:val="22"/>
          <w:u w:val="single" w:color="auto"/>
          <w:color w:val="000000"/>
        </w:rPr>
        <w:t>Efforts to Consummate Transactions</w:t>
      </w:r>
      <w:r>
        <w:rPr>
          <w:rFonts w:ascii="Times New Roman" w:cs="Times New Roman" w:eastAsia="Times New Roman" w:hAnsi="Times New Roman"/>
          <w:sz w:val="22"/>
          <w:szCs w:val="22"/>
          <w:color w:val="000000"/>
        </w:rPr>
        <w:t>. Subject to the terms and conditions of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Seller and the Buyer will use its commercially reasonable efforts prior to the Closing to take, or cause to be taken, all actions and to do, or cause to be done, all things reasonably necessary under applicable law to consummate the transactions contemplated by this Agreement. Each of the Buyer and the Seller agrees to execute and deliver such other documents, certificates, agreements and other writings and to take such other actions as may be reasonably necessary in order to consummate or implement expeditiously the transactions contemplated by this Agreement and to vest in Buyer good and valid right, title, and interest in and to the Revenue Participation Right, which is, as of the Closing, free and clear of all Liens.</w:t>
      </w:r>
    </w:p>
    <w:p>
      <w:pPr>
        <w:spacing w:after="0" w:line="18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6.11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505"/>
        <w:spacing w:after="0" w:line="238" w:lineRule="auto"/>
        <w:tabs>
          <w:tab w:leader="none" w:pos="1929"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After the Closing, the Seller and the Buyer agree to execute and deliver such other documents, certificates, agreements and other writings and to take such other actions as may be reasonably necessary in order to give effect to the transactions contemplated by this Agreement. After the Closing, the Seller shall use its Commercially Reasonable Efforts to obtain and maintain any required consents, acknowledgements, certificates or waivers reasonably necessary for the consummation of the transactions contemplated by this Agreement or any other Transaction Document to which it is a party .</w:t>
      </w:r>
    </w:p>
    <w:p>
      <w:pPr>
        <w:spacing w:after="0" w:line="176" w:lineRule="exact"/>
        <w:rPr>
          <w:rFonts w:ascii="Times New Roman" w:cs="Times New Roman" w:eastAsia="Times New Roman" w:hAnsi="Times New Roman"/>
          <w:sz w:val="22"/>
          <w:szCs w:val="22"/>
          <w:color w:val="010000"/>
        </w:rPr>
      </w:pPr>
    </w:p>
    <w:p>
      <w:pPr>
        <w:ind w:right="40" w:firstLine="1505"/>
        <w:spacing w:after="0" w:line="235" w:lineRule="auto"/>
        <w:tabs>
          <w:tab w:leader="none" w:pos="1929"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and the Seller shall cooperate and provide assistance as reasonably requested by the other party, at the expense of such other party (other than expenses that are Losses subject to indemnification in accordance with ARTICLE 7), in connection with any Third Party litigation, arbitration or other Third Party proceeding with respect to the Revenue Participation Right, or the Product Collateral (whether threatened, existing, initiated, or contemplated prior to, on or after the date hereof) to which any party hereto or any of its officers, directors, shareholders, agents or employees is or may become a party or is or may become otherwise directly or indirectly affected or as to which any such Persons have a direct or indirect interests, in each case relating to this Agreement, any other Transaction Document, the Revenue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Participation Right or any other Product Collateral, or the transactions described herein or therein.</w:t>
      </w:r>
    </w:p>
    <w:p>
      <w:pPr>
        <w:spacing w:after="0" w:line="206" w:lineRule="exact"/>
        <w:rPr>
          <w:sz w:val="20"/>
          <w:szCs w:val="20"/>
          <w:color w:val="auto"/>
        </w:rPr>
      </w:pPr>
    </w:p>
    <w:p>
      <w:pPr>
        <w:ind w:right="40" w:firstLine="1497"/>
        <w:spacing w:after="0" w:line="244" w:lineRule="auto"/>
        <w:rPr>
          <w:sz w:val="20"/>
          <w:szCs w:val="20"/>
          <w:color w:val="auto"/>
        </w:rPr>
      </w:pPr>
      <w:r>
        <w:rPr>
          <w:rFonts w:ascii="Times New Roman" w:cs="Times New Roman" w:eastAsia="Times New Roman" w:hAnsi="Times New Roman"/>
          <w:sz w:val="21"/>
          <w:szCs w:val="21"/>
          <w:color w:val="010000"/>
        </w:rPr>
        <w:t xml:space="preserve">Section 6.12 </w:t>
      </w:r>
      <w:r>
        <w:rPr>
          <w:rFonts w:ascii="Times New Roman" w:cs="Times New Roman" w:eastAsia="Times New Roman" w:hAnsi="Times New Roman"/>
          <w:sz w:val="21"/>
          <w:szCs w:val="21"/>
          <w:u w:val="single" w:color="auto"/>
          <w:color w:val="000000"/>
        </w:rPr>
        <w:t>No Impairment of Revenue Participation Right or Back-Up Security Interest</w:t>
      </w:r>
      <w:r>
        <w:rPr>
          <w:rFonts w:ascii="Times New Roman" w:cs="Times New Roman" w:eastAsia="Times New Roman" w:hAnsi="Times New Roman"/>
          <w:sz w:val="21"/>
          <w:szCs w:val="21"/>
          <w:color w:val="000000"/>
        </w:rPr>
        <w:t>. Notwithstanding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anything herein to the contrary, the Seller shall not, and shall not permit any Subsidiary to, as may be applicable (i) enter into or propose or deliver any Contract (or make or propose any amendments, modifications waivers or notices in connection with any Contract) that imposes a Lien upon, or otherwise sells, transfers, hypothecates, assigns, conveys title (in whole or in part), grants any right to, or otherwise disposes of any portion of the Revenue Participation Right or the Product Collateral (except for (a) a Permitted Lien on the Product Collateral pursuant to any agreement evidencing any secured Indebtedness permitted by clause (b) of the definition of Permitted Indebtedness, (b) for those grants of licenses and sublicenses contemplated by and granted pursuant to Section 6.7(a), or (c) a Change of Control subject to the requirements of (x) Section 6.2(c) or (y) if neither Seller nor Buyer elects the Buy-Back Option or the Buy-Back Requirement in accordance with Section 6.2(c), respectively, Section 11.4); (ii) knowingly take any action or knowingly fail to act in a manner, in each case that would, individually or in the aggregate, reasonably be expected to result in a Material Adverse Effect; or (iii) take any action or engage in any transaction (or series of actions or transactions), whether by reorganization, transfer of assts, merger, dissolution, amendment of organization documents or otherwise, the primary purpose of which is to evade, avoid or seek to avoid the performance or observance of the covenants, agreements or obligations of the Seller under the Transaction Documents. At the Closing Date, the Seller shall grant in favor of Buyer, and take such additional actions as reasonably requested by Buyer to ensure that thereafter Buyer has a valid, continuing, first priority security interest in and to all right, title and interest in, to and under the Revenue Participation Right, the Royalty Payments, and the Product Collateral in accordance with the terms set forth in Section 2.1‎.</w:t>
      </w:r>
    </w:p>
    <w:p>
      <w:pPr>
        <w:spacing w:after="0" w:line="17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6.13</w:t>
      </w:r>
      <w:r>
        <w:rPr>
          <w:sz w:val="20"/>
          <w:szCs w:val="20"/>
          <w:color w:val="auto"/>
        </w:rPr>
        <w:tab/>
      </w:r>
      <w:r>
        <w:rPr>
          <w:rFonts w:ascii="Times New Roman" w:cs="Times New Roman" w:eastAsia="Times New Roman" w:hAnsi="Times New Roman"/>
          <w:sz w:val="21"/>
          <w:szCs w:val="21"/>
          <w:u w:val="single" w:color="auto"/>
          <w:color w:val="auto"/>
        </w:rPr>
        <w:t>Certain Tax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505"/>
        <w:spacing w:after="0" w:line="244" w:lineRule="auto"/>
        <w:tabs>
          <w:tab w:leader="none" w:pos="1929" w:val="left"/>
        </w:tabs>
        <w:numPr>
          <w:ilvl w:val="0"/>
          <w:numId w:val="1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and the Buyer agree that for applicable Tax purposes, (a) the Seller and the Buyer shall treat the transactions contemplated by this Agreement as a sale of the Revenue Participation Right and (b) any and all amounts remitted by the Seller to the Buyer after the Closing Date pursuant to this Agreement shall be treated as received by the Seller as agent for the Buyer and shall be treated as “royalties” within the meaning of Article 12 or “Other Income” within the meaning of Article 22, in each case, of the Convention Between the Government of the United States of America and the Government of Ireland for the Avoidance of Double Taxation and the Prevention of Fiscal Evasion With Respect to Taxes on Income and Capital Gains (the “</w:t>
      </w:r>
      <w:r>
        <w:rPr>
          <w:rFonts w:ascii="Times New Roman" w:cs="Times New Roman" w:eastAsia="Times New Roman" w:hAnsi="Times New Roman"/>
          <w:sz w:val="21"/>
          <w:szCs w:val="21"/>
          <w:u w:val="single" w:color="auto"/>
          <w:color w:val="auto"/>
        </w:rPr>
        <w:t>U.S.-Ireland Treaty</w:t>
      </w:r>
      <w:r>
        <w:rPr>
          <w:rFonts w:ascii="Times New Roman" w:cs="Times New Roman" w:eastAsia="Times New Roman" w:hAnsi="Times New Roman"/>
          <w:sz w:val="21"/>
          <w:szCs w:val="21"/>
          <w:color w:val="auto"/>
        </w:rPr>
        <w:t>”). The parties hereto agree not to take any position that is inconsistent with the provisions of this Section</w:t>
      </w:r>
    </w:p>
    <w:p>
      <w:pPr>
        <w:spacing w:after="0" w:line="6" w:lineRule="exact"/>
        <w:rPr>
          <w:rFonts w:ascii="Times New Roman" w:cs="Times New Roman" w:eastAsia="Times New Roman" w:hAnsi="Times New Roman"/>
          <w:sz w:val="21"/>
          <w:szCs w:val="21"/>
          <w:color w:val="010000"/>
        </w:rPr>
      </w:pPr>
    </w:p>
    <w:p>
      <w:pPr>
        <w:ind w:right="180"/>
        <w:spacing w:after="0" w:line="233"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6.13(a) on any Tax return or in any audit or other Tax-related administrative or judicial proceeding unless the other party hereto has consented in writing (such consent not to be unreasonably withheld, conditioned or delayed) to such actions. If there is an inquiry by any Governmental Entity of the Buyer or the Seller related to the treatment described in this Section 6.13(a), the parties hereto shall cooperate with each other in responding to such inquiry in a reasonable manner which is consistent with this Section 6.13(a).</w:t>
      </w:r>
    </w:p>
    <w:p>
      <w:pPr>
        <w:spacing w:after="0" w:line="179" w:lineRule="exact"/>
        <w:rPr>
          <w:rFonts w:ascii="Times New Roman" w:cs="Times New Roman" w:eastAsia="Times New Roman" w:hAnsi="Times New Roman"/>
          <w:sz w:val="21"/>
          <w:szCs w:val="21"/>
          <w:color w:val="010000"/>
        </w:rPr>
      </w:pPr>
    </w:p>
    <w:p>
      <w:pPr>
        <w:ind w:right="800" w:firstLine="1505"/>
        <w:spacing w:after="0" w:line="258" w:lineRule="auto"/>
        <w:tabs>
          <w:tab w:leader="none" w:pos="1929"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Agreement, each of the parties shall be entitled to withhold and deduct (or cause to be withheld and deducted) from 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0" w:name="page231"/>
    <w:bookmarkEnd w:id="230"/>
    <w:p>
      <w:pPr>
        <w:spacing w:after="0" w:line="233" w:lineRule="auto"/>
        <w:rPr>
          <w:sz w:val="20"/>
          <w:szCs w:val="20"/>
          <w:color w:val="auto"/>
        </w:rPr>
      </w:pPr>
      <w:r>
        <w:rPr>
          <w:rFonts w:ascii="Times New Roman" w:cs="Times New Roman" w:eastAsia="Times New Roman" w:hAnsi="Times New Roman"/>
          <w:sz w:val="22"/>
          <w:szCs w:val="22"/>
          <w:color w:val="auto"/>
        </w:rPr>
        <w:t>amount payable under this Agreement to the other party any Tax that the Buyer or the Seller, as applicable, reasonably determines that it is required to withhold and deduct under applicable law, and (i) any such amount withheld and deducted shall be treated for all purposes of this Agreement as being paid to the other party and (ii) the withholding party shall not be required to pay any additional amount to the other party in respect of such amount withheld and deducted; provided that each of the Buyer and the Seller shall give the other party reasonable prior notice and the opportunity, in good faith, to contest and prevent such withholding and deduction. The parties hereto shall use commercially reasonable efforts to give or cause to be given to the other party hereto such assistance and such information concerning the reasons for withholding or deduction (including, in reasonable detail, the method of calculation for the deduction or withholding thereof) as may be reasonably necessary to enable the Buyer or the Seller, as applicable, to claim exemption therefrom, or credit therefor, or relief (whether at source or by reclaim) therefrom, and, in each case, shall furnish the Buyer or the Seller, as applicable, with proper evidence of the taxes withheld and deducted and remitted to the relevant taxing authority.</w:t>
      </w:r>
    </w:p>
    <w:p>
      <w:pPr>
        <w:spacing w:after="0" w:line="187" w:lineRule="exact"/>
        <w:rPr>
          <w:sz w:val="20"/>
          <w:szCs w:val="20"/>
          <w:color w:val="auto"/>
        </w:rPr>
      </w:pPr>
    </w:p>
    <w:p>
      <w:pPr>
        <w:ind w:right="60" w:firstLine="1505"/>
        <w:spacing w:after="0" w:line="245" w:lineRule="auto"/>
        <w:tabs>
          <w:tab w:leader="none" w:pos="1929" w:val="left"/>
        </w:tabs>
        <w:numPr>
          <w:ilvl w:val="0"/>
          <w:numId w:val="1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Promptly after any assignment by the Buyer pursuant to Section 11.4, the Buyer shall cause the assignee(s) to provide to the Seller (i) if such assignee is a “United States person” within the meaning of Section 7701(a)(30) of the Code, a valid, properly executed IRS Form W-9, or (ii) if such assignee is not a United States person within the meaning of Section 7701(a)(30) of the Code, (A) a valid, properly executed IRS Form W-8BEN-E certifying that it is exempt from U.S. federal withholding Tax in respect of payments with respect to the Revenue Participation Right under the U.S.-Ireland Treaty (or other applicable United States income Tax treaty), (B) a valid, properly executed IRS Form W-8IMY, accompanied by the applicable valid and properly executed IRS Form(s) W-8 (and other appropriate documentation and forms) certifying that the applicable beneficial owner is exempt from U.S. federal withholding Tax in respect of payments with respect to the Revenue Participation Right or valid, properly executed IRS Form(s) W-9, from the applicable beneficial owner, or (C) other valid, properly executed IRS Form W-8 (and other appropriate documentation and forms) establishing that payments to such assignee with respect to the Revenue Participation Right are exempt from U.S. federal withholding Tax, in each case, as applicable.</w:t>
      </w:r>
    </w:p>
    <w:p>
      <w:pPr>
        <w:spacing w:after="0" w:line="177" w:lineRule="exact"/>
        <w:rPr>
          <w:rFonts w:ascii="Times New Roman" w:cs="Times New Roman" w:eastAsia="Times New Roman" w:hAnsi="Times New Roman"/>
          <w:sz w:val="21"/>
          <w:szCs w:val="21"/>
          <w:color w:val="010000"/>
        </w:rPr>
      </w:pPr>
    </w:p>
    <w:p>
      <w:pPr>
        <w:jc w:val="both"/>
        <w:ind w:right="80" w:firstLine="1505"/>
        <w:spacing w:after="0" w:line="239" w:lineRule="auto"/>
        <w:tabs>
          <w:tab w:leader="none" w:pos="1929"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agrees that if any form(s) or certification(s) it previously delivered pursuant to Section 5.3(d) (or, in the case of an assignee under Section 11.4, pursuant to Section 6.13(c)) expires or becomes obsolete or inaccurate in any respect, Buyer (or assignee) shall update such form or certification or promptly notify the Seller in writing of its legal inability to do 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w:t>
      </w: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7.1</w:t>
      </w:r>
      <w:r>
        <w:rPr>
          <w:sz w:val="20"/>
          <w:szCs w:val="20"/>
          <w:color w:val="auto"/>
        </w:rPr>
        <w:tab/>
      </w:r>
      <w:r>
        <w:rPr>
          <w:rFonts w:ascii="Times New Roman" w:cs="Times New Roman" w:eastAsia="Times New Roman" w:hAnsi="Times New Roman"/>
          <w:sz w:val="21"/>
          <w:szCs w:val="21"/>
          <w:u w:val="single" w:color="auto"/>
          <w:color w:val="auto"/>
        </w:rPr>
        <w:t>General Indemnity</w:t>
      </w:r>
      <w:r>
        <w:rPr>
          <w:rFonts w:ascii="Times New Roman" w:cs="Times New Roman" w:eastAsia="Times New Roman" w:hAnsi="Times New Roman"/>
          <w:sz w:val="21"/>
          <w:szCs w:val="21"/>
          <w:color w:val="auto"/>
        </w:rPr>
        <w:t>. From and after the Closing:</w:t>
      </w:r>
    </w:p>
    <w:p>
      <w:pPr>
        <w:spacing w:after="0" w:line="182" w:lineRule="exact"/>
        <w:rPr>
          <w:sz w:val="20"/>
          <w:szCs w:val="20"/>
          <w:color w:val="auto"/>
        </w:rPr>
      </w:pPr>
    </w:p>
    <w:p>
      <w:pPr>
        <w:ind w:right="120" w:firstLine="1505"/>
        <w:spacing w:after="0" w:line="261" w:lineRule="auto"/>
        <w:tabs>
          <w:tab w:leader="none" w:pos="1929" w:val="left"/>
        </w:tabs>
        <w:numPr>
          <w:ilvl w:val="0"/>
          <w:numId w:val="1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 hereby agrees to indemnify, defend and hold harmless the Buyer and its Affiliates and its and their directors, managers, trustees, officers, agents and employees (the “</w:t>
      </w:r>
      <w:r>
        <w:rPr>
          <w:rFonts w:ascii="Times New Roman" w:cs="Times New Roman" w:eastAsia="Times New Roman" w:hAnsi="Times New Roman"/>
          <w:sz w:val="21"/>
          <w:szCs w:val="21"/>
          <w:u w:val="single" w:color="auto"/>
          <w:color w:val="auto"/>
        </w:rPr>
        <w:t>Buyer Indemnified Parties</w:t>
      </w:r>
      <w:r>
        <w:rPr>
          <w:rFonts w:ascii="Times New Roman" w:cs="Times New Roman" w:eastAsia="Times New Roman" w:hAnsi="Times New Roman"/>
          <w:sz w:val="21"/>
          <w:szCs w:val="21"/>
          <w:color w:val="auto"/>
        </w:rPr>
        <w:t>”) from, against and in respect of all Losses suffered or incurred by the Buyer Indemnified Parties to the extent arising out of or resulting from (i) any breach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ind w:right="40"/>
        <w:spacing w:after="0" w:line="258" w:lineRule="auto"/>
        <w:rPr>
          <w:sz w:val="20"/>
          <w:szCs w:val="20"/>
          <w:color w:val="auto"/>
        </w:rPr>
      </w:pPr>
      <w:r>
        <w:rPr>
          <w:rFonts w:ascii="Times New Roman" w:cs="Times New Roman" w:eastAsia="Times New Roman" w:hAnsi="Times New Roman"/>
          <w:sz w:val="22"/>
          <w:szCs w:val="22"/>
          <w:color w:val="auto"/>
        </w:rPr>
        <w:t>any of the representations or warranties of the Seller in this Agreement, and (ii) any breach of any of the covenants or agreements of the Seller in this Agreement; and</w:t>
      </w:r>
    </w:p>
    <w:p>
      <w:pPr>
        <w:spacing w:after="0" w:line="158" w:lineRule="exact"/>
        <w:rPr>
          <w:sz w:val="20"/>
          <w:szCs w:val="20"/>
          <w:color w:val="auto"/>
        </w:rPr>
      </w:pPr>
    </w:p>
    <w:p>
      <w:pPr>
        <w:ind w:right="360" w:firstLine="1505"/>
        <w:spacing w:after="0" w:line="238" w:lineRule="auto"/>
        <w:tabs>
          <w:tab w:leader="none" w:pos="1929" w:val="left"/>
        </w:tabs>
        <w:numPr>
          <w:ilvl w:val="0"/>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hereby agrees to indemnify, defend and hold harmless the Seller and its Affiliates and its and their directors, officers, agents and employees (the “</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from, against and in respect of all Losses suffered or incurred by the Seller Indemnified Parties to the extent arising out of or resulting from (i) any breach of any of the representations or warranties of the Buyer in this Agreement, and (ii) any breach of any of the covenants or agreements of the Buyer in this Agreement.</w:t>
      </w:r>
    </w:p>
    <w:p>
      <w:pPr>
        <w:spacing w:after="0" w:line="177"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color w:val="010000"/>
        </w:rPr>
        <w:t xml:space="preserve">Section 7.2 </w:t>
      </w:r>
      <w:r>
        <w:rPr>
          <w:rFonts w:ascii="Times New Roman" w:cs="Times New Roman" w:eastAsia="Times New Roman" w:hAnsi="Times New Roman"/>
          <w:sz w:val="22"/>
          <w:szCs w:val="22"/>
          <w:u w:val="single" w:color="auto"/>
          <w:color w:val="000000"/>
        </w:rPr>
        <w:t>Notice of Claims</w:t>
      </w:r>
      <w:r>
        <w:rPr>
          <w:rFonts w:ascii="Times New Roman" w:cs="Times New Roman" w:eastAsia="Times New Roman" w:hAnsi="Times New Roman"/>
          <w:sz w:val="22"/>
          <w:szCs w:val="22"/>
          <w:color w:val="000000"/>
        </w:rPr>
        <w:t>. If either a Buyer Indemnified Party, on the one hand, or a Seller Indemnified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Party, on the other hand (such Buyer Indemnified Party on the one hand and such Seller Indemnified Party on the other hand being hereinafter referred to as an “</w:t>
      </w:r>
      <w:r>
        <w:rPr>
          <w:rFonts w:ascii="Times New Roman" w:cs="Times New Roman" w:eastAsia="Times New Roman" w:hAnsi="Times New Roman"/>
          <w:sz w:val="22"/>
          <w:szCs w:val="22"/>
          <w:u w:val="single" w:color="auto"/>
          <w:color w:val="000000"/>
        </w:rPr>
        <w:t>Indemnified Party</w:t>
      </w:r>
      <w:r>
        <w:rPr>
          <w:rFonts w:ascii="Times New Roman" w:cs="Times New Roman" w:eastAsia="Times New Roman" w:hAnsi="Times New Roman"/>
          <w:sz w:val="22"/>
          <w:szCs w:val="22"/>
          <w:color w:val="000000"/>
        </w:rPr>
        <w:t>”), has suffered or incurred any Losses for which indemnification may be sought under this ARTICLE 7, the Indemnified Party shall so notify the other party from whom indemnification is sought under this ARTICLE 7 (the “</w:t>
      </w:r>
      <w:r>
        <w:rPr>
          <w:rFonts w:ascii="Times New Roman" w:cs="Times New Roman" w:eastAsia="Times New Roman" w:hAnsi="Times New Roman"/>
          <w:sz w:val="22"/>
          <w:szCs w:val="22"/>
          <w:u w:val="single" w:color="auto"/>
          <w:color w:val="000000"/>
        </w:rPr>
        <w:t>Indemnifying Party</w:t>
      </w:r>
      <w:r>
        <w:rPr>
          <w:rFonts w:ascii="Times New Roman" w:cs="Times New Roman" w:eastAsia="Times New Roman" w:hAnsi="Times New Roman"/>
          <w:sz w:val="22"/>
          <w:szCs w:val="22"/>
          <w:color w:val="000000"/>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7,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7.2 shall not limit the obligation of the Indemnifying Party under this ARTICLE 7, except to the extent such Indemnifying Party is actually prejudiced thereby.</w:t>
      </w:r>
    </w:p>
    <w:p>
      <w:pPr>
        <w:spacing w:after="0" w:line="182"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7.3</w:t>
      </w:r>
      <w:r>
        <w:rPr>
          <w:sz w:val="20"/>
          <w:szCs w:val="20"/>
          <w:color w:val="auto"/>
        </w:rPr>
        <w:tab/>
      </w:r>
      <w:r>
        <w:rPr>
          <w:rFonts w:ascii="Times New Roman" w:cs="Times New Roman" w:eastAsia="Times New Roman" w:hAnsi="Times New Roman"/>
          <w:sz w:val="21"/>
          <w:szCs w:val="21"/>
          <w:u w:val="single" w:color="auto"/>
          <w:color w:val="auto"/>
        </w:rPr>
        <w:t>Limitations on Liability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40" w:firstLine="1957"/>
        <w:spacing w:after="0" w:line="233" w:lineRule="auto"/>
        <w:tabs>
          <w:tab w:leader="none" w:pos="3538"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for claims arising from a breach of confidentiality obligations under ARTICLE 8 or in cases of fraud, gross negligence, or willful misconduct, no party hereto shall be liable for any consequential, punitive, special or incidental damages under this ARTICLE 7 (and no claim for indemnification hereunder shall be asserted) as a result of any breach or violation of any representation, warranty, covenant or agreement of such party (including under this ARTICLE 7) in or pursuant to this Agreement. In connection with the foregoing, the parties hereto acknowledge and agree that (i) the Buyer’s damages, if any, for any such action or claim will typically include Losses for Royalty Payments that the Buyer was entitled to receive in respect of its ownership of the Royalty Payments but did not receive timely or at all due to such indemnifiable event and (ii) the Buyer shall be entitled to make claims for all such missing or delayed Royalty Payments as Losses hereunder, and such missing or Royalty Payments shall not be deemed consequential, punitive, special, indirect or incidental damages and such Losses recovered by the Buyer shall be considered Royalty Payments hereunder.</w:t>
      </w:r>
    </w:p>
    <w:p>
      <w:pPr>
        <w:spacing w:after="0" w:line="187" w:lineRule="exact"/>
        <w:rPr>
          <w:rFonts w:ascii="Times New Roman" w:cs="Times New Roman" w:eastAsia="Times New Roman" w:hAnsi="Times New Roman"/>
          <w:sz w:val="22"/>
          <w:szCs w:val="22"/>
          <w:color w:val="010000"/>
        </w:rPr>
      </w:pPr>
    </w:p>
    <w:p>
      <w:pPr>
        <w:ind w:left="3520" w:hanging="423"/>
        <w:spacing w:after="0"/>
        <w:tabs>
          <w:tab w:leader="none" w:pos="3520"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2" w:name="page233"/>
    <w:bookmarkEnd w:id="232"/>
    <w:p>
      <w:pPr>
        <w:ind w:right="40" w:firstLine="1497"/>
        <w:spacing w:after="0" w:line="235" w:lineRule="auto"/>
        <w:rPr>
          <w:sz w:val="20"/>
          <w:szCs w:val="20"/>
          <w:color w:val="auto"/>
        </w:rPr>
      </w:pPr>
      <w:r>
        <w:rPr>
          <w:rFonts w:ascii="Times New Roman" w:cs="Times New Roman" w:eastAsia="Times New Roman" w:hAnsi="Times New Roman"/>
          <w:sz w:val="22"/>
          <w:szCs w:val="22"/>
          <w:color w:val="010000"/>
        </w:rPr>
        <w:t xml:space="preserve">Section 7.4 </w:t>
      </w:r>
      <w:r>
        <w:rPr>
          <w:rFonts w:ascii="Times New Roman" w:cs="Times New Roman" w:eastAsia="Times New Roman" w:hAnsi="Times New Roman"/>
          <w:sz w:val="22"/>
          <w:szCs w:val="22"/>
          <w:u w:val="single" w:color="auto"/>
          <w:color w:val="000000"/>
        </w:rPr>
        <w:t>Exclusive Remedy</w:t>
      </w:r>
      <w:r>
        <w:rPr>
          <w:rFonts w:ascii="Times New Roman" w:cs="Times New Roman" w:eastAsia="Times New Roman" w:hAnsi="Times New Roman"/>
          <w:sz w:val="22"/>
          <w:szCs w:val="22"/>
          <w:color w:val="000000"/>
        </w:rPr>
        <w:t>. Except as set forth in Section 11.11, from and after Closing, the rights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parties hereto pursuant to (and subject to the conditions of) this ARTICLE 7 shall be the sole and exclusive remedy of the parties hereto and their respective Affiliates with respect to any Losses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anything to the contrary in this Agreement, claims for fraud, gross negligence, or willful misconduct shall not be waived or limited in any way by this ARTICLE 7.</w:t>
      </w:r>
    </w:p>
    <w:p>
      <w:pPr>
        <w:spacing w:after="0" w:line="178" w:lineRule="exact"/>
        <w:rPr>
          <w:sz w:val="20"/>
          <w:szCs w:val="20"/>
          <w:color w:val="auto"/>
        </w:rPr>
      </w:pPr>
    </w:p>
    <w:p>
      <w:pPr>
        <w:ind w:right="40"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7.5 </w:t>
      </w:r>
      <w:r>
        <w:rPr>
          <w:rFonts w:ascii="Times New Roman" w:cs="Times New Roman" w:eastAsia="Times New Roman" w:hAnsi="Times New Roman"/>
          <w:sz w:val="22"/>
          <w:szCs w:val="22"/>
          <w:u w:val="single" w:color="auto"/>
          <w:color w:val="000000"/>
        </w:rPr>
        <w:t>Tax Treatment of Indemnification Payments</w:t>
      </w:r>
      <w:r>
        <w:rPr>
          <w:rFonts w:ascii="Times New Roman" w:cs="Times New Roman" w:eastAsia="Times New Roman" w:hAnsi="Times New Roman"/>
          <w:sz w:val="22"/>
          <w:szCs w:val="22"/>
          <w:color w:val="000000"/>
        </w:rPr>
        <w:t>. For all purposes hereunder, any indemnification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payments made pursuant to this ARTICLE 7 will be treated as an adjustment to the Purchase Price for U.S. federal income tax to the fullest extent permitted by applicable law.</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010000"/>
        </w:rPr>
        <w:t>ARTICLE 8</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CONFIDENTIALITY</w:t>
      </w:r>
    </w:p>
    <w:p>
      <w:pPr>
        <w:ind w:firstLine="1497"/>
        <w:spacing w:after="0" w:line="244" w:lineRule="auto"/>
        <w:rPr>
          <w:sz w:val="20"/>
          <w:szCs w:val="20"/>
          <w:color w:val="auto"/>
        </w:rPr>
      </w:pPr>
      <w:r>
        <w:rPr>
          <w:rFonts w:ascii="Times New Roman" w:cs="Times New Roman" w:eastAsia="Times New Roman" w:hAnsi="Times New Roman"/>
          <w:sz w:val="21"/>
          <w:szCs w:val="21"/>
          <w:color w:val="010000"/>
        </w:rPr>
        <w:t xml:space="preserve">Section 8.1 </w:t>
      </w:r>
      <w:r>
        <w:rPr>
          <w:rFonts w:ascii="Times New Roman" w:cs="Times New Roman" w:eastAsia="Times New Roman" w:hAnsi="Times New Roman"/>
          <w:sz w:val="21"/>
          <w:szCs w:val="21"/>
          <w:u w:val="single" w:color="auto"/>
          <w:color w:val="000000"/>
        </w:rPr>
        <w:t>Confidentiality</w:t>
      </w:r>
      <w:r>
        <w:rPr>
          <w:rFonts w:ascii="Times New Roman" w:cs="Times New Roman" w:eastAsia="Times New Roman" w:hAnsi="Times New Roman"/>
          <w:sz w:val="21"/>
          <w:szCs w:val="21"/>
          <w:color w:val="000000"/>
        </w:rPr>
        <w:t>. Except as provided in this ARTICLE 8, Section 11.4 or otherwise agreed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writing by the parties, the parties hereto agree that, during the term of this Agreement and for [***] years thereafter, each party (the “</w:t>
      </w:r>
      <w:r>
        <w:rPr>
          <w:rFonts w:ascii="Times New Roman" w:cs="Times New Roman" w:eastAsia="Times New Roman" w:hAnsi="Times New Roman"/>
          <w:sz w:val="21"/>
          <w:szCs w:val="21"/>
          <w:u w:val="single" w:color="auto"/>
          <w:color w:val="000000"/>
        </w:rPr>
        <w:t>Receiving Party</w:t>
      </w:r>
      <w:r>
        <w:rPr>
          <w:rFonts w:ascii="Times New Roman" w:cs="Times New Roman" w:eastAsia="Times New Roman" w:hAnsi="Times New Roman"/>
          <w:sz w:val="21"/>
          <w:szCs w:val="21"/>
          <w:color w:val="000000"/>
        </w:rPr>
        <w:t>”)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w:t>
      </w:r>
      <w:r>
        <w:rPr>
          <w:rFonts w:ascii="Times New Roman" w:cs="Times New Roman" w:eastAsia="Times New Roman" w:hAnsi="Times New Roman"/>
          <w:sz w:val="21"/>
          <w:szCs w:val="21"/>
          <w:u w:val="single" w:color="auto"/>
          <w:color w:val="000000"/>
        </w:rPr>
        <w:t>Disclosing Party</w:t>
      </w:r>
      <w:r>
        <w:rPr>
          <w:rFonts w:ascii="Times New Roman" w:cs="Times New Roman" w:eastAsia="Times New Roman" w:hAnsi="Times New Roman"/>
          <w:sz w:val="21"/>
          <w:szCs w:val="21"/>
          <w:color w:val="000000"/>
        </w:rPr>
        <w:t>”) pursuant to this Agreement (such information, “</w:t>
      </w:r>
      <w:r>
        <w:rPr>
          <w:rFonts w:ascii="Times New Roman" w:cs="Times New Roman" w:eastAsia="Times New Roman" w:hAnsi="Times New Roman"/>
          <w:sz w:val="21"/>
          <w:szCs w:val="21"/>
          <w:u w:val="single" w:color="auto"/>
          <w:color w:val="000000"/>
        </w:rPr>
        <w:t>Confidential Information</w:t>
      </w:r>
      <w:r>
        <w:rPr>
          <w:rFonts w:ascii="Times New Roman" w:cs="Times New Roman" w:eastAsia="Times New Roman" w:hAnsi="Times New Roman"/>
          <w:sz w:val="21"/>
          <w:szCs w:val="21"/>
          <w:color w:val="000000"/>
        </w:rPr>
        <w:t>” of the Disclosing Party), except for that portion of such information that:</w:t>
      </w:r>
    </w:p>
    <w:p>
      <w:pPr>
        <w:spacing w:after="0" w:line="177" w:lineRule="exact"/>
        <w:rPr>
          <w:sz w:val="20"/>
          <w:szCs w:val="20"/>
          <w:color w:val="auto"/>
        </w:rPr>
      </w:pPr>
    </w:p>
    <w:p>
      <w:pPr>
        <w:ind w:right="100" w:firstLine="1505"/>
        <w:spacing w:after="0" w:line="258" w:lineRule="auto"/>
        <w:tabs>
          <w:tab w:leader="none" w:pos="1929"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was already known to the Receiving Party, other than under an obligation of confidentiality, at the time of disclosure by the Disclosing Party;</w:t>
      </w:r>
    </w:p>
    <w:p>
      <w:pPr>
        <w:spacing w:after="0" w:line="158"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was generally available to the public or otherwise part of the public domain at the time of its disclosure to</w:t>
      </w:r>
    </w:p>
    <w:p>
      <w:pPr>
        <w:spacing w:after="0" w:line="2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the Receiving Party;</w:t>
      </w:r>
    </w:p>
    <w:p>
      <w:pPr>
        <w:spacing w:after="0" w:line="182" w:lineRule="exact"/>
        <w:rPr>
          <w:rFonts w:ascii="Times New Roman" w:cs="Times New Roman" w:eastAsia="Times New Roman" w:hAnsi="Times New Roman"/>
          <w:sz w:val="21"/>
          <w:szCs w:val="21"/>
          <w:color w:val="010000"/>
        </w:rPr>
      </w:pPr>
    </w:p>
    <w:p>
      <w:pPr>
        <w:ind w:right="400" w:firstLine="1505"/>
        <w:spacing w:after="0" w:line="258" w:lineRule="auto"/>
        <w:tabs>
          <w:tab w:leader="none" w:pos="1929"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became generally available to the public or otherwise part of the public domain after its disclosure and other than through any act or omission of the Receiving Party in breach of this Agreement or any other agreement;</w:t>
      </w:r>
    </w:p>
    <w:p>
      <w:pPr>
        <w:spacing w:after="0" w:line="158" w:lineRule="exact"/>
        <w:rPr>
          <w:rFonts w:ascii="Times New Roman" w:cs="Times New Roman" w:eastAsia="Times New Roman" w:hAnsi="Times New Roman"/>
          <w:sz w:val="22"/>
          <w:szCs w:val="22"/>
          <w:color w:val="010000"/>
        </w:rPr>
      </w:pPr>
    </w:p>
    <w:p>
      <w:pPr>
        <w:ind w:right="20" w:firstLine="1505"/>
        <w:spacing w:after="0" w:line="258" w:lineRule="auto"/>
        <w:tabs>
          <w:tab w:leader="none" w:pos="1929"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 independently developed by the Receiving Party or any of its Affiliates, as evidenced by written records, without the use of or reference of the Confidential Information; or</w:t>
      </w:r>
    </w:p>
    <w:p>
      <w:pPr>
        <w:spacing w:after="0" w:line="158" w:lineRule="exact"/>
        <w:rPr>
          <w:rFonts w:ascii="Times New Roman" w:cs="Times New Roman" w:eastAsia="Times New Roman" w:hAnsi="Times New Roman"/>
          <w:sz w:val="22"/>
          <w:szCs w:val="22"/>
          <w:color w:val="010000"/>
        </w:rPr>
      </w:pPr>
    </w:p>
    <w:p>
      <w:pPr>
        <w:ind w:right="540" w:firstLine="1505"/>
        <w:spacing w:after="0" w:line="258" w:lineRule="auto"/>
        <w:tabs>
          <w:tab w:leader="none" w:pos="1929"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 subsequently disclosed to the Receiving Party on a non-confidential basis by a Third Party without obligations of confidentiality with respect thereto.</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33" w:name="page234"/>
    <w:bookmarkEnd w:id="233"/>
    <w:p>
      <w:pPr>
        <w:ind w:left="1480"/>
        <w:spacing w:after="0"/>
        <w:tabs>
          <w:tab w:leader="none" w:pos="2760" w:val="left"/>
        </w:tabs>
        <w:rPr>
          <w:sz w:val="20"/>
          <w:szCs w:val="20"/>
          <w:color w:val="auto"/>
        </w:rPr>
      </w:pPr>
      <w:r>
        <w:rPr>
          <w:rFonts w:ascii="Times New Roman" w:cs="Times New Roman" w:eastAsia="Times New Roman" w:hAnsi="Times New Roman"/>
          <w:sz w:val="22"/>
          <w:szCs w:val="22"/>
          <w:color w:val="010000"/>
        </w:rPr>
        <w:t>Section 8.2</w:t>
      </w:r>
      <w:r>
        <w:rPr>
          <w:sz w:val="20"/>
          <w:szCs w:val="20"/>
          <w:color w:val="auto"/>
        </w:rPr>
        <w:tab/>
      </w:r>
      <w:r>
        <w:rPr>
          <w:rFonts w:ascii="Times New Roman" w:cs="Times New Roman" w:eastAsia="Times New Roman" w:hAnsi="Times New Roman"/>
          <w:sz w:val="21"/>
          <w:szCs w:val="21"/>
          <w:u w:val="single" w:color="auto"/>
          <w:color w:val="auto"/>
        </w:rPr>
        <w:t>Authorized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0" w:right="600" w:firstLine="1505"/>
        <w:spacing w:after="0" w:line="258" w:lineRule="auto"/>
        <w:tabs>
          <w:tab w:leader="none" w:pos="1909"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Either party hereto may disclose Confidential Information to the extent such disclosure is reasonably necessary in the following situations:</w:t>
      </w:r>
    </w:p>
    <w:p>
      <w:pPr>
        <w:spacing w:after="0" w:line="158" w:lineRule="exact"/>
        <w:rPr>
          <w:rFonts w:ascii="Times New Roman" w:cs="Times New Roman" w:eastAsia="Times New Roman" w:hAnsi="Times New Roman"/>
          <w:sz w:val="22"/>
          <w:szCs w:val="22"/>
          <w:color w:val="010000"/>
        </w:rPr>
      </w:pPr>
    </w:p>
    <w:p>
      <w:pPr>
        <w:ind w:left="2660" w:hanging="426"/>
        <w:spacing w:after="0"/>
        <w:tabs>
          <w:tab w:leader="none" w:pos="2660"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prosecuting or defending litigation;</w:t>
      </w:r>
    </w:p>
    <w:p>
      <w:pPr>
        <w:spacing w:after="0" w:line="206" w:lineRule="exact"/>
        <w:rPr>
          <w:rFonts w:ascii="Times New Roman" w:cs="Times New Roman" w:eastAsia="Times New Roman" w:hAnsi="Times New Roman"/>
          <w:sz w:val="22"/>
          <w:szCs w:val="22"/>
          <w:color w:val="010000"/>
        </w:rPr>
      </w:pPr>
    </w:p>
    <w:p>
      <w:pPr>
        <w:ind w:left="2660" w:hanging="426"/>
        <w:spacing w:after="0"/>
        <w:tabs>
          <w:tab w:leader="none" w:pos="2660"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complying with applicable laws and regulations, including regulations promulgated by securities</w:t>
      </w:r>
    </w:p>
    <w:p>
      <w:pPr>
        <w:spacing w:after="0" w:line="14" w:lineRule="exact"/>
        <w:rPr>
          <w:rFonts w:ascii="Times New Roman" w:cs="Times New Roman" w:eastAsia="Times New Roman" w:hAnsi="Times New Roman"/>
          <w:sz w:val="22"/>
          <w:szCs w:val="22"/>
          <w:color w:val="010000"/>
        </w:rPr>
      </w:pPr>
    </w:p>
    <w:p>
      <w:pPr>
        <w:ind w:left="148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exchanges;</w:t>
      </w:r>
    </w:p>
    <w:p>
      <w:pPr>
        <w:spacing w:after="0" w:line="182" w:lineRule="exact"/>
        <w:rPr>
          <w:rFonts w:ascii="Times New Roman" w:cs="Times New Roman" w:eastAsia="Times New Roman" w:hAnsi="Times New Roman"/>
          <w:sz w:val="22"/>
          <w:szCs w:val="22"/>
          <w:color w:val="010000"/>
        </w:rPr>
      </w:pPr>
    </w:p>
    <w:p>
      <w:pPr>
        <w:ind w:left="2660" w:hanging="426"/>
        <w:spacing w:after="0"/>
        <w:tabs>
          <w:tab w:leader="none" w:pos="2660"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complying with a valid order of a court of competent jurisdiction or other Governmental Entity;</w:t>
      </w:r>
    </w:p>
    <w:p>
      <w:pPr>
        <w:spacing w:after="0" w:line="206" w:lineRule="exact"/>
        <w:rPr>
          <w:rFonts w:ascii="Times New Roman" w:cs="Times New Roman" w:eastAsia="Times New Roman" w:hAnsi="Times New Roman"/>
          <w:sz w:val="22"/>
          <w:szCs w:val="22"/>
          <w:color w:val="010000"/>
        </w:rPr>
      </w:pPr>
    </w:p>
    <w:p>
      <w:pPr>
        <w:ind w:left="2660" w:hanging="426"/>
        <w:spacing w:after="0"/>
        <w:tabs>
          <w:tab w:leader="none" w:pos="2660"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regulatory, Tax or customs purposes;</w:t>
      </w:r>
    </w:p>
    <w:p>
      <w:pPr>
        <w:spacing w:after="0" w:line="206" w:lineRule="exact"/>
        <w:rPr>
          <w:rFonts w:ascii="Times New Roman" w:cs="Times New Roman" w:eastAsia="Times New Roman" w:hAnsi="Times New Roman"/>
          <w:sz w:val="22"/>
          <w:szCs w:val="22"/>
          <w:color w:val="010000"/>
        </w:rPr>
      </w:pPr>
    </w:p>
    <w:p>
      <w:pPr>
        <w:ind w:left="1480" w:right="440" w:firstLine="754"/>
        <w:spacing w:after="0" w:line="258" w:lineRule="auto"/>
        <w:tabs>
          <w:tab w:leader="none" w:pos="2661"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audit purposes, provided that each recipient of Confidential Information must be bound by customary and reasonable obligations of confidentiality and non-use prior to any such disclosure;</w:t>
      </w:r>
    </w:p>
    <w:p>
      <w:pPr>
        <w:spacing w:after="0" w:line="158" w:lineRule="exact"/>
        <w:rPr>
          <w:rFonts w:ascii="Times New Roman" w:cs="Times New Roman" w:eastAsia="Times New Roman" w:hAnsi="Times New Roman"/>
          <w:sz w:val="22"/>
          <w:szCs w:val="22"/>
          <w:color w:val="010000"/>
        </w:rPr>
      </w:pPr>
    </w:p>
    <w:p>
      <w:pPr>
        <w:ind w:left="1480" w:firstLine="754"/>
        <w:spacing w:after="0" w:line="261" w:lineRule="auto"/>
        <w:tabs>
          <w:tab w:leader="none" w:pos="2661" w:val="left"/>
        </w:tabs>
        <w:numPr>
          <w:ilvl w:val="1"/>
          <w:numId w:val="1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disclosure to its Affiliates and Representatives on a need-to-know basis, provided that each such recipient of Confidential Information must be bound by contractual or professional obligations of confidentiality and non-use at least as stringent as those imposed upon the parties hereunder prior to any such disclosure;</w:t>
      </w:r>
    </w:p>
    <w:p>
      <w:pPr>
        <w:spacing w:after="0" w:line="157" w:lineRule="exact"/>
        <w:rPr>
          <w:rFonts w:ascii="Times New Roman" w:cs="Times New Roman" w:eastAsia="Times New Roman" w:hAnsi="Times New Roman"/>
          <w:sz w:val="21"/>
          <w:szCs w:val="21"/>
          <w:color w:val="010000"/>
        </w:rPr>
      </w:pPr>
    </w:p>
    <w:p>
      <w:pPr>
        <w:ind w:left="2660" w:hanging="426"/>
        <w:spacing w:after="0"/>
        <w:tabs>
          <w:tab w:leader="none" w:pos="2660"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prior written consent of the Disclosing Party;</w:t>
      </w:r>
    </w:p>
    <w:p>
      <w:pPr>
        <w:spacing w:after="0" w:line="206" w:lineRule="exact"/>
        <w:rPr>
          <w:rFonts w:ascii="Times New Roman" w:cs="Times New Roman" w:eastAsia="Times New Roman" w:hAnsi="Times New Roman"/>
          <w:sz w:val="22"/>
          <w:szCs w:val="22"/>
          <w:color w:val="010000"/>
        </w:rPr>
      </w:pPr>
    </w:p>
    <w:p>
      <w:pPr>
        <w:ind w:left="1480" w:right="60" w:firstLine="754"/>
        <w:spacing w:after="0" w:line="236" w:lineRule="auto"/>
        <w:tabs>
          <w:tab w:leader="none" w:pos="3093"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 to its potential or actual investors, financing sources, other sources of funding, including debt financing sources, partners, collaborators or acquirers, and their respective accountants, financial advisors and other professional representatives, provided that such disclosure shall be made only to the extent customarily required to consummate or required to perform such investment, financing transaction partnership, collaboration or acquisition and that each recipient of Confidential Information must be bound by customary obligations of confidentiality and non-use prior to any such disclosure;</w:t>
      </w:r>
    </w:p>
    <w:p>
      <w:pPr>
        <w:spacing w:after="0" w:line="181" w:lineRule="exact"/>
        <w:rPr>
          <w:rFonts w:ascii="Times New Roman" w:cs="Times New Roman" w:eastAsia="Times New Roman" w:hAnsi="Times New Roman"/>
          <w:sz w:val="22"/>
          <w:szCs w:val="22"/>
          <w:color w:val="010000"/>
        </w:rPr>
      </w:pPr>
    </w:p>
    <w:p>
      <w:pPr>
        <w:ind w:left="2660" w:hanging="426"/>
        <w:spacing w:after="0"/>
        <w:tabs>
          <w:tab w:leader="none" w:pos="2660"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is necessary in connection with a permitted assignment pursuant to Section 11.4.</w:t>
      </w:r>
    </w:p>
    <w:p>
      <w:pPr>
        <w:spacing w:after="0" w:line="206" w:lineRule="exact"/>
        <w:rPr>
          <w:rFonts w:ascii="Times New Roman" w:cs="Times New Roman" w:eastAsia="Times New Roman" w:hAnsi="Times New Roman"/>
          <w:sz w:val="22"/>
          <w:szCs w:val="22"/>
          <w:color w:val="010000"/>
        </w:rPr>
      </w:pPr>
    </w:p>
    <w:p>
      <w:pPr>
        <w:jc w:val="both"/>
        <w:ind w:left="-20" w:right="380" w:firstLine="1505"/>
        <w:spacing w:after="0" w:line="239" w:lineRule="auto"/>
        <w:tabs>
          <w:tab w:leader="none" w:pos="1909"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in the event the Receiving Party is required to make a disclosure of the Disclosing Party’s Confidential Information pursuant to Section 8.2(a)(i), (ii), (iii) or (iv), it will, except where impracticable, give reasonable advance notice to the Disclosing Party of such disclosure and use reasonable efforts to secure confidential treatment of such information.</w:t>
      </w:r>
    </w:p>
    <w:p>
      <w:pPr>
        <w:spacing w:after="0" w:line="180" w:lineRule="exact"/>
        <w:rPr>
          <w:rFonts w:ascii="Times New Roman" w:cs="Times New Roman" w:eastAsia="Times New Roman" w:hAnsi="Times New Roman"/>
          <w:sz w:val="22"/>
          <w:szCs w:val="22"/>
          <w:color w:val="010000"/>
        </w:rPr>
      </w:pPr>
    </w:p>
    <w:p>
      <w:pPr>
        <w:ind w:left="-20" w:right="640" w:firstLine="1505"/>
        <w:spacing w:after="0" w:line="258" w:lineRule="auto"/>
        <w:tabs>
          <w:tab w:leader="none" w:pos="1909"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Effective upon the date hereof, any confidentiality agreement entered into by the parties hereto shall terminate and be of no further force or effect, and shall be superseded by the provisions of this ARTICLE‎ 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22"/>
          <w:szCs w:val="22"/>
          <w:color w:val="010000"/>
        </w:rPr>
        <w:t>ARTICLE 9</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TERMINATION</w:t>
      </w:r>
    </w:p>
    <w:p>
      <w:pPr>
        <w:ind w:right="440" w:firstLine="1497"/>
        <w:spacing w:after="0" w:line="237" w:lineRule="auto"/>
        <w:rPr>
          <w:sz w:val="20"/>
          <w:szCs w:val="20"/>
          <w:color w:val="auto"/>
        </w:rPr>
      </w:pPr>
      <w:r>
        <w:rPr>
          <w:rFonts w:ascii="Times New Roman" w:cs="Times New Roman" w:eastAsia="Times New Roman" w:hAnsi="Times New Roman"/>
          <w:sz w:val="22"/>
          <w:szCs w:val="22"/>
          <w:color w:val="010000"/>
        </w:rPr>
        <w:t xml:space="preserve">Section 9.1 </w:t>
      </w:r>
      <w:r>
        <w:rPr>
          <w:rFonts w:ascii="Times New Roman" w:cs="Times New Roman" w:eastAsia="Times New Roman" w:hAnsi="Times New Roman"/>
          <w:sz w:val="22"/>
          <w:szCs w:val="22"/>
          <w:u w:val="single" w:color="auto"/>
          <w:color w:val="000000"/>
        </w:rPr>
        <w:t>Mutual Termination</w:t>
      </w:r>
      <w:r>
        <w:rPr>
          <w:rFonts w:ascii="Times New Roman" w:cs="Times New Roman" w:eastAsia="Times New Roman" w:hAnsi="Times New Roman"/>
          <w:sz w:val="22"/>
          <w:szCs w:val="22"/>
          <w:color w:val="000000"/>
        </w:rPr>
        <w:t>. This Agreement may be terminated by mutual written agreement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Buyer and the Seller.</w:t>
      </w:r>
    </w:p>
    <w:p>
      <w:pPr>
        <w:spacing w:after="0" w:line="17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9.2</w:t>
      </w:r>
      <w:r>
        <w:rPr>
          <w:sz w:val="20"/>
          <w:szCs w:val="20"/>
          <w:color w:val="auto"/>
        </w:rPr>
        <w:tab/>
      </w:r>
      <w:r>
        <w:rPr>
          <w:rFonts w:ascii="Times New Roman" w:cs="Times New Roman" w:eastAsia="Times New Roman" w:hAnsi="Times New Roman"/>
          <w:sz w:val="21"/>
          <w:szCs w:val="21"/>
          <w:u w:val="single" w:color="auto"/>
          <w:color w:val="auto"/>
        </w:rPr>
        <w:t>Buyer Termination Upon Failure to Achieve Closing Conditions</w:t>
      </w:r>
      <w:r>
        <w:rPr>
          <w:rFonts w:ascii="Times New Roman" w:cs="Times New Roman" w:eastAsia="Times New Roman" w:hAnsi="Times New Roman"/>
          <w:sz w:val="21"/>
          <w:szCs w:val="21"/>
          <w:color w:val="auto"/>
        </w:rPr>
        <w:t>. [***].</w:t>
      </w:r>
    </w:p>
    <w:p>
      <w:pPr>
        <w:spacing w:after="0" w:line="206" w:lineRule="exact"/>
        <w:rPr>
          <w:sz w:val="20"/>
          <w:szCs w:val="20"/>
          <w:color w:val="auto"/>
        </w:rPr>
      </w:pPr>
    </w:p>
    <w:p>
      <w:pPr>
        <w:ind w:firstLine="1497"/>
        <w:spacing w:after="0" w:line="239" w:lineRule="auto"/>
        <w:rPr>
          <w:sz w:val="20"/>
          <w:szCs w:val="20"/>
          <w:color w:val="auto"/>
        </w:rPr>
      </w:pPr>
      <w:r>
        <w:rPr>
          <w:rFonts w:ascii="Times New Roman" w:cs="Times New Roman" w:eastAsia="Times New Roman" w:hAnsi="Times New Roman"/>
          <w:sz w:val="22"/>
          <w:szCs w:val="22"/>
          <w:color w:val="010000"/>
        </w:rPr>
        <w:t xml:space="preserve">Section 9.3 </w:t>
      </w:r>
      <w:r>
        <w:rPr>
          <w:rFonts w:ascii="Times New Roman" w:cs="Times New Roman" w:eastAsia="Times New Roman" w:hAnsi="Times New Roman"/>
          <w:sz w:val="22"/>
          <w:szCs w:val="22"/>
          <w:u w:val="single" w:color="auto"/>
          <w:color w:val="000000"/>
        </w:rPr>
        <w:t>Buyer Termination for BlackBox Warnings or Unexpected Contraindications</w:t>
      </w:r>
      <w:r>
        <w:rPr>
          <w:rFonts w:ascii="Times New Roman" w:cs="Times New Roman" w:eastAsia="Times New Roman" w:hAnsi="Times New Roman"/>
          <w:sz w:val="22"/>
          <w:szCs w:val="22"/>
          <w:color w:val="000000"/>
        </w:rPr>
        <w:t>. On or prior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Marketing Approval Deadline (including any extension thereof), if the Seller receives U.S. Marketing Approval with any BlackBox Warnings or one or more Unexpected Contraindications, then the Buyer may terminate this Agreement immediately by delivering written notice to the Seller of such election.</w:t>
      </w:r>
    </w:p>
    <w:p>
      <w:pPr>
        <w:spacing w:after="0" w:line="180" w:lineRule="exact"/>
        <w:rPr>
          <w:sz w:val="20"/>
          <w:szCs w:val="20"/>
          <w:color w:val="auto"/>
        </w:rPr>
      </w:pPr>
    </w:p>
    <w:p>
      <w:pPr>
        <w:ind w:right="160" w:firstLine="1497"/>
        <w:spacing w:after="0" w:line="239" w:lineRule="auto"/>
        <w:rPr>
          <w:sz w:val="20"/>
          <w:szCs w:val="20"/>
          <w:color w:val="auto"/>
        </w:rPr>
      </w:pPr>
      <w:r>
        <w:rPr>
          <w:rFonts w:ascii="Times New Roman" w:cs="Times New Roman" w:eastAsia="Times New Roman" w:hAnsi="Times New Roman"/>
          <w:sz w:val="22"/>
          <w:szCs w:val="22"/>
          <w:color w:val="010000"/>
        </w:rPr>
        <w:t xml:space="preserve">Section 9.4 </w:t>
      </w:r>
      <w:r>
        <w:rPr>
          <w:rFonts w:ascii="Times New Roman" w:cs="Times New Roman" w:eastAsia="Times New Roman" w:hAnsi="Times New Roman"/>
          <w:sz w:val="22"/>
          <w:szCs w:val="22"/>
          <w:u w:val="single" w:color="auto"/>
          <w:color w:val="000000"/>
        </w:rPr>
        <w:t>Automatic Termination Following Royalty Termination Date</w:t>
      </w:r>
      <w:r>
        <w:rPr>
          <w:rFonts w:ascii="Times New Roman" w:cs="Times New Roman" w:eastAsia="Times New Roman" w:hAnsi="Times New Roman"/>
          <w:sz w:val="22"/>
          <w:szCs w:val="22"/>
          <w:color w:val="000000"/>
        </w:rPr>
        <w:t>. Unless earlier terminated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provided in Section 9.1, Section 9.2, Section 9.3 or Section 9.4, following the date hereof, this Agreement shall continue in full force and effect until [***] calendar days after the Royalty Termination Date, at which point this Agreement shall automatically terminate, except with respect to any rights that shall have accrued prior to such termination.</w:t>
      </w:r>
    </w:p>
    <w:p>
      <w:pPr>
        <w:spacing w:after="0" w:line="180" w:lineRule="exact"/>
        <w:rPr>
          <w:sz w:val="20"/>
          <w:szCs w:val="20"/>
          <w:color w:val="auto"/>
        </w:rPr>
      </w:pPr>
    </w:p>
    <w:p>
      <w:pPr>
        <w:ind w:right="740" w:firstLine="1497"/>
        <w:spacing w:after="0" w:line="258" w:lineRule="auto"/>
        <w:rPr>
          <w:sz w:val="20"/>
          <w:szCs w:val="20"/>
          <w:color w:val="auto"/>
        </w:rPr>
      </w:pPr>
      <w:r>
        <w:rPr>
          <w:rFonts w:ascii="Times New Roman" w:cs="Times New Roman" w:eastAsia="Times New Roman" w:hAnsi="Times New Roman"/>
          <w:sz w:val="22"/>
          <w:szCs w:val="22"/>
          <w:color w:val="010000"/>
        </w:rPr>
        <w:t xml:space="preserve">Section 9.5 </w:t>
      </w:r>
      <w:r>
        <w:rPr>
          <w:rFonts w:ascii="Times New Roman" w:cs="Times New Roman" w:eastAsia="Times New Roman" w:hAnsi="Times New Roman"/>
          <w:sz w:val="22"/>
          <w:szCs w:val="22"/>
          <w:u w:val="single" w:color="auto"/>
          <w:color w:val="000000"/>
        </w:rPr>
        <w:t>Automatic Termination upon CoC Payment</w:t>
      </w:r>
      <w:r>
        <w:rPr>
          <w:rFonts w:ascii="Times New Roman" w:cs="Times New Roman" w:eastAsia="Times New Roman" w:hAnsi="Times New Roman"/>
          <w:sz w:val="22"/>
          <w:szCs w:val="22"/>
          <w:color w:val="000000"/>
        </w:rPr>
        <w:t>. Upon Buyer’s receipt of the applicable CoC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Payment, this Agreement shall automatically terminate.</w:t>
      </w:r>
    </w:p>
    <w:p>
      <w:pPr>
        <w:spacing w:after="0" w:line="158" w:lineRule="exact"/>
        <w:rPr>
          <w:sz w:val="20"/>
          <w:szCs w:val="20"/>
          <w:color w:val="auto"/>
        </w:rPr>
      </w:pPr>
    </w:p>
    <w:p>
      <w:pPr>
        <w:ind w:right="60" w:firstLine="1497"/>
        <w:spacing w:after="0" w:line="236" w:lineRule="auto"/>
        <w:rPr>
          <w:sz w:val="20"/>
          <w:szCs w:val="20"/>
          <w:color w:val="auto"/>
        </w:rPr>
      </w:pPr>
      <w:r>
        <w:rPr>
          <w:rFonts w:ascii="Times New Roman" w:cs="Times New Roman" w:eastAsia="Times New Roman" w:hAnsi="Times New Roman"/>
          <w:sz w:val="22"/>
          <w:szCs w:val="22"/>
          <w:color w:val="010000"/>
        </w:rPr>
        <w:t xml:space="preserve">Section 9.6 </w:t>
      </w:r>
      <w:r>
        <w:rPr>
          <w:rFonts w:ascii="Times New Roman" w:cs="Times New Roman" w:eastAsia="Times New Roman" w:hAnsi="Times New Roman"/>
          <w:sz w:val="22"/>
          <w:szCs w:val="22"/>
          <w:u w:val="single" w:color="auto"/>
          <w:color w:val="000000"/>
        </w:rPr>
        <w:t>Effect of Termination</w:t>
      </w:r>
      <w:r>
        <w:rPr>
          <w:rFonts w:ascii="Times New Roman" w:cs="Times New Roman" w:eastAsia="Times New Roman" w:hAnsi="Times New Roman"/>
          <w:sz w:val="22"/>
          <w:szCs w:val="22"/>
          <w:color w:val="000000"/>
        </w:rPr>
        <w:t>. If the Buyer terminates this Agreement under Section 9.2(b) due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Seller failing to achieve the Indebtedness Condition, then the Seller shall pay to the Buyer [***] within [***] Business Days of receipt of the applicable notice under Section 9.2(b). Upon termination of this Agreement, all rights and obligations of the parties hereunder and in respect of the Revenue Participation Right (other than any obligation or right accruing prior to such termination or as a result of such termination) shall automatically be deemed to be released and irrevocably terminated without any further action of the parties hereunder.</w:t>
      </w:r>
    </w:p>
    <w:p>
      <w:pPr>
        <w:spacing w:after="0" w:line="181" w:lineRule="exact"/>
        <w:rPr>
          <w:sz w:val="20"/>
          <w:szCs w:val="20"/>
          <w:color w:val="auto"/>
        </w:rPr>
      </w:pPr>
    </w:p>
    <w:p>
      <w:pPr>
        <w:ind w:right="40" w:firstLine="1497"/>
        <w:spacing w:after="0" w:line="235" w:lineRule="auto"/>
        <w:rPr>
          <w:sz w:val="20"/>
          <w:szCs w:val="20"/>
          <w:color w:val="auto"/>
        </w:rPr>
      </w:pPr>
      <w:r>
        <w:rPr>
          <w:rFonts w:ascii="Times New Roman" w:cs="Times New Roman" w:eastAsia="Times New Roman" w:hAnsi="Times New Roman"/>
          <w:sz w:val="22"/>
          <w:szCs w:val="22"/>
          <w:color w:val="010000"/>
        </w:rPr>
        <w:t xml:space="preserve">Section 9.7 </w:t>
      </w:r>
      <w:r>
        <w:rPr>
          <w:rFonts w:ascii="Times New Roman" w:cs="Times New Roman" w:eastAsia="Times New Roman" w:hAnsi="Times New Roman"/>
          <w:sz w:val="22"/>
          <w:szCs w:val="22"/>
          <w:u w:val="single" w:color="auto"/>
          <w:color w:val="000000"/>
        </w:rPr>
        <w:t>Survival</w:t>
      </w:r>
      <w:r>
        <w:rPr>
          <w:rFonts w:ascii="Times New Roman" w:cs="Times New Roman" w:eastAsia="Times New Roman" w:hAnsi="Times New Roman"/>
          <w:sz w:val="22"/>
          <w:szCs w:val="22"/>
          <w:color w:val="000000"/>
        </w:rPr>
        <w:t>. Notwithstanding anything to the contrary in this ARTICLE 9, the following provisions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survive termination of this Agreement: Section 6.3 (Disclosures), Section 6.4 (Inspections and Audits of the Seller) (unless terminated prior to Closing), ARTICLE 7 (Indemnification), ARTICLE 8 (Confidentiality), Section 9.6 (Effect of Termination) (solely if the Buyer terminates this Agreement under Section 9.2(b)), this Section 9.7 (Survival) and ARTICLE 11 (Miscellaneous). Termination of the Agreement shall not relieve any party hereto of any obligation or right accruing prior to such termination or as a result of such termination, including any liability in respect of breaches under this Agreement by any party on or prior to such termination.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22"/>
          <w:szCs w:val="22"/>
          <w:color w:val="010000"/>
        </w:rPr>
        <w:t>ARTICLE 10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EVENTS OF DEFAULT REMEDIES</w:t>
      </w:r>
    </w:p>
    <w:p>
      <w:pPr>
        <w:ind w:right="40" w:firstLine="1497"/>
        <w:spacing w:after="0" w:line="242" w:lineRule="auto"/>
        <w:rPr>
          <w:sz w:val="20"/>
          <w:szCs w:val="20"/>
          <w:color w:val="auto"/>
        </w:rPr>
      </w:pPr>
      <w:r>
        <w:rPr>
          <w:rFonts w:ascii="Times New Roman" w:cs="Times New Roman" w:eastAsia="Times New Roman" w:hAnsi="Times New Roman"/>
          <w:sz w:val="21"/>
          <w:szCs w:val="21"/>
          <w:color w:val="010000"/>
        </w:rPr>
        <w:t xml:space="preserve">Section 10.1 </w:t>
      </w:r>
      <w:r>
        <w:rPr>
          <w:rFonts w:ascii="Times New Roman" w:cs="Times New Roman" w:eastAsia="Times New Roman" w:hAnsi="Times New Roman"/>
          <w:sz w:val="21"/>
          <w:szCs w:val="21"/>
          <w:u w:val="single" w:color="auto"/>
          <w:color w:val="000000"/>
        </w:rPr>
        <w:t>Remedies Upon Event of Default</w:t>
      </w:r>
      <w:r>
        <w:rPr>
          <w:rFonts w:ascii="Times New Roman" w:cs="Times New Roman" w:eastAsia="Times New Roman" w:hAnsi="Times New Roman"/>
          <w:sz w:val="21"/>
          <w:szCs w:val="21"/>
          <w:color w:val="000000"/>
        </w:rPr>
        <w:t>. If any Event of Default under clause (d) of the definition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thereof has occurred and is continuing, the Seller shall immediately pay the Royalty Cap amount (less the aggregate of all of the payments of the Seller in respect of the Royalty Payments made to the Buyer prior to such date) to the Buyer or the Buyer’s designee without demand, presentment, notice of demand or of dishonor and nonpayment, protest, notice of protest, notice of intention to accelerate, declaration or notice of acceleration or any other notice or declaration of any kind, all of which are hereby expressly waived by the Seller. In addition, if any other Event of Default has occurred and is continuing, the Buyer may declare any or all of the Royalty Cap amount (less the aggregate of all of the payments of the Seller in respect of the Royalty Payments made to the Buyer prior to such date) immediately due and payable (and all of such amounts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the Seller) or otherwise exercise all rights and remedies available to it under this Agreement and applicable law. Subject to the exercise of any rights it may have under an Acceptable Intercreditor Agreement, after the occurrence and during the continuation of an Event of Default but prior to the occurrence of a Recharacterization Event, the Buyer shall not be entitled to, and the Buyer agrees that it shall not, exercise any rights as a secured creditor under the UCC other than rights provided to a purchaser of accounts or payment intangibles in respect of such purchased accounts or payment intangibles.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010000"/>
        </w:rPr>
        <w:t>ARTICLE 11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MISCELLANEOUS</w:t>
      </w:r>
    </w:p>
    <w:p>
      <w:pPr>
        <w:jc w:val="both"/>
        <w:ind w:right="80" w:firstLine="1497"/>
        <w:spacing w:after="0" w:line="235" w:lineRule="auto"/>
        <w:rPr>
          <w:sz w:val="20"/>
          <w:szCs w:val="20"/>
          <w:color w:val="auto"/>
        </w:rPr>
      </w:pPr>
      <w:r>
        <w:rPr>
          <w:rFonts w:ascii="Times New Roman" w:cs="Times New Roman" w:eastAsia="Times New Roman" w:hAnsi="Times New Roman"/>
          <w:sz w:val="22"/>
          <w:szCs w:val="22"/>
          <w:color w:val="010000"/>
        </w:rPr>
        <w:t xml:space="preserve">Section 11.1 </w:t>
      </w:r>
      <w:r>
        <w:rPr>
          <w:rFonts w:ascii="Times New Roman" w:cs="Times New Roman" w:eastAsia="Times New Roman" w:hAnsi="Times New Roman"/>
          <w:sz w:val="22"/>
          <w:szCs w:val="22"/>
          <w:u w:val="single" w:color="auto"/>
          <w:color w:val="000000"/>
        </w:rPr>
        <w:t>Headings</w:t>
      </w:r>
      <w:r>
        <w:rPr>
          <w:rFonts w:ascii="Times New Roman" w:cs="Times New Roman" w:eastAsia="Times New Roman" w:hAnsi="Times New Roman"/>
          <w:sz w:val="22"/>
          <w:szCs w:val="22"/>
          <w:color w:val="000000"/>
        </w:rPr>
        <w:t>. The table of contents and the descriptive headings of the several Articles and Sections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this Agreement and the Exhibits and Schedules are for convenience only, do not constitute a part of this Agreement and shall not control or affect, in any way, the meaning or interpretation of this Agreement.</w:t>
      </w:r>
    </w:p>
    <w:p>
      <w:pPr>
        <w:spacing w:after="0" w:line="178"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11.2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All notices and other communications under this Agreement shall be in writing and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by email with PDF attachment, courier service or personal delivery to the following addresses, or to such other addresses as shall be designated from time to time by a party hereto in accordance with this Section 11.2:</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Seller, to it at:</w:t>
      </w:r>
    </w:p>
    <w:p>
      <w:pPr>
        <w:spacing w:after="0" w:line="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Candel Therapeutics, Inc.</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117 Kendrick Street, Suite 450</w:t>
      </w:r>
    </w:p>
    <w:p>
      <w:pPr>
        <w:ind w:left="1880"/>
        <w:spacing w:after="0" w:line="230" w:lineRule="auto"/>
        <w:rPr>
          <w:sz w:val="20"/>
          <w:szCs w:val="20"/>
          <w:color w:val="auto"/>
        </w:rPr>
      </w:pPr>
      <w:r>
        <w:rPr>
          <w:rFonts w:ascii="Times New Roman" w:cs="Times New Roman" w:eastAsia="Times New Roman" w:hAnsi="Times New Roman"/>
          <w:sz w:val="22"/>
          <w:szCs w:val="22"/>
          <w:color w:val="auto"/>
        </w:rPr>
        <w:t>Needham, MA 02494</w:t>
      </w:r>
    </w:p>
    <w:p>
      <w:pPr>
        <w:ind w:left="1880"/>
        <w:spacing w:after="0" w:line="231" w:lineRule="auto"/>
        <w:rPr>
          <w:sz w:val="20"/>
          <w:szCs w:val="20"/>
          <w:color w:val="auto"/>
        </w:rPr>
      </w:pPr>
      <w:r>
        <w:rPr>
          <w:rFonts w:ascii="Times New Roman" w:cs="Times New Roman" w:eastAsia="Times New Roman" w:hAnsi="Times New Roman"/>
          <w:sz w:val="22"/>
          <w:szCs w:val="22"/>
          <w:color w:val="auto"/>
        </w:rPr>
        <w:t>Attention: [***]</w:t>
      </w:r>
    </w:p>
    <w:p>
      <w:pPr>
        <w:ind w:left="188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6" w:name="page237"/>
    <w:bookmarkEnd w:id="236"/>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100 Northern Ave</w:t>
      </w:r>
    </w:p>
    <w:p>
      <w:pPr>
        <w:ind w:left="1880"/>
        <w:spacing w:after="0" w:line="230" w:lineRule="auto"/>
        <w:rPr>
          <w:sz w:val="20"/>
          <w:szCs w:val="20"/>
          <w:color w:val="auto"/>
        </w:rPr>
      </w:pPr>
      <w:r>
        <w:rPr>
          <w:rFonts w:ascii="Times New Roman" w:cs="Times New Roman" w:eastAsia="Times New Roman" w:hAnsi="Times New Roman"/>
          <w:sz w:val="22"/>
          <w:szCs w:val="22"/>
          <w:color w:val="auto"/>
        </w:rPr>
        <w:t>Boston, MA 02210</w:t>
      </w:r>
    </w:p>
    <w:p>
      <w:pPr>
        <w:ind w:left="1880"/>
        <w:spacing w:after="0" w:line="231" w:lineRule="auto"/>
        <w:rPr>
          <w:sz w:val="20"/>
          <w:szCs w:val="20"/>
          <w:color w:val="auto"/>
        </w:rPr>
      </w:pPr>
      <w:r>
        <w:rPr>
          <w:rFonts w:ascii="Times New Roman" w:cs="Times New Roman" w:eastAsia="Times New Roman" w:hAnsi="Times New Roman"/>
          <w:sz w:val="22"/>
          <w:szCs w:val="22"/>
          <w:color w:val="auto"/>
        </w:rPr>
        <w:t>Attention: Bill Collins and/or Jacqueline Mercier</w:t>
      </w:r>
    </w:p>
    <w:p>
      <w:pPr>
        <w:ind w:left="1880"/>
        <w:spacing w:after="0"/>
        <w:rPr>
          <w:sz w:val="20"/>
          <w:szCs w:val="20"/>
          <w:color w:val="auto"/>
        </w:rPr>
      </w:pPr>
      <w:r>
        <w:rPr>
          <w:rFonts w:ascii="Times New Roman" w:cs="Times New Roman" w:eastAsia="Times New Roman" w:hAnsi="Times New Roman"/>
          <w:sz w:val="22"/>
          <w:szCs w:val="22"/>
          <w:color w:val="auto"/>
        </w:rPr>
        <w:t>E-mail: WCollins@goodwinlaw.com; JMercier@goodwinlaw.com</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Buyer, to it at:</w:t>
      </w:r>
    </w:p>
    <w:p>
      <w:pPr>
        <w:spacing w:after="0" w:line="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4010 Royalty Investments ICAV</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10 Earlsfort Terrace</w:t>
      </w:r>
    </w:p>
    <w:p>
      <w:pPr>
        <w:ind w:left="1880"/>
        <w:spacing w:after="0" w:line="230" w:lineRule="auto"/>
        <w:rPr>
          <w:sz w:val="20"/>
          <w:szCs w:val="20"/>
          <w:color w:val="auto"/>
        </w:rPr>
      </w:pPr>
      <w:r>
        <w:rPr>
          <w:rFonts w:ascii="Times New Roman" w:cs="Times New Roman" w:eastAsia="Times New Roman" w:hAnsi="Times New Roman"/>
          <w:sz w:val="22"/>
          <w:szCs w:val="22"/>
          <w:color w:val="auto"/>
        </w:rPr>
        <w:t>Dublin 2</w:t>
      </w:r>
    </w:p>
    <w:p>
      <w:pPr>
        <w:ind w:left="1880"/>
        <w:spacing w:after="0" w:line="231" w:lineRule="auto"/>
        <w:rPr>
          <w:sz w:val="20"/>
          <w:szCs w:val="20"/>
          <w:color w:val="auto"/>
        </w:rPr>
      </w:pPr>
      <w:r>
        <w:rPr>
          <w:rFonts w:ascii="Times New Roman" w:cs="Times New Roman" w:eastAsia="Times New Roman" w:hAnsi="Times New Roman"/>
          <w:sz w:val="22"/>
          <w:szCs w:val="22"/>
          <w:color w:val="auto"/>
        </w:rPr>
        <w:t>Ireland</w:t>
      </w:r>
    </w:p>
    <w:p>
      <w:pPr>
        <w:ind w:left="1880"/>
        <w:spacing w:after="0" w:line="230" w:lineRule="auto"/>
        <w:rPr>
          <w:sz w:val="20"/>
          <w:szCs w:val="20"/>
          <w:color w:val="auto"/>
        </w:rPr>
      </w:pPr>
      <w:r>
        <w:rPr>
          <w:rFonts w:ascii="Times New Roman" w:cs="Times New Roman" w:eastAsia="Times New Roman" w:hAnsi="Times New Roman"/>
          <w:sz w:val="22"/>
          <w:szCs w:val="22"/>
          <w:color w:val="auto"/>
        </w:rPr>
        <w:t>Attn: The Directors</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40 10th Avenue, Floor 7</w:t>
      </w:r>
    </w:p>
    <w:p>
      <w:pPr>
        <w:ind w:left="1880"/>
        <w:spacing w:after="0" w:line="230" w:lineRule="auto"/>
        <w:rPr>
          <w:sz w:val="20"/>
          <w:szCs w:val="20"/>
          <w:color w:val="auto"/>
        </w:rPr>
      </w:pPr>
      <w:r>
        <w:rPr>
          <w:rFonts w:ascii="Times New Roman" w:cs="Times New Roman" w:eastAsia="Times New Roman" w:hAnsi="Times New Roman"/>
          <w:sz w:val="22"/>
          <w:szCs w:val="22"/>
          <w:color w:val="auto"/>
        </w:rPr>
        <w:t>New York, NY 10014</w:t>
      </w:r>
    </w:p>
    <w:p>
      <w:pPr>
        <w:ind w:left="1880"/>
        <w:spacing w:after="0" w:line="231" w:lineRule="auto"/>
        <w:rPr>
          <w:sz w:val="20"/>
          <w:szCs w:val="20"/>
          <w:color w:val="auto"/>
        </w:rPr>
      </w:pPr>
      <w:r>
        <w:rPr>
          <w:rFonts w:ascii="Times New Roman" w:cs="Times New Roman" w:eastAsia="Times New Roman" w:hAnsi="Times New Roman"/>
          <w:sz w:val="22"/>
          <w:szCs w:val="22"/>
          <w:color w:val="auto"/>
        </w:rPr>
        <w:t>Attn: [***]</w:t>
      </w:r>
    </w:p>
    <w:p>
      <w:pPr>
        <w:ind w:left="188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505 Montgomery Street | San Francisco, CA 94111</w:t>
      </w:r>
    </w:p>
    <w:p>
      <w:pPr>
        <w:ind w:left="1880"/>
        <w:spacing w:after="0" w:line="230" w:lineRule="auto"/>
        <w:rPr>
          <w:sz w:val="20"/>
          <w:szCs w:val="20"/>
          <w:color w:val="auto"/>
        </w:rPr>
      </w:pPr>
      <w:r>
        <w:rPr>
          <w:rFonts w:ascii="Times New Roman" w:cs="Times New Roman" w:eastAsia="Times New Roman" w:hAnsi="Times New Roman"/>
          <w:sz w:val="22"/>
          <w:szCs w:val="22"/>
          <w:color w:val="auto"/>
        </w:rPr>
        <w:t>Suite 2000</w:t>
      </w:r>
    </w:p>
    <w:p>
      <w:pPr>
        <w:ind w:left="1880"/>
        <w:spacing w:after="0" w:line="231" w:lineRule="auto"/>
        <w:rPr>
          <w:sz w:val="20"/>
          <w:szCs w:val="20"/>
          <w:color w:val="auto"/>
        </w:rPr>
      </w:pPr>
      <w:r>
        <w:rPr>
          <w:rFonts w:ascii="Times New Roman" w:cs="Times New Roman" w:eastAsia="Times New Roman" w:hAnsi="Times New Roman"/>
          <w:sz w:val="22"/>
          <w:szCs w:val="22"/>
          <w:color w:val="auto"/>
        </w:rPr>
        <w:t>San Francisco, CA 94111</w:t>
      </w:r>
    </w:p>
    <w:p>
      <w:pPr>
        <w:ind w:left="1880"/>
        <w:spacing w:after="0" w:line="230" w:lineRule="auto"/>
        <w:rPr>
          <w:sz w:val="20"/>
          <w:szCs w:val="20"/>
          <w:color w:val="auto"/>
        </w:rPr>
      </w:pPr>
      <w:r>
        <w:rPr>
          <w:rFonts w:ascii="Times New Roman" w:cs="Times New Roman" w:eastAsia="Times New Roman" w:hAnsi="Times New Roman"/>
          <w:sz w:val="22"/>
          <w:szCs w:val="22"/>
          <w:color w:val="auto"/>
        </w:rPr>
        <w:t>Attention: Todd Trattner</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All notices and communications under this Agreement shall be deemed to have been duly given (i) when delivered by hand, if personally delivered, (ii) as of the date transmitted by email if such email is delivered prior to 5:00 P.M., New York City time, on a Business Day or the next Business Day after the date transmitted by email if such email is delivered on a day that is not a Business Day or after 5:00 P.M., New York City time, on any Business Day, provided that notice shall not be deemed given or effective if the sender receives an automatic system-generated response that such email was undeliverable, or (iii) one Business Day following sending within the United States by overnight delivery via commercial one-day overnight courier service.</w:t>
      </w:r>
    </w:p>
    <w:p>
      <w:pPr>
        <w:spacing w:after="0" w:line="171" w:lineRule="exact"/>
        <w:rPr>
          <w:sz w:val="20"/>
          <w:szCs w:val="20"/>
          <w:color w:val="auto"/>
        </w:rPr>
      </w:pPr>
    </w:p>
    <w:p>
      <w:pPr>
        <w:jc w:val="both"/>
        <w:ind w:right="100" w:firstLine="1497"/>
        <w:spacing w:after="0" w:line="261" w:lineRule="auto"/>
        <w:rPr>
          <w:sz w:val="20"/>
          <w:szCs w:val="20"/>
          <w:color w:val="auto"/>
        </w:rPr>
      </w:pPr>
      <w:r>
        <w:rPr>
          <w:rFonts w:ascii="Times New Roman" w:cs="Times New Roman" w:eastAsia="Times New Roman" w:hAnsi="Times New Roman"/>
          <w:sz w:val="21"/>
          <w:szCs w:val="21"/>
          <w:color w:val="010000"/>
        </w:rPr>
        <w:t xml:space="preserve">Section 11.3 </w:t>
      </w:r>
      <w:r>
        <w:rPr>
          <w:rFonts w:ascii="Times New Roman" w:cs="Times New Roman" w:eastAsia="Times New Roman" w:hAnsi="Times New Roman"/>
          <w:sz w:val="21"/>
          <w:szCs w:val="21"/>
          <w:u w:val="single" w:color="auto"/>
          <w:color w:val="000000"/>
        </w:rPr>
        <w:t>Expenses</w:t>
      </w:r>
      <w:r>
        <w:rPr>
          <w:rFonts w:ascii="Times New Roman" w:cs="Times New Roman" w:eastAsia="Times New Roman" w:hAnsi="Times New Roman"/>
          <w:sz w:val="21"/>
          <w:szCs w:val="21"/>
          <w:color w:val="000000"/>
        </w:rPr>
        <w:t>. On the date hereof, the Seller shall reimburse the Buyer for the Transaction Expenses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incurred prior to or on such date. Upon the earliest of (a) the Closing, (b) termination of this Agreement, and (c) termination of any of the transactions contemplated hereby, the Seller shall reimburse the Buyer for any and all other Transaction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7" w:name="page238"/>
    <w:bookmarkEnd w:id="237"/>
    <w:p>
      <w:pPr>
        <w:spacing w:after="0" w:line="239" w:lineRule="auto"/>
        <w:rPr>
          <w:sz w:val="20"/>
          <w:szCs w:val="20"/>
          <w:color w:val="auto"/>
        </w:rPr>
      </w:pPr>
      <w:r>
        <w:rPr>
          <w:rFonts w:ascii="Times New Roman" w:cs="Times New Roman" w:eastAsia="Times New Roman" w:hAnsi="Times New Roman"/>
          <w:sz w:val="22"/>
          <w:szCs w:val="22"/>
          <w:color w:val="auto"/>
        </w:rPr>
        <w:t>Expenses incurred prior to or on such date.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spacing w:after="0" w:line="180"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11.4</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40" w:firstLine="740"/>
        <w:spacing w:after="0" w:line="233" w:lineRule="auto"/>
        <w:tabs>
          <w:tab w:leader="none" w:pos="2321"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may not assign to any Person (including any of Seller’s Affiliates) (i) this Agreement in whole or in part, (ii) any of its rights or obligations hereunder, (iii) any of its rights in any Product in the Territory, or (iv) any Product Rights, including by contract, operation of law, merger, change of control, or otherwise, without the Buyer’s prior written consent (not to be unreasonably withheld, conditioned or delayed) unless: (x) in connection with a Change of Control (other than with respect to clause (d) of such definition), provided that in connection with the closing of such Change of Control, (1) the Seller causes the assignee to deliver a writing to the Buyer in which assignee assumes all of the obligations of the Seller to the Buyer under this Agreement and (2) the assignee acquires all of the Seller’s interest in all of the Products and the Product Rights; or (y) in connection with a transaction described in clause (d) of the definition of Change of Control (other than a lease or license in which some or all Product Rights are not sold or assigned) if such assignee is a Qualified Licensee and (1) such Qualified Licensee agrees in a writing that it assumes all of the obligations of the Seller to the Buyer under this Agreement and (2) such Qualified Licensee acquires all of the Seller’s interest in all of the Products and the Product Rights. For clarity, nothing in this Section 11.4 shall prohibit any Permitted License permitted by and entered into in accordance with Section 6.7(a).</w:t>
      </w:r>
    </w:p>
    <w:p>
      <w:pPr>
        <w:spacing w:after="0" w:line="179" w:lineRule="exact"/>
        <w:rPr>
          <w:rFonts w:ascii="Times New Roman" w:cs="Times New Roman" w:eastAsia="Times New Roman" w:hAnsi="Times New Roman"/>
          <w:sz w:val="22"/>
          <w:szCs w:val="22"/>
          <w:color w:val="010000"/>
        </w:rPr>
      </w:pPr>
    </w:p>
    <w:p>
      <w:pPr>
        <w:ind w:left="1140" w:right="60" w:firstLine="740"/>
        <w:spacing w:after="0" w:line="236" w:lineRule="auto"/>
        <w:tabs>
          <w:tab w:leader="none" w:pos="2321"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Buyer may assign this Agreement in whole or in part to any Person without the Seller’s prior written consent, provided that, in the event such assignment occurs prior to the Closing, the Buyer shall cause the assignee to assume all of the obligations of the Buyer to the Seller under this Agreement and provided further that no such assignment shall relieve the Buyer of its obligations to pay the Purchase Price. Notwithstanding anything to the contrary in this Section 11.4, the Buyer may not assign this Agreement to a Person that is not a Financial Party or an Affiliate of Buyer without the Seller’s prior written consent.</w:t>
      </w:r>
    </w:p>
    <w:p>
      <w:pPr>
        <w:spacing w:after="0" w:line="181" w:lineRule="exact"/>
        <w:rPr>
          <w:rFonts w:ascii="Times New Roman" w:cs="Times New Roman" w:eastAsia="Times New Roman" w:hAnsi="Times New Roman"/>
          <w:sz w:val="22"/>
          <w:szCs w:val="22"/>
          <w:color w:val="010000"/>
        </w:rPr>
      </w:pPr>
    </w:p>
    <w:p>
      <w:pPr>
        <w:ind w:left="1140" w:right="60" w:firstLine="740"/>
        <w:spacing w:after="0" w:line="244" w:lineRule="auto"/>
        <w:tabs>
          <w:tab w:leader="none" w:pos="2321"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shall be binding upon, inure to the benefit of and be enforceable by, the parties hereto and their respective permitted successors and assigns. Any purported assignment in violation of this Section 11.4 shall be null and void.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8" w:name="page239"/>
    <w:bookmarkEnd w:id="238"/>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11.5</w:t>
      </w:r>
      <w:r>
        <w:rPr>
          <w:sz w:val="20"/>
          <w:szCs w:val="20"/>
          <w:color w:val="auto"/>
        </w:rPr>
        <w:tab/>
      </w: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505"/>
        <w:spacing w:after="0" w:line="282" w:lineRule="auto"/>
        <w:tabs>
          <w:tab w:leader="none" w:pos="1929" w:val="left"/>
        </w:tabs>
        <w:numPr>
          <w:ilvl w:val="0"/>
          <w:numId w:val="1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Agreement may be amended, modified or supplemented only in a writing signed by each of the parties hereto. Any provision of this Agreement may be waived only in a writing signed by the party hereto granting such waiver.</w:t>
      </w:r>
    </w:p>
    <w:p>
      <w:pPr>
        <w:spacing w:after="0" w:line="134" w:lineRule="exact"/>
        <w:rPr>
          <w:rFonts w:ascii="Times New Roman" w:cs="Times New Roman" w:eastAsia="Times New Roman" w:hAnsi="Times New Roman"/>
          <w:sz w:val="21"/>
          <w:szCs w:val="21"/>
          <w:color w:val="010000"/>
        </w:rPr>
      </w:pPr>
    </w:p>
    <w:p>
      <w:pPr>
        <w:ind w:right="40" w:firstLine="1505"/>
        <w:spacing w:after="0" w:line="239" w:lineRule="auto"/>
        <w:tabs>
          <w:tab w:leader="none" w:pos="1929"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80" w:lineRule="exact"/>
        <w:rPr>
          <w:sz w:val="20"/>
          <w:szCs w:val="20"/>
          <w:color w:val="auto"/>
        </w:rPr>
      </w:pPr>
    </w:p>
    <w:p>
      <w:pPr>
        <w:ind w:right="400"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11.6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Agreement and the Exhibits annexed hereto constitute the entire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understanding between the parties hereto with respect to the subject matter hereof and supersede all other understandings and negotiations with respect thereto.</w:t>
      </w:r>
    </w:p>
    <w:p>
      <w:pPr>
        <w:spacing w:after="0" w:line="173" w:lineRule="exact"/>
        <w:rPr>
          <w:sz w:val="20"/>
          <w:szCs w:val="20"/>
          <w:color w:val="auto"/>
        </w:rPr>
      </w:pPr>
    </w:p>
    <w:p>
      <w:pPr>
        <w:ind w:right="160" w:firstLine="1497"/>
        <w:spacing w:after="0" w:line="239" w:lineRule="auto"/>
        <w:rPr>
          <w:sz w:val="20"/>
          <w:szCs w:val="20"/>
          <w:color w:val="auto"/>
        </w:rPr>
      </w:pPr>
      <w:r>
        <w:rPr>
          <w:rFonts w:ascii="Times New Roman" w:cs="Times New Roman" w:eastAsia="Times New Roman" w:hAnsi="Times New Roman"/>
          <w:sz w:val="22"/>
          <w:szCs w:val="22"/>
          <w:color w:val="010000"/>
        </w:rPr>
        <w:t xml:space="preserve">Section 11.7 </w:t>
      </w:r>
      <w:r>
        <w:rPr>
          <w:rFonts w:ascii="Times New Roman" w:cs="Times New Roman" w:eastAsia="Times New Roman" w:hAnsi="Times New Roman"/>
          <w:sz w:val="22"/>
          <w:szCs w:val="22"/>
          <w:u w:val="single" w:color="auto"/>
          <w:color w:val="000000"/>
        </w:rPr>
        <w:t>No Third-Party Beneficiaries</w:t>
      </w:r>
      <w:r>
        <w:rPr>
          <w:rFonts w:ascii="Times New Roman" w:cs="Times New Roman" w:eastAsia="Times New Roman" w:hAnsi="Times New Roman"/>
          <w:sz w:val="22"/>
          <w:szCs w:val="22"/>
          <w:color w:val="000000"/>
        </w:rPr>
        <w:t>. This Agreement is for the sole benefit of the Seller and the Buyer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third-party beneficiaries of the benefits provided for in Section 7.1.</w:t>
      </w:r>
    </w:p>
    <w:p>
      <w:pPr>
        <w:spacing w:after="0" w:line="180" w:lineRule="exact"/>
        <w:rPr>
          <w:sz w:val="20"/>
          <w:szCs w:val="20"/>
          <w:color w:val="auto"/>
        </w:rPr>
      </w:pPr>
    </w:p>
    <w:p>
      <w:pPr>
        <w:ind w:right="360" w:firstLine="1497"/>
        <w:spacing w:after="0" w:line="244" w:lineRule="auto"/>
        <w:rPr>
          <w:sz w:val="20"/>
          <w:szCs w:val="20"/>
          <w:color w:val="auto"/>
        </w:rPr>
      </w:pPr>
      <w:r>
        <w:rPr>
          <w:rFonts w:ascii="Times New Roman" w:cs="Times New Roman" w:eastAsia="Times New Roman" w:hAnsi="Times New Roman"/>
          <w:sz w:val="22"/>
          <w:szCs w:val="22"/>
          <w:color w:val="010000"/>
        </w:rPr>
        <w:t xml:space="preserve">Section 11.8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This Agreement shall be governed by, and construed in accordance with,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laws of the State of New York without giving effect to any choice or conflict of law provision or rule that would cause the application of the laws of any other jurisdiction.</w:t>
      </w:r>
    </w:p>
    <w:p>
      <w:pPr>
        <w:spacing w:after="0" w:line="17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010000"/>
        </w:rPr>
        <w:t>Section 11.9</w:t>
      </w:r>
      <w:r>
        <w:rPr>
          <w:sz w:val="20"/>
          <w:szCs w:val="20"/>
          <w:color w:val="auto"/>
        </w:rPr>
        <w:tab/>
      </w:r>
      <w:r>
        <w:rPr>
          <w:rFonts w:ascii="Times New Roman" w:cs="Times New Roman" w:eastAsia="Times New Roman" w:hAnsi="Times New Roman"/>
          <w:sz w:val="21"/>
          <w:szCs w:val="21"/>
          <w:u w:val="single" w:color="auto"/>
          <w:color w:val="auto"/>
        </w:rPr>
        <w:t>Jurisdiction; Venue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1505"/>
        <w:spacing w:after="0" w:line="233" w:lineRule="auto"/>
        <w:tabs>
          <w:tab w:leader="none" w:pos="1929" w:val="left"/>
        </w:tabs>
        <w:numPr>
          <w:ilvl w:val="0"/>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9" w:name="page240"/>
    <w:bookmarkEnd w:id="239"/>
    <w:p>
      <w:pPr>
        <w:ind w:right="40"/>
        <w:spacing w:after="0" w:line="258" w:lineRule="auto"/>
        <w:rPr>
          <w:sz w:val="20"/>
          <w:szCs w:val="20"/>
          <w:color w:val="auto"/>
        </w:rPr>
      </w:pPr>
      <w:r>
        <w:rPr>
          <w:rFonts w:ascii="Times New Roman" w:cs="Times New Roman" w:eastAsia="Times New Roman" w:hAnsi="Times New Roman"/>
          <w:sz w:val="22"/>
          <w:szCs w:val="22"/>
          <w:color w:val="auto"/>
        </w:rPr>
        <w:t>THAT PROCESS MAY BE SERVED ON THE BUYER OR THE SELLER IN THE SAME MANNER THAT NOTICES MAY BE GIVEN PURSUANT TO SECTION 11.2 HEREOF.</w:t>
      </w:r>
    </w:p>
    <w:p>
      <w:pPr>
        <w:spacing w:after="0" w:line="158" w:lineRule="exact"/>
        <w:rPr>
          <w:sz w:val="20"/>
          <w:szCs w:val="20"/>
          <w:color w:val="auto"/>
        </w:rPr>
      </w:pPr>
    </w:p>
    <w:p>
      <w:pPr>
        <w:ind w:right="20" w:firstLine="1505"/>
        <w:spacing w:after="0" w:line="235" w:lineRule="auto"/>
        <w:tabs>
          <w:tab w:leader="none" w:pos="1929" w:val="left"/>
        </w:tabs>
        <w:numPr>
          <w:ilvl w:val="0"/>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83" w:lineRule="exact"/>
        <w:rPr>
          <w:rFonts w:ascii="Times New Roman" w:cs="Times New Roman" w:eastAsia="Times New Roman" w:hAnsi="Times New Roman"/>
          <w:sz w:val="22"/>
          <w:szCs w:val="22"/>
          <w:color w:val="010000"/>
        </w:rPr>
      </w:pPr>
    </w:p>
    <w:p>
      <w:pPr>
        <w:ind w:right="100" w:firstLine="1505"/>
        <w:spacing w:after="0" w:line="238" w:lineRule="auto"/>
        <w:tabs>
          <w:tab w:leader="none" w:pos="1929" w:val="left"/>
        </w:tabs>
        <w:numPr>
          <w:ilvl w:val="0"/>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w:t>
      </w:r>
    </w:p>
    <w:p>
      <w:pPr>
        <w:spacing w:after="0" w:line="177" w:lineRule="exact"/>
        <w:rPr>
          <w:sz w:val="20"/>
          <w:szCs w:val="20"/>
          <w:color w:val="auto"/>
        </w:rPr>
      </w:pPr>
    </w:p>
    <w:p>
      <w:pPr>
        <w:ind w:right="240" w:firstLine="1497"/>
        <w:spacing w:after="0" w:line="238" w:lineRule="auto"/>
        <w:rPr>
          <w:sz w:val="20"/>
          <w:szCs w:val="20"/>
          <w:color w:val="auto"/>
        </w:rPr>
      </w:pPr>
      <w:r>
        <w:rPr>
          <w:rFonts w:ascii="Times New Roman" w:cs="Times New Roman" w:eastAsia="Times New Roman" w:hAnsi="Times New Roman"/>
          <w:sz w:val="22"/>
          <w:szCs w:val="22"/>
          <w:color w:val="010000"/>
        </w:rPr>
        <w:t xml:space="preserve">Section 11.10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term or provision of this Agreement shall for any reason be held to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77" w:lineRule="exact"/>
        <w:rPr>
          <w:sz w:val="20"/>
          <w:szCs w:val="20"/>
          <w:color w:val="auto"/>
        </w:rPr>
      </w:pPr>
    </w:p>
    <w:p>
      <w:pPr>
        <w:ind w:firstLine="1497"/>
        <w:spacing w:after="0" w:line="234" w:lineRule="auto"/>
        <w:rPr>
          <w:sz w:val="20"/>
          <w:szCs w:val="20"/>
          <w:color w:val="auto"/>
        </w:rPr>
      </w:pPr>
      <w:r>
        <w:rPr>
          <w:rFonts w:ascii="Times New Roman" w:cs="Times New Roman" w:eastAsia="Times New Roman" w:hAnsi="Times New Roman"/>
          <w:sz w:val="22"/>
          <w:szCs w:val="22"/>
          <w:color w:val="010000"/>
        </w:rPr>
        <w:t xml:space="preserve">Section 11.11 </w:t>
      </w:r>
      <w:r>
        <w:rPr>
          <w:rFonts w:ascii="Times New Roman" w:cs="Times New Roman" w:eastAsia="Times New Roman" w:hAnsi="Times New Roman"/>
          <w:sz w:val="22"/>
          <w:szCs w:val="22"/>
          <w:u w:val="single" w:color="auto"/>
          <w:color w:val="000000"/>
        </w:rPr>
        <w:t>Specific Performance</w:t>
      </w:r>
      <w:r>
        <w:rPr>
          <w:rFonts w:ascii="Times New Roman" w:cs="Times New Roman" w:eastAsia="Times New Roman" w:hAnsi="Times New Roman"/>
          <w:sz w:val="22"/>
          <w:szCs w:val="22"/>
          <w:color w:val="000000"/>
        </w:rPr>
        <w:t>. Each of the parties acknowledges and agrees that the other party would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damaged irreparably in the event any of the provisions of this Agreement are not performed in accordance with their specific terms or otherwise are breached or violated. Accordingly, each of the parties agrees that, without posting bond or other undertaking, the other party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of the parties further agrees that, in the event of any action for specific performance in respect of such breach of violation, it will not assert the defense that a remedy at law would be adequate.</w:t>
      </w:r>
    </w:p>
    <w:p>
      <w:pPr>
        <w:spacing w:after="0" w:line="183" w:lineRule="exact"/>
        <w:rPr>
          <w:sz w:val="20"/>
          <w:szCs w:val="20"/>
          <w:color w:val="auto"/>
        </w:rPr>
      </w:pPr>
    </w:p>
    <w:p>
      <w:pPr>
        <w:ind w:right="40" w:firstLine="1497"/>
        <w:spacing w:after="0" w:line="238" w:lineRule="auto"/>
        <w:rPr>
          <w:sz w:val="20"/>
          <w:szCs w:val="20"/>
          <w:color w:val="auto"/>
        </w:rPr>
      </w:pPr>
      <w:r>
        <w:rPr>
          <w:rFonts w:ascii="Times New Roman" w:cs="Times New Roman" w:eastAsia="Times New Roman" w:hAnsi="Times New Roman"/>
          <w:sz w:val="22"/>
          <w:szCs w:val="22"/>
          <w:color w:val="010000"/>
        </w:rPr>
        <w:t xml:space="preserve">Section 11.12 </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00000"/>
        </w:rPr>
        <w:t>. This Agreement may be executed in any number of counterparts and by the parties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0" w:name="page241"/>
    <w:bookmarkEnd w:id="240"/>
    <w:p>
      <w:pPr>
        <w:ind w:right="140" w:firstLine="1497"/>
        <w:spacing w:after="0" w:line="236" w:lineRule="auto"/>
        <w:rPr>
          <w:sz w:val="20"/>
          <w:szCs w:val="20"/>
          <w:color w:val="auto"/>
        </w:rPr>
      </w:pPr>
      <w:r>
        <w:rPr>
          <w:rFonts w:ascii="Times New Roman" w:cs="Times New Roman" w:eastAsia="Times New Roman" w:hAnsi="Times New Roman"/>
          <w:sz w:val="22"/>
          <w:szCs w:val="22"/>
          <w:color w:val="010000"/>
        </w:rPr>
        <w:t xml:space="preserve">Section 11.13 </w:t>
      </w:r>
      <w:r>
        <w:rPr>
          <w:rFonts w:ascii="Times New Roman" w:cs="Times New Roman" w:eastAsia="Times New Roman" w:hAnsi="Times New Roman"/>
          <w:sz w:val="22"/>
          <w:szCs w:val="22"/>
          <w:u w:val="single" w:color="auto"/>
          <w:color w:val="000000"/>
        </w:rPr>
        <w:t>Relationship of the Parties</w:t>
      </w:r>
      <w:r>
        <w:rPr>
          <w:rFonts w:ascii="Times New Roman" w:cs="Times New Roman" w:eastAsia="Times New Roman" w:hAnsi="Times New Roman"/>
          <w:sz w:val="22"/>
          <w:szCs w:val="22"/>
          <w:color w:val="000000"/>
        </w:rPr>
        <w:t>. The relationship between the Buyer and the Seller is solely that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purchaser 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10000"/>
        </w:rPr>
        <w:t xml:space="preserve">Section 11.14 </w:t>
      </w:r>
      <w:r>
        <w:rPr>
          <w:rFonts w:ascii="Times New Roman" w:cs="Times New Roman" w:eastAsia="Times New Roman" w:hAnsi="Times New Roman"/>
          <w:sz w:val="22"/>
          <w:szCs w:val="22"/>
          <w:u w:val="single" w:color="auto"/>
          <w:color w:val="000000"/>
        </w:rPr>
        <w:t>Limited Recourse and Non-Petition</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100" w:firstLine="1505"/>
        <w:spacing w:after="0" w:line="248" w:lineRule="auto"/>
        <w:tabs>
          <w:tab w:leader="none" w:pos="1929" w:val="left"/>
        </w:tabs>
        <w:numPr>
          <w:ilvl w:val="0"/>
          <w:numId w:val="1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of the provisions of this Agreement, each of the parties hereto hereby agrees that if the net proceeds from a liquidation of the unsecured assets of the Buyer are less than the aggregate amount payable by the Buyer to the Seller in respect of its obligations under this Agreement (such negative amount being referred to herein as a shortfall), the amount payable by the Buyer to that party in respect of the Buyer’s obligations under this Agreement will be reduced to such amount of the net proceeds which are available to satisfy such payment obligation. In such circumstances the other assets of the Buyer will not be available for payment of such shortfall, and the Seller’s right to receive any further amounts in respect of such obligations shall be extinguished and that party may not take any further action to recover such amounts.</w:t>
      </w:r>
    </w:p>
    <w:p>
      <w:pPr>
        <w:spacing w:after="0" w:line="170" w:lineRule="exact"/>
        <w:rPr>
          <w:rFonts w:ascii="Times New Roman" w:cs="Times New Roman" w:eastAsia="Times New Roman" w:hAnsi="Times New Roman"/>
          <w:sz w:val="21"/>
          <w:szCs w:val="21"/>
          <w:color w:val="010000"/>
        </w:rPr>
      </w:pPr>
    </w:p>
    <w:p>
      <w:pPr>
        <w:ind w:firstLine="1505"/>
        <w:spacing w:after="0" w:line="238" w:lineRule="auto"/>
        <w:tabs>
          <w:tab w:leader="none" w:pos="1929" w:val="left"/>
        </w:tabs>
        <w:numPr>
          <w:ilvl w:val="0"/>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party shall be entitled at any time to institute against the Buyer, or join in any institution against the Buyer of, any bankruptcy, examinership, reorganization, arrangement, insolvency or liquidation proceedings or other proceedings under any applicable bankruptcy or similar law in connection with any obligation of the Buyer under this Agreement, save for lodging a claim in the liquidation of the Buyer which is initiated by another non-affiliated party or taking proceedings to obtain a declaration or judgment as to the obligations of the Buyer in relation thereto.</w:t>
      </w:r>
    </w:p>
    <w:p>
      <w:pPr>
        <w:spacing w:after="0" w:line="176" w:lineRule="exact"/>
        <w:rPr>
          <w:rFonts w:ascii="Times New Roman" w:cs="Times New Roman" w:eastAsia="Times New Roman" w:hAnsi="Times New Roman"/>
          <w:sz w:val="22"/>
          <w:szCs w:val="22"/>
          <w:color w:val="010000"/>
        </w:rPr>
      </w:pPr>
    </w:p>
    <w:p>
      <w:pPr>
        <w:ind w:right="140" w:firstLine="1505"/>
        <w:spacing w:after="0" w:line="234" w:lineRule="auto"/>
        <w:tabs>
          <w:tab w:leader="none" w:pos="192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Buyer and the Seller hereby agrees that no recourse under any obligation, covenant, or agreement of either party contained in this Agreement may be sought against any shareholder, officer, agent, employee or director of the Buyer, by the enforcement of any assessment or by any proceeding, by virtue of any statute or otherwise, it being expressly agreed and understood that this Agreement contains corporate obligations of the Buyer. Each of the parties hereto agrees that no personal liability shall attach to or be incurred by the shareholders, officers, agents, employees or directors of the Buyer, or any of them, under or by reason of any of the obligations, covenants or agreements of the Buyer contained in this Agreement, or implied therefrom, and any and all personal liability of every such shareholder, officer, agent, employee or director for breaches by the Buyer of any such obligations, covenants or agreements, either at law or by statute or constitution is hereby deemed expressly waived by the parties hereto.</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11.14 shall survive the termination of this Agreement.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41" w:name="page242"/>
    <w:bookmarkEnd w:id="241"/>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SELLER</w:t>
      </w:r>
    </w:p>
    <w:p>
      <w:pPr>
        <w:spacing w:after="0" w:line="23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andel</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tbl>
      <w:tblPr>
        <w:tblLayout w:type="fixed"/>
        <w:tblInd w:w="5060" w:type="dxa"/>
        <w:tblCellMar>
          <w:top w:w="0" w:type="dxa"/>
          <w:left w:w="0" w:type="dxa"/>
          <w:bottom w:w="0" w:type="dxa"/>
          <w:right w:w="0" w:type="dxa"/>
        </w:tblCellMar>
      </w:tblP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Paul Peter Tak</w:t>
            </w:r>
          </w:p>
        </w:tc>
      </w:tr>
      <w:tr>
        <w:trPr>
          <w:trHeight w:val="209"/>
        </w:trPr>
        <w:tc>
          <w:tcPr>
            <w:tcW w:w="680" w:type="dxa"/>
            <w:vAlign w:val="bottom"/>
          </w:tcPr>
          <w:p>
            <w:pPr>
              <w:spacing w:after="0"/>
              <w:rPr>
                <w:sz w:val="18"/>
                <w:szCs w:val="18"/>
                <w:color w:val="auto"/>
              </w:rPr>
            </w:pPr>
          </w:p>
        </w:tc>
        <w:tc>
          <w:tcPr>
            <w:tcW w:w="54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 Paul Peter Tak</w:t>
            </w:r>
          </w:p>
        </w:tc>
      </w:tr>
      <w:tr>
        <w:trPr>
          <w:trHeight w:val="282"/>
        </w:trPr>
        <w:tc>
          <w:tcPr>
            <w:tcW w:w="68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BUYER</w:t>
      </w:r>
    </w:p>
    <w:p>
      <w:pPr>
        <w:spacing w:after="0" w:line="233" w:lineRule="exact"/>
        <w:rPr>
          <w:sz w:val="20"/>
          <w:szCs w:val="20"/>
          <w:color w:val="auto"/>
        </w:rPr>
      </w:pPr>
    </w:p>
    <w:p>
      <w:pPr>
        <w:ind w:left="5060" w:right="120"/>
        <w:spacing w:after="0" w:line="250" w:lineRule="auto"/>
        <w:rPr>
          <w:sz w:val="20"/>
          <w:szCs w:val="20"/>
          <w:color w:val="auto"/>
        </w:rPr>
      </w:pPr>
      <w:r>
        <w:rPr>
          <w:rFonts w:ascii="Times New Roman" w:cs="Times New Roman" w:eastAsia="Times New Roman" w:hAnsi="Times New Roman"/>
          <w:sz w:val="22"/>
          <w:szCs w:val="22"/>
          <w:color w:val="auto"/>
        </w:rPr>
        <w:t>4010 R</w:t>
      </w:r>
      <w:r>
        <w:rPr>
          <w:rFonts w:ascii="Times New Roman" w:cs="Times New Roman" w:eastAsia="Times New Roman" w:hAnsi="Times New Roman"/>
          <w:sz w:val="14"/>
          <w:szCs w:val="14"/>
          <w:color w:val="auto"/>
        </w:rPr>
        <w:t>oyalty</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nvestments</w:t>
      </w:r>
      <w:r>
        <w:rPr>
          <w:rFonts w:ascii="Times New Roman" w:cs="Times New Roman" w:eastAsia="Times New Roman" w:hAnsi="Times New Roman"/>
          <w:sz w:val="22"/>
          <w:szCs w:val="22"/>
          <w:color w:val="auto"/>
        </w:rPr>
        <w:t xml:space="preserve"> ICAV, </w:t>
      </w:r>
      <w:r>
        <w:rPr>
          <w:rFonts w:ascii="Times New Roman" w:cs="Times New Roman" w:eastAsia="Times New Roman" w:hAnsi="Times New Roman"/>
          <w:sz w:val="14"/>
          <w:szCs w:val="14"/>
          <w:color w:val="auto"/>
        </w:rPr>
        <w:t>an</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mbrella</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rish collective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asset</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management vehicle with segregated liability between sub</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funds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for and on behalf of its sub</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fund</w:t>
      </w:r>
      <w:r>
        <w:rPr>
          <w:rFonts w:ascii="Times New Roman" w:cs="Times New Roman" w:eastAsia="Times New Roman" w:hAnsi="Times New Roman"/>
          <w:sz w:val="21"/>
          <w:szCs w:val="21"/>
          <w:color w:val="auto"/>
        </w:rPr>
        <w:t>, 4010 R</w:t>
      </w:r>
      <w:r>
        <w:rPr>
          <w:rFonts w:ascii="Times New Roman" w:cs="Times New Roman" w:eastAsia="Times New Roman" w:hAnsi="Times New Roman"/>
          <w:sz w:val="14"/>
          <w:szCs w:val="14"/>
          <w:color w:val="auto"/>
        </w:rPr>
        <w:t xml:space="preserve">oyalty </w:t>
      </w:r>
      <w:r>
        <w:rPr>
          <w:rFonts w:ascii="Times New Roman" w:cs="Times New Roman" w:eastAsia="Times New Roman" w:hAnsi="Times New Roman"/>
          <w:sz w:val="21"/>
          <w:szCs w:val="21"/>
          <w:color w:val="auto"/>
        </w:rPr>
        <w:t>I</w:t>
      </w:r>
      <w:r>
        <w:rPr>
          <w:rFonts w:ascii="Times New Roman" w:cs="Times New Roman" w:eastAsia="Times New Roman" w:hAnsi="Times New Roman"/>
          <w:sz w:val="14"/>
          <w:szCs w:val="14"/>
          <w:color w:val="auto"/>
        </w:rPr>
        <w:t xml:space="preserve">nvestments </w:t>
      </w:r>
      <w:r>
        <w:rPr>
          <w:rFonts w:ascii="Times New Roman" w:cs="Times New Roman" w:eastAsia="Times New Roman" w:hAnsi="Times New Roman"/>
          <w:sz w:val="21"/>
          <w:szCs w:val="21"/>
          <w:color w:val="auto"/>
        </w:rPr>
        <w:t>F</w:t>
      </w:r>
      <w:r>
        <w:rPr>
          <w:rFonts w:ascii="Times New Roman" w:cs="Times New Roman" w:eastAsia="Times New Roman" w:hAnsi="Times New Roman"/>
          <w:sz w:val="14"/>
          <w:szCs w:val="14"/>
          <w:color w:val="auto"/>
        </w:rPr>
        <w:t>und</w:t>
      </w:r>
      <w:r>
        <w:rPr>
          <w:rFonts w:ascii="Times New Roman" w:cs="Times New Roman" w:eastAsia="Times New Roman" w:hAnsi="Times New Roman"/>
          <w:sz w:val="21"/>
          <w:szCs w:val="21"/>
          <w:color w:val="auto"/>
        </w:rPr>
        <w:t xml:space="preserve"> 1</w:t>
      </w:r>
    </w:p>
    <w:p>
      <w:pPr>
        <w:spacing w:after="0" w:line="200" w:lineRule="exact"/>
        <w:rPr>
          <w:sz w:val="20"/>
          <w:szCs w:val="20"/>
          <w:color w:val="auto"/>
        </w:rPr>
      </w:pPr>
    </w:p>
    <w:p>
      <w:pPr>
        <w:spacing w:after="0" w:line="24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22"/>
          <w:szCs w:val="22"/>
          <w:color w:val="auto"/>
        </w:rPr>
        <w:t>: RTW I</w:t>
      </w:r>
      <w:r>
        <w:rPr>
          <w:rFonts w:ascii="Times New Roman" w:cs="Times New Roman" w:eastAsia="Times New Roman" w:hAnsi="Times New Roman"/>
          <w:sz w:val="14"/>
          <w:szCs w:val="14"/>
          <w:color w:val="auto"/>
        </w:rPr>
        <w:t>nvestments</w:t>
      </w:r>
      <w:r>
        <w:rPr>
          <w:rFonts w:ascii="Times New Roman" w:cs="Times New Roman" w:eastAsia="Times New Roman" w:hAnsi="Times New Roman"/>
          <w:sz w:val="22"/>
          <w:szCs w:val="22"/>
          <w:color w:val="auto"/>
        </w:rPr>
        <w:t xml:space="preserve">, LP, </w:t>
      </w:r>
      <w:r>
        <w:rPr>
          <w:rFonts w:ascii="Times New Roman" w:cs="Times New Roman" w:eastAsia="Times New Roman" w:hAnsi="Times New Roman"/>
          <w:sz w:val="14"/>
          <w:szCs w:val="14"/>
          <w:color w:val="auto"/>
        </w:rPr>
        <w:t>its investment manager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60"/>
        <w:spacing w:after="0"/>
        <w:tabs>
          <w:tab w:leader="none" w:pos="5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290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22"/>
          <w:szCs w:val="22"/>
          <w:color w:val="auto"/>
        </w:rPr>
        <w:t>Name: Roderick Wong</w:t>
      </w:r>
    </w:p>
    <w:p>
      <w:pPr>
        <w:ind w:left="5740"/>
        <w:spacing w:after="0"/>
        <w:rPr>
          <w:sz w:val="20"/>
          <w:szCs w:val="20"/>
          <w:color w:val="auto"/>
        </w:rPr>
      </w:pPr>
      <w:r>
        <w:rPr>
          <w:rFonts w:ascii="Times New Roman" w:cs="Times New Roman" w:eastAsia="Times New Roman" w:hAnsi="Times New Roman"/>
          <w:sz w:val="22"/>
          <w:szCs w:val="22"/>
          <w:color w:val="auto"/>
        </w:rPr>
        <w:t>Title:  Managing Partner, RTW Investments,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242" w:name="page243"/>
    <w:bookmarkEnd w:id="242"/>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22"/>
          <w:szCs w:val="22"/>
          <w:b w:val="1"/>
          <w:bCs w:val="1"/>
          <w:color w:val="auto"/>
        </w:rPr>
        <w:t>Description of aglatimagene besadenovec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Bill of Sale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Seller Opinion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45" w:name="page246"/>
    <w:bookmarkEnd w:id="245"/>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33"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22"/>
          <w:szCs w:val="22"/>
          <w:b w:val="1"/>
          <w:bCs w:val="1"/>
          <w:color w:val="auto"/>
        </w:rPr>
        <w:t>EXAMPLE OF CALCULATION OF INCLUDED AMOUNT OF ROYALTY PAYMENT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LOAN AND SECURITY AGREEMENT</w:t>
      </w:r>
    </w:p>
    <w:p>
      <w:pPr>
        <w:spacing w:after="0" w:line="20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FIRST AMENDMENT TO LOAN AND SECURITY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Amendment</w:t>
      </w:r>
      <w:r>
        <w:rPr>
          <w:rFonts w:ascii="Arial" w:cs="Arial" w:eastAsia="Arial" w:hAnsi="Arial"/>
          <w:sz w:val="20"/>
          <w:szCs w:val="20"/>
          <w:color w:val="auto"/>
        </w:rPr>
        <w:t>”), made as of March 10, 2026 (the “</w:t>
      </w:r>
      <w:r>
        <w:rPr>
          <w:rFonts w:ascii="Arial" w:cs="Arial" w:eastAsia="Arial" w:hAnsi="Arial"/>
          <w:sz w:val="20"/>
          <w:szCs w:val="20"/>
          <w:b w:val="1"/>
          <w:bCs w:val="1"/>
          <w:color w:val="auto"/>
        </w:rPr>
        <w:t>First Amendment Effective Date</w:t>
      </w:r>
      <w:r>
        <w:rPr>
          <w:rFonts w:ascii="Arial" w:cs="Arial" w:eastAsia="Arial" w:hAnsi="Arial"/>
          <w:sz w:val="20"/>
          <w:szCs w:val="20"/>
          <w:color w:val="auto"/>
        </w:rPr>
        <w:t>”), is made among CANDEL THERAPEUTICS, INC., a Delaware corporation, as borrower (“</w:t>
      </w:r>
      <w:r>
        <w:rPr>
          <w:rFonts w:ascii="Arial" w:cs="Arial" w:eastAsia="Arial" w:hAnsi="Arial"/>
          <w:sz w:val="20"/>
          <w:szCs w:val="20"/>
          <w:b w:val="1"/>
          <w:bCs w:val="1"/>
          <w:color w:val="auto"/>
        </w:rPr>
        <w:t>Borrower</w:t>
      </w:r>
      <w:r>
        <w:rPr>
          <w:rFonts w:ascii="Arial" w:cs="Arial" w:eastAsia="Arial" w:hAnsi="Arial"/>
          <w:sz w:val="20"/>
          <w:szCs w:val="20"/>
          <w:color w:val="auto"/>
        </w:rPr>
        <w:t>”), the lenders from time to time party hereto (each,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TRINITY CAPITAL INC., a Maryland corporation, as administrative agent and collateral agent for the Lenders (in such capacity, and together with its successors and assigns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Borrower, Lender and Administrative Agent are parties to a Loan and Security Agreement dated as of October 14, 2025, (as amended, restated or modified from time to time, the “</w:t>
      </w:r>
      <w:r>
        <w:rPr>
          <w:rFonts w:ascii="Arial" w:cs="Arial" w:eastAsia="Arial" w:hAnsi="Arial"/>
          <w:sz w:val="20"/>
          <w:szCs w:val="20"/>
          <w:b w:val="1"/>
          <w:bCs w:val="1"/>
          <w:color w:val="auto"/>
        </w:rPr>
        <w:t>Loan and Security Agreement</w:t>
      </w:r>
      <w:r>
        <w:rPr>
          <w:rFonts w:ascii="Arial" w:cs="Arial" w:eastAsia="Arial" w:hAnsi="Arial"/>
          <w:sz w:val="20"/>
          <w:szCs w:val="20"/>
          <w:color w:val="auto"/>
        </w:rPr>
        <w:t>”). Borrower has requested that Administrative Agent and each Lender agree to certain amendments to the Loan and Security Agreement. Lender has agreed to such request, subject to the terms and conditions hereof.</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Accordingly, the parties hereto agree as follows:</w:t>
      </w:r>
    </w:p>
    <w:p>
      <w:pPr>
        <w:spacing w:after="0" w:line="209"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color w:val="auto"/>
        </w:rPr>
        <w:t>SECTION 1</w:t>
      </w:r>
      <w:r>
        <w:rPr>
          <w:rFonts w:ascii="Arial" w:cs="Arial" w:eastAsia="Arial" w:hAnsi="Arial"/>
          <w:sz w:val="19"/>
          <w:szCs w:val="19"/>
          <w:b w:val="1"/>
          <w:bCs w:val="1"/>
          <w:color w:val="auto"/>
        </w:rPr>
        <w:t>Definitions; Interpretation</w:t>
      </w:r>
      <w:r>
        <w:rPr>
          <w:rFonts w:ascii="Arial" w:cs="Arial" w:eastAsia="Arial" w:hAnsi="Arial"/>
          <w:sz w:val="19"/>
          <w:szCs w:val="19"/>
          <w:color w:val="auto"/>
        </w:rPr>
        <w:t>.</w:t>
      </w:r>
    </w:p>
    <w:p>
      <w:pPr>
        <w:spacing w:after="0" w:line="209" w:lineRule="exact"/>
        <w:rPr>
          <w:sz w:val="20"/>
          <w:szCs w:val="20"/>
          <w:color w:val="auto"/>
        </w:rPr>
      </w:pPr>
    </w:p>
    <w:p>
      <w:pPr>
        <w:ind w:left="1020" w:hanging="263"/>
        <w:spacing w:after="0"/>
        <w:tabs>
          <w:tab w:leader="none" w:pos="1020" w:val="left"/>
        </w:tabs>
        <w:numPr>
          <w:ilvl w:val="0"/>
          <w:numId w:val="193"/>
        </w:numPr>
        <w:rPr>
          <w:rFonts w:ascii="Calibri" w:cs="Calibri" w:eastAsia="Calibri" w:hAnsi="Calibri"/>
          <w:sz w:val="20"/>
          <w:szCs w:val="20"/>
          <w:color w:val="auto"/>
        </w:rPr>
      </w:pPr>
      <w:r>
        <w:rPr>
          <w:rFonts w:ascii="Arial" w:cs="Arial" w:eastAsia="Arial" w:hAnsi="Arial"/>
          <w:sz w:val="20"/>
          <w:szCs w:val="20"/>
          <w:b w:val="1"/>
          <w:bCs w:val="1"/>
          <w:color w:val="auto"/>
        </w:rPr>
        <w:t>Terms Defined in Loan and Security Agreement</w:t>
      </w:r>
      <w:r>
        <w:rPr>
          <w:rFonts w:ascii="Arial" w:cs="Arial" w:eastAsia="Arial" w:hAnsi="Arial"/>
          <w:sz w:val="20"/>
          <w:szCs w:val="20"/>
          <w:color w:val="auto"/>
        </w:rPr>
        <w:t>. All capitalized terms used in this Amendment (including in the</w:t>
      </w:r>
    </w:p>
    <w:p>
      <w:pPr>
        <w:spacing w:after="0" w:line="2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recitals hereof) and not otherwise defined herein shall have the meanings assigned to them in the Loan and Security Agreement.</w:t>
      </w:r>
    </w:p>
    <w:p>
      <w:pPr>
        <w:spacing w:after="0" w:line="168" w:lineRule="exact"/>
        <w:rPr>
          <w:sz w:val="20"/>
          <w:szCs w:val="20"/>
          <w:color w:val="auto"/>
        </w:rPr>
      </w:pPr>
    </w:p>
    <w:p>
      <w:pPr>
        <w:ind w:firstLine="757"/>
        <w:spacing w:after="0" w:line="287" w:lineRule="auto"/>
        <w:tabs>
          <w:tab w:leader="none" w:pos="1018" w:val="left"/>
        </w:tabs>
        <w:numPr>
          <w:ilvl w:val="0"/>
          <w:numId w:val="194"/>
        </w:numPr>
        <w:rPr>
          <w:rFonts w:ascii="Calibri" w:cs="Calibri" w:eastAsia="Calibri" w:hAnsi="Calibri"/>
          <w:sz w:val="20"/>
          <w:szCs w:val="20"/>
          <w:color w:val="auto"/>
        </w:rPr>
      </w:pPr>
      <w:r>
        <w:rPr>
          <w:rFonts w:ascii="Arial" w:cs="Arial" w:eastAsia="Arial" w:hAnsi="Arial"/>
          <w:sz w:val="20"/>
          <w:szCs w:val="20"/>
          <w:b w:val="1"/>
          <w:bCs w:val="1"/>
          <w:color w:val="auto"/>
        </w:rPr>
        <w:t>Interpretation</w:t>
      </w:r>
      <w:r>
        <w:rPr>
          <w:rFonts w:ascii="Arial" w:cs="Arial" w:eastAsia="Arial" w:hAnsi="Arial"/>
          <w:sz w:val="20"/>
          <w:szCs w:val="20"/>
          <w:color w:val="auto"/>
        </w:rPr>
        <w:t>. The rules of interpretation set forth in Article 1 of the Loan and Security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to this Amendment and are incorporated herein by this reference.</w:t>
      </w:r>
    </w:p>
    <w:p>
      <w:pPr>
        <w:spacing w:after="0" w:line="130"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color w:val="auto"/>
        </w:rPr>
        <w:t>SECTION 2</w:t>
      </w:r>
      <w:r>
        <w:rPr>
          <w:rFonts w:ascii="Arial" w:cs="Arial" w:eastAsia="Arial" w:hAnsi="Arial"/>
          <w:sz w:val="19"/>
          <w:szCs w:val="19"/>
          <w:b w:val="1"/>
          <w:bCs w:val="1"/>
          <w:color w:val="auto"/>
        </w:rPr>
        <w:t>Amendments to the Loan and Security Agreement.</w:t>
      </w:r>
    </w:p>
    <w:p>
      <w:pPr>
        <w:spacing w:after="0" w:line="209" w:lineRule="exact"/>
        <w:rPr>
          <w:sz w:val="20"/>
          <w:szCs w:val="20"/>
          <w:color w:val="auto"/>
        </w:rPr>
      </w:pPr>
    </w:p>
    <w:p>
      <w:pPr>
        <w:ind w:firstLine="757"/>
        <w:spacing w:after="0" w:line="287" w:lineRule="auto"/>
        <w:tabs>
          <w:tab w:leader="none" w:pos="1018" w:val="left"/>
        </w:tabs>
        <w:numPr>
          <w:ilvl w:val="0"/>
          <w:numId w:val="195"/>
        </w:numPr>
        <w:rPr>
          <w:rFonts w:ascii="Calibri" w:cs="Calibri" w:eastAsia="Calibri" w:hAnsi="Calibri"/>
          <w:sz w:val="20"/>
          <w:szCs w:val="20"/>
          <w:color w:val="auto"/>
        </w:rPr>
      </w:pPr>
      <w:r>
        <w:rPr>
          <w:rFonts w:ascii="Arial" w:cs="Arial" w:eastAsia="Arial" w:hAnsi="Arial"/>
          <w:sz w:val="20"/>
          <w:szCs w:val="20"/>
          <w:b w:val="1"/>
          <w:bCs w:val="1"/>
          <w:u w:val="single" w:color="auto"/>
          <w:color w:val="auto"/>
        </w:rPr>
        <w:t>New Definitions</w:t>
      </w:r>
      <w:r>
        <w:rPr>
          <w:rFonts w:ascii="Arial" w:cs="Arial" w:eastAsia="Arial" w:hAnsi="Arial"/>
          <w:sz w:val="20"/>
          <w:szCs w:val="20"/>
          <w:color w:val="auto"/>
        </w:rPr>
        <w:t>. The following definitions are hereby added to Article 1 of the Loan and Security Agreement in</w:t>
      </w:r>
      <w:r>
        <w:rPr>
          <w:rFonts w:ascii="Arial" w:cs="Arial" w:eastAsia="Arial" w:hAnsi="Arial"/>
          <w:sz w:val="20"/>
          <w:szCs w:val="20"/>
          <w:b w:val="1"/>
          <w:bCs w:val="1"/>
          <w:color w:val="auto"/>
        </w:rPr>
        <w:t xml:space="preserve"> </w:t>
      </w:r>
      <w:r>
        <w:rPr>
          <w:rFonts w:ascii="Arial" w:cs="Arial" w:eastAsia="Arial" w:hAnsi="Arial"/>
          <w:sz w:val="20"/>
          <w:szCs w:val="20"/>
          <w:color w:val="auto"/>
        </w:rPr>
        <w:t>their proper alphabetical order.</w:t>
      </w:r>
    </w:p>
    <w:p>
      <w:pPr>
        <w:spacing w:after="0" w:line="124" w:lineRule="exact"/>
        <w:rPr>
          <w:sz w:val="20"/>
          <w:szCs w:val="20"/>
          <w:color w:val="auto"/>
        </w:rPr>
      </w:pPr>
    </w:p>
    <w:p>
      <w:pPr>
        <w:ind w:left="760" w:right="760" w:firstLine="695"/>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means the First Amendment to the Loan and Security Agreement entered into to be effective as of the First Amendment Effective Date, by and between Lender and Borrower.</w:t>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means March 10, 2026.</w:t>
      </w:r>
    </w:p>
    <w:p>
      <w:pPr>
        <w:spacing w:after="0" w:line="202" w:lineRule="exact"/>
        <w:rPr>
          <w:sz w:val="20"/>
          <w:szCs w:val="20"/>
          <w:color w:val="auto"/>
        </w:rPr>
      </w:pPr>
    </w:p>
    <w:p>
      <w:pPr>
        <w:ind w:left="1020" w:hanging="263"/>
        <w:spacing w:after="0"/>
        <w:tabs>
          <w:tab w:leader="none" w:pos="1020" w:val="left"/>
        </w:tabs>
        <w:numPr>
          <w:ilvl w:val="0"/>
          <w:numId w:val="196"/>
        </w:numPr>
        <w:rPr>
          <w:rFonts w:ascii="Calibri" w:cs="Calibri" w:eastAsia="Calibri" w:hAnsi="Calibri"/>
          <w:sz w:val="20"/>
          <w:szCs w:val="20"/>
          <w:color w:val="auto"/>
        </w:rPr>
      </w:pPr>
      <w:r>
        <w:rPr>
          <w:rFonts w:ascii="Arial" w:cs="Arial" w:eastAsia="Arial" w:hAnsi="Arial"/>
          <w:sz w:val="20"/>
          <w:szCs w:val="20"/>
          <w:u w:val="single" w:color="auto"/>
          <w:color w:val="auto"/>
        </w:rPr>
        <w:t>Amended and Restated Definitions</w:t>
      </w:r>
      <w:r>
        <w:rPr>
          <w:rFonts w:ascii="Arial" w:cs="Arial" w:eastAsia="Arial" w:hAnsi="Arial"/>
          <w:sz w:val="20"/>
          <w:szCs w:val="20"/>
          <w:color w:val="auto"/>
        </w:rPr>
        <w:t>. The following definitions are hereby amended and restated as follows:</w:t>
      </w:r>
    </w:p>
    <w:p>
      <w:pPr>
        <w:spacing w:after="0" w:line="228" w:lineRule="exact"/>
        <w:rPr>
          <w:rFonts w:ascii="Calibri" w:cs="Calibri" w:eastAsia="Calibri" w:hAnsi="Calibri"/>
          <w:sz w:val="20"/>
          <w:szCs w:val="20"/>
          <w:color w:val="auto"/>
        </w:rPr>
      </w:pPr>
    </w:p>
    <w:p>
      <w:pPr>
        <w:ind w:left="2040" w:hanging="535"/>
        <w:spacing w:after="0"/>
        <w:tabs>
          <w:tab w:leader="none" w:pos="2040" w:val="left"/>
        </w:tabs>
        <w:numPr>
          <w:ilvl w:val="1"/>
          <w:numId w:val="196"/>
        </w:numPr>
        <w:rPr>
          <w:rFonts w:ascii="Calibri" w:cs="Calibri" w:eastAsia="Calibri" w:hAnsi="Calibri"/>
          <w:sz w:val="20"/>
          <w:szCs w:val="20"/>
          <w:color w:val="auto"/>
        </w:rPr>
      </w:pPr>
      <w:r>
        <w:rPr>
          <w:rFonts w:ascii="Arial" w:cs="Arial" w:eastAsia="Arial" w:hAnsi="Arial"/>
          <w:sz w:val="20"/>
          <w:szCs w:val="20"/>
          <w:color w:val="auto"/>
        </w:rPr>
        <w:t>Section 4.2(w) of the Loan Agreement is amended by replacing the reference therein to “$95,000,000”</w:t>
      </w:r>
    </w:p>
    <w:p>
      <w:pPr>
        <w:spacing w:after="0" w:line="16" w:lineRule="exact"/>
        <w:rPr>
          <w:rFonts w:ascii="Calibri" w:cs="Calibri" w:eastAsia="Calibri" w:hAnsi="Calibri"/>
          <w:sz w:val="20"/>
          <w:szCs w:val="20"/>
          <w:color w:val="auto"/>
        </w:rPr>
      </w:pPr>
    </w:p>
    <w:p>
      <w:pPr>
        <w:spacing w:after="0"/>
        <w:rPr>
          <w:rFonts w:ascii="Calibri" w:cs="Calibri" w:eastAsia="Calibri" w:hAnsi="Calibri"/>
          <w:sz w:val="20"/>
          <w:szCs w:val="20"/>
          <w:color w:val="auto"/>
        </w:rPr>
      </w:pPr>
      <w:r>
        <w:rPr>
          <w:rFonts w:ascii="Arial" w:cs="Arial" w:eastAsia="Arial" w:hAnsi="Arial"/>
          <w:sz w:val="20"/>
          <w:szCs w:val="20"/>
          <w:color w:val="auto"/>
        </w:rPr>
        <w:t>with “$93,500,000”.</w:t>
      </w:r>
    </w:p>
    <w:p>
      <w:pPr>
        <w:spacing w:after="0" w:line="197" w:lineRule="exact"/>
        <w:rPr>
          <w:rFonts w:ascii="Calibri" w:cs="Calibri" w:eastAsia="Calibri" w:hAnsi="Calibri"/>
          <w:sz w:val="20"/>
          <w:szCs w:val="20"/>
          <w:color w:val="auto"/>
        </w:rPr>
      </w:pPr>
    </w:p>
    <w:p>
      <w:pPr>
        <w:ind w:firstLine="757"/>
        <w:spacing w:after="0" w:line="285" w:lineRule="auto"/>
        <w:tabs>
          <w:tab w:leader="none" w:pos="1018" w:val="left"/>
        </w:tabs>
        <w:numPr>
          <w:ilvl w:val="0"/>
          <w:numId w:val="196"/>
        </w:numPr>
        <w:rPr>
          <w:rFonts w:ascii="Calibri" w:cs="Calibri" w:eastAsia="Calibri" w:hAnsi="Calibri"/>
          <w:sz w:val="20"/>
          <w:szCs w:val="20"/>
          <w:color w:val="auto"/>
        </w:rPr>
      </w:pPr>
      <w:r>
        <w:rPr>
          <w:rFonts w:ascii="Arial" w:cs="Arial" w:eastAsia="Arial" w:hAnsi="Arial"/>
          <w:sz w:val="20"/>
          <w:szCs w:val="20"/>
          <w:u w:val="single" w:color="auto"/>
          <w:color w:val="auto"/>
        </w:rPr>
        <w:t>Compliance Certificate Amendment</w:t>
      </w:r>
      <w:r>
        <w:rPr>
          <w:rFonts w:ascii="Arial" w:cs="Arial" w:eastAsia="Arial" w:hAnsi="Arial"/>
          <w:sz w:val="20"/>
          <w:szCs w:val="20"/>
          <w:color w:val="auto"/>
        </w:rPr>
        <w:t>. Exhibit C to the Loan Agreement is amended and restated in full in the form attached hereto as Annex I.</w:t>
      </w:r>
    </w:p>
    <w:p>
      <w:pPr>
        <w:spacing w:after="0" w:line="123" w:lineRule="exact"/>
        <w:rPr>
          <w:rFonts w:ascii="Calibri" w:cs="Calibri" w:eastAsia="Calibri" w:hAnsi="Calibri"/>
          <w:sz w:val="20"/>
          <w:szCs w:val="20"/>
          <w:color w:val="auto"/>
        </w:rPr>
      </w:pPr>
    </w:p>
    <w:p>
      <w:pPr>
        <w:ind w:firstLine="757"/>
        <w:spacing w:after="0" w:line="287" w:lineRule="auto"/>
        <w:tabs>
          <w:tab w:leader="none" w:pos="1018" w:val="left"/>
        </w:tabs>
        <w:numPr>
          <w:ilvl w:val="0"/>
          <w:numId w:val="196"/>
        </w:numPr>
        <w:rPr>
          <w:rFonts w:ascii="Calibri" w:cs="Calibri" w:eastAsia="Calibri" w:hAnsi="Calibri"/>
          <w:sz w:val="20"/>
          <w:szCs w:val="20"/>
          <w:color w:val="auto"/>
        </w:rPr>
      </w:pPr>
      <w:r>
        <w:rPr>
          <w:rFonts w:ascii="Arial" w:cs="Arial" w:eastAsia="Arial" w:hAnsi="Arial"/>
          <w:sz w:val="20"/>
          <w:szCs w:val="20"/>
          <w:b w:val="1"/>
          <w:bCs w:val="1"/>
          <w:color w:val="auto"/>
        </w:rPr>
        <w:t>References Within the Loan and Security Agreement</w:t>
      </w:r>
      <w:r>
        <w:rPr>
          <w:rFonts w:ascii="Arial" w:cs="Arial" w:eastAsia="Arial" w:hAnsi="Arial"/>
          <w:sz w:val="20"/>
          <w:szCs w:val="20"/>
          <w:color w:val="auto"/>
        </w:rPr>
        <w:t>. Each reference in the Loan and Security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words “hereof,” “herein,” “hereunder,” or words of like</w:t>
      </w:r>
    </w:p>
    <w:p>
      <w:pPr>
        <w:spacing w:after="0" w:line="200" w:lineRule="exact"/>
        <w:rPr>
          <w:sz w:val="20"/>
          <w:szCs w:val="20"/>
          <w:color w:val="auto"/>
        </w:rPr>
      </w:pPr>
    </w:p>
    <w:p>
      <w:pPr>
        <w:spacing w:after="0" w:line="350" w:lineRule="exact"/>
        <w:rPr>
          <w:sz w:val="20"/>
          <w:szCs w:val="20"/>
          <w:color w:val="auto"/>
        </w:rPr>
      </w:pPr>
    </w:p>
    <w:p>
      <w:pPr>
        <w:spacing w:after="0"/>
        <w:tabs>
          <w:tab w:leader="none" w:pos="3020" w:val="left"/>
        </w:tabs>
        <w:rPr>
          <w:sz w:val="20"/>
          <w:szCs w:val="20"/>
          <w:color w:val="auto"/>
        </w:rPr>
      </w:pPr>
      <w:r>
        <w:rPr>
          <w:rFonts w:ascii="Arial" w:cs="Arial" w:eastAsia="Arial" w:hAnsi="Arial"/>
          <w:sz w:val="14"/>
          <w:szCs w:val="14"/>
          <w:color w:val="auto"/>
        </w:rPr>
        <w:t>First Amendment to LSA – Rigetti &amp; Co, Inc.</w:t>
      </w:r>
      <w:r>
        <w:rPr>
          <w:sz w:val="20"/>
          <w:szCs w:val="20"/>
          <w:color w:val="auto"/>
        </w:rPr>
        <w:tab/>
      </w: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7" w:name="page248"/>
    <w:bookmarkEnd w:id="247"/>
    <w:p>
      <w:pPr>
        <w:spacing w:after="0"/>
        <w:rPr>
          <w:sz w:val="20"/>
          <w:szCs w:val="20"/>
          <w:color w:val="auto"/>
        </w:rPr>
      </w:pPr>
      <w:r>
        <w:rPr>
          <w:rFonts w:ascii="Arial" w:cs="Arial" w:eastAsia="Arial" w:hAnsi="Arial"/>
          <w:sz w:val="20"/>
          <w:szCs w:val="20"/>
          <w:color w:val="auto"/>
        </w:rPr>
        <w:t>import, shall mean and be a reference to the Loan and Security Agreement as amended by this Amendment.</w:t>
      </w:r>
    </w:p>
    <w:p>
      <w:pPr>
        <w:spacing w:after="0" w:line="209" w:lineRule="exact"/>
        <w:rPr>
          <w:sz w:val="20"/>
          <w:szCs w:val="20"/>
          <w:color w:val="auto"/>
        </w:rPr>
      </w:pPr>
    </w:p>
    <w:p>
      <w:pPr>
        <w:ind w:left="100"/>
        <w:spacing w:after="0" w:line="281" w:lineRule="auto"/>
        <w:rPr>
          <w:sz w:val="20"/>
          <w:szCs w:val="20"/>
          <w:color w:val="auto"/>
        </w:rPr>
      </w:pPr>
      <w:r>
        <w:rPr>
          <w:rFonts w:ascii="Calibri" w:cs="Calibri" w:eastAsia="Calibri" w:hAnsi="Calibri"/>
          <w:sz w:val="22"/>
          <w:szCs w:val="22"/>
          <w:b w:val="1"/>
          <w:bCs w:val="1"/>
          <w:color w:val="auto"/>
        </w:rPr>
        <w:t>SECTION 3</w:t>
      </w:r>
      <w:r>
        <w:rPr>
          <w:rFonts w:ascii="Arial" w:cs="Arial" w:eastAsia="Arial" w:hAnsi="Arial"/>
          <w:sz w:val="19"/>
          <w:szCs w:val="19"/>
          <w:b w:val="1"/>
          <w:bCs w:val="1"/>
          <w:color w:val="auto"/>
        </w:rPr>
        <w:t>Conditions of Effectiveness.</w:t>
      </w:r>
      <w:r>
        <w:rPr>
          <w:rFonts w:ascii="Calibri" w:cs="Calibri" w:eastAsia="Calibri" w:hAnsi="Calibri"/>
          <w:sz w:val="22"/>
          <w:szCs w:val="22"/>
          <w:b w:val="1"/>
          <w:bCs w:val="1"/>
          <w:color w:val="auto"/>
        </w:rPr>
        <w:t xml:space="preserve"> </w:t>
      </w:r>
      <w:r>
        <w:rPr>
          <w:rFonts w:ascii="Arial" w:cs="Arial" w:eastAsia="Arial" w:hAnsi="Arial"/>
          <w:sz w:val="19"/>
          <w:szCs w:val="19"/>
          <w:color w:val="auto"/>
        </w:rPr>
        <w:t>The effectiveness of</w:t>
      </w:r>
      <w:r>
        <w:rPr>
          <w:rFonts w:ascii="Calibri" w:cs="Calibri" w:eastAsia="Calibri" w:hAnsi="Calibri"/>
          <w:sz w:val="22"/>
          <w:szCs w:val="22"/>
          <w:b w:val="1"/>
          <w:bCs w:val="1"/>
          <w:color w:val="auto"/>
        </w:rPr>
        <w:t xml:space="preserve"> </w:t>
      </w:r>
      <w:r>
        <w:rPr>
          <w:rFonts w:ascii="Arial" w:cs="Arial" w:eastAsia="Arial" w:hAnsi="Arial"/>
          <w:sz w:val="19"/>
          <w:szCs w:val="19"/>
          <w:u w:val="single" w:color="auto"/>
          <w:color w:val="auto"/>
        </w:rPr>
        <w:t>Section 2</w:t>
      </w:r>
      <w:r>
        <w:rPr>
          <w:rFonts w:ascii="Calibri" w:cs="Calibri" w:eastAsia="Calibri" w:hAnsi="Calibri"/>
          <w:sz w:val="22"/>
          <w:szCs w:val="22"/>
          <w:b w:val="1"/>
          <w:bCs w:val="1"/>
          <w:color w:val="auto"/>
        </w:rPr>
        <w:t xml:space="preserve"> </w:t>
      </w:r>
      <w:r>
        <w:rPr>
          <w:rFonts w:ascii="Arial" w:cs="Arial" w:eastAsia="Arial" w:hAnsi="Arial"/>
          <w:sz w:val="19"/>
          <w:szCs w:val="19"/>
          <w:color w:val="auto"/>
        </w:rPr>
        <w:t>of this Amendment shall be subject to the satisfaction</w:t>
      </w:r>
      <w:r>
        <w:rPr>
          <w:rFonts w:ascii="Calibri" w:cs="Calibri" w:eastAsia="Calibri" w:hAnsi="Calibri"/>
          <w:sz w:val="22"/>
          <w:szCs w:val="22"/>
          <w:b w:val="1"/>
          <w:bCs w:val="1"/>
          <w:color w:val="auto"/>
        </w:rPr>
        <w:t xml:space="preserve"> </w:t>
      </w:r>
      <w:r>
        <w:rPr>
          <w:rFonts w:ascii="Arial" w:cs="Arial" w:eastAsia="Arial" w:hAnsi="Arial"/>
          <w:sz w:val="19"/>
          <w:szCs w:val="19"/>
          <w:color w:val="auto"/>
        </w:rPr>
        <w:t>of each of the following conditions precedent:</w:t>
      </w:r>
    </w:p>
    <w:p>
      <w:pPr>
        <w:spacing w:after="0" w:line="123" w:lineRule="exact"/>
        <w:rPr>
          <w:sz w:val="20"/>
          <w:szCs w:val="20"/>
          <w:color w:val="auto"/>
        </w:rPr>
      </w:pPr>
    </w:p>
    <w:p>
      <w:pPr>
        <w:ind w:left="1020" w:hanging="263"/>
        <w:spacing w:after="0"/>
        <w:tabs>
          <w:tab w:leader="none" w:pos="1020" w:val="left"/>
        </w:tabs>
        <w:numPr>
          <w:ilvl w:val="0"/>
          <w:numId w:val="197"/>
        </w:numPr>
        <w:rPr>
          <w:rFonts w:ascii="Calibri" w:cs="Calibri" w:eastAsia="Calibri" w:hAnsi="Calibri"/>
          <w:sz w:val="20"/>
          <w:szCs w:val="20"/>
          <w:color w:val="auto"/>
        </w:rPr>
      </w:pPr>
      <w:r>
        <w:rPr>
          <w:rFonts w:ascii="Arial" w:cs="Arial" w:eastAsia="Arial" w:hAnsi="Arial"/>
          <w:sz w:val="20"/>
          <w:szCs w:val="20"/>
          <w:b w:val="1"/>
          <w:bCs w:val="1"/>
          <w:color w:val="auto"/>
        </w:rPr>
        <w:t>Fees and Expenses</w:t>
      </w:r>
      <w:r>
        <w:rPr>
          <w:rFonts w:ascii="Arial" w:cs="Arial" w:eastAsia="Arial" w:hAnsi="Arial"/>
          <w:sz w:val="20"/>
          <w:szCs w:val="20"/>
          <w:color w:val="auto"/>
        </w:rPr>
        <w:t>.  Borrower shall have paid (i) all invoiced costs and expenses when due in accordance with</w:t>
      </w:r>
    </w:p>
    <w:p>
      <w:pPr>
        <w:spacing w:after="0" w:line="29"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u w:val="single" w:color="auto"/>
          <w:color w:val="auto"/>
        </w:rPr>
        <w:t>Section 5(d)</w:t>
      </w:r>
      <w:r>
        <w:rPr>
          <w:rFonts w:ascii="Arial" w:cs="Arial" w:eastAsia="Arial" w:hAnsi="Arial"/>
          <w:sz w:val="20"/>
          <w:szCs w:val="20"/>
          <w:color w:val="auto"/>
        </w:rPr>
        <w:t xml:space="preserve"> and (ii) all other fees, costs and expenses, if any, due and payable as of the First Amendment Effective Date under the Loan and Security Agreement.</w:t>
      </w:r>
    </w:p>
    <w:p>
      <w:pPr>
        <w:spacing w:after="0" w:line="168" w:lineRule="exact"/>
        <w:rPr>
          <w:sz w:val="20"/>
          <w:szCs w:val="20"/>
          <w:color w:val="auto"/>
        </w:rPr>
      </w:pPr>
    </w:p>
    <w:p>
      <w:pPr>
        <w:ind w:firstLine="757"/>
        <w:spacing w:after="0" w:line="287" w:lineRule="auto"/>
        <w:tabs>
          <w:tab w:leader="none" w:pos="1018" w:val="left"/>
        </w:tabs>
        <w:numPr>
          <w:ilvl w:val="0"/>
          <w:numId w:val="198"/>
        </w:numPr>
        <w:rPr>
          <w:rFonts w:ascii="Calibri" w:cs="Calibri" w:eastAsia="Calibri" w:hAnsi="Calibri"/>
          <w:sz w:val="20"/>
          <w:szCs w:val="20"/>
          <w:color w:val="auto"/>
        </w:rPr>
      </w:pPr>
      <w:r>
        <w:rPr>
          <w:rFonts w:ascii="Arial" w:cs="Arial" w:eastAsia="Arial" w:hAnsi="Arial"/>
          <w:sz w:val="20"/>
          <w:szCs w:val="20"/>
          <w:b w:val="1"/>
          <w:bCs w:val="1"/>
          <w:color w:val="auto"/>
        </w:rPr>
        <w:t>This Amendment</w:t>
      </w:r>
      <w:r>
        <w:rPr>
          <w:rFonts w:ascii="Arial" w:cs="Arial" w:eastAsia="Arial" w:hAnsi="Arial"/>
          <w:sz w:val="20"/>
          <w:szCs w:val="20"/>
          <w:color w:val="auto"/>
        </w:rPr>
        <w:t>. Administrative Agent shall have received this Amendment, dated as of the date hereof,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by Administrative Agent and Borrower.</w:t>
      </w:r>
    </w:p>
    <w:p>
      <w:pPr>
        <w:spacing w:after="0" w:line="121" w:lineRule="exact"/>
        <w:rPr>
          <w:rFonts w:ascii="Calibri" w:cs="Calibri" w:eastAsia="Calibri" w:hAnsi="Calibri"/>
          <w:sz w:val="20"/>
          <w:szCs w:val="20"/>
          <w:color w:val="auto"/>
        </w:rPr>
      </w:pPr>
    </w:p>
    <w:p>
      <w:pPr>
        <w:ind w:right="20" w:firstLine="757"/>
        <w:spacing w:after="0" w:line="287" w:lineRule="auto"/>
        <w:tabs>
          <w:tab w:leader="none" w:pos="1018" w:val="left"/>
        </w:tabs>
        <w:numPr>
          <w:ilvl w:val="0"/>
          <w:numId w:val="198"/>
        </w:numPr>
        <w:rPr>
          <w:rFonts w:ascii="Calibri" w:cs="Calibri" w:eastAsia="Calibri" w:hAnsi="Calibri"/>
          <w:sz w:val="20"/>
          <w:szCs w:val="20"/>
          <w:color w:val="auto"/>
        </w:rPr>
      </w:pPr>
      <w:r>
        <w:rPr>
          <w:rFonts w:ascii="Arial" w:cs="Arial" w:eastAsia="Arial" w:hAnsi="Arial"/>
          <w:sz w:val="20"/>
          <w:szCs w:val="20"/>
          <w:b w:val="1"/>
          <w:bCs w:val="1"/>
          <w:color w:val="auto"/>
        </w:rPr>
        <w:t>Representations and Warranties; No Default</w:t>
      </w:r>
      <w:r>
        <w:rPr>
          <w:rFonts w:ascii="Arial" w:cs="Arial" w:eastAsia="Arial" w:hAnsi="Arial"/>
          <w:sz w:val="20"/>
          <w:szCs w:val="20"/>
          <w:color w:val="auto"/>
        </w:rPr>
        <w:t>. On the First Amendment Effective Date, after giving effect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of the Loan and Security Agreement contemplated hereby:</w:t>
      </w:r>
    </w:p>
    <w:p>
      <w:pPr>
        <w:spacing w:after="0" w:line="123" w:lineRule="exact"/>
        <w:rPr>
          <w:rFonts w:ascii="Calibri" w:cs="Calibri" w:eastAsia="Calibri" w:hAnsi="Calibri"/>
          <w:sz w:val="20"/>
          <w:szCs w:val="20"/>
          <w:color w:val="auto"/>
        </w:rPr>
      </w:pPr>
    </w:p>
    <w:p>
      <w:pPr>
        <w:ind w:right="20" w:firstLine="1505"/>
        <w:spacing w:after="0" w:line="285" w:lineRule="auto"/>
        <w:tabs>
          <w:tab w:leader="none" w:pos="2036" w:val="left"/>
        </w:tabs>
        <w:numPr>
          <w:ilvl w:val="1"/>
          <w:numId w:val="198"/>
        </w:numPr>
        <w:rPr>
          <w:rFonts w:ascii="Calibri" w:cs="Calibri" w:eastAsia="Calibri" w:hAnsi="Calibri"/>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shall be true and correct on and as of the First Amendment Effective Date as though made on and as of such date; and</w:t>
      </w:r>
    </w:p>
    <w:p>
      <w:pPr>
        <w:spacing w:after="0" w:line="125" w:lineRule="exact"/>
        <w:rPr>
          <w:rFonts w:ascii="Calibri" w:cs="Calibri" w:eastAsia="Calibri" w:hAnsi="Calibri"/>
          <w:sz w:val="20"/>
          <w:szCs w:val="20"/>
          <w:color w:val="auto"/>
        </w:rPr>
      </w:pPr>
    </w:p>
    <w:p>
      <w:pPr>
        <w:ind w:left="2040" w:hanging="535"/>
        <w:spacing w:after="0"/>
        <w:tabs>
          <w:tab w:leader="none" w:pos="2040" w:val="left"/>
        </w:tabs>
        <w:numPr>
          <w:ilvl w:val="1"/>
          <w:numId w:val="198"/>
        </w:numPr>
        <w:rPr>
          <w:rFonts w:ascii="Calibri" w:cs="Calibri" w:eastAsia="Calibri" w:hAnsi="Calibri"/>
          <w:sz w:val="20"/>
          <w:szCs w:val="20"/>
          <w:color w:val="auto"/>
        </w:rPr>
      </w:pPr>
      <w:r>
        <w:rPr>
          <w:rFonts w:ascii="Arial" w:cs="Arial" w:eastAsia="Arial" w:hAnsi="Arial"/>
          <w:sz w:val="20"/>
          <w:szCs w:val="20"/>
          <w:color w:val="auto"/>
        </w:rPr>
        <w:t>There exist no Events of Default or events that with the passage of time would result in an Event of</w:t>
      </w:r>
    </w:p>
    <w:p>
      <w:pPr>
        <w:spacing w:after="0" w:line="16" w:lineRule="exact"/>
        <w:rPr>
          <w:rFonts w:ascii="Calibri" w:cs="Calibri" w:eastAsia="Calibri" w:hAnsi="Calibri"/>
          <w:sz w:val="20"/>
          <w:szCs w:val="20"/>
          <w:color w:val="auto"/>
        </w:rPr>
      </w:pPr>
    </w:p>
    <w:p>
      <w:pPr>
        <w:spacing w:after="0"/>
        <w:rPr>
          <w:rFonts w:ascii="Calibri" w:cs="Calibri" w:eastAsia="Calibri" w:hAnsi="Calibri"/>
          <w:sz w:val="20"/>
          <w:szCs w:val="20"/>
          <w:color w:val="auto"/>
        </w:rPr>
      </w:pPr>
      <w:r>
        <w:rPr>
          <w:rFonts w:ascii="Arial" w:cs="Arial" w:eastAsia="Arial" w:hAnsi="Arial"/>
          <w:sz w:val="20"/>
          <w:szCs w:val="20"/>
          <w:color w:val="auto"/>
        </w:rPr>
        <w:t>Default.</w:t>
      </w:r>
    </w:p>
    <w:p>
      <w:pPr>
        <w:spacing w:after="0" w:line="204"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color w:val="auto"/>
        </w:rPr>
        <w:t>SECTION 4</w:t>
      </w: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To induce Lenders to enter into this Amendment, Borrower hereby confirms, as</w:t>
      </w:r>
    </w:p>
    <w:p>
      <w:pPr>
        <w:spacing w:after="0" w:line="9" w:lineRule="exact"/>
        <w:rPr>
          <w:sz w:val="20"/>
          <w:szCs w:val="20"/>
          <w:color w:val="auto"/>
        </w:rPr>
      </w:pPr>
    </w:p>
    <w:p>
      <w:pPr>
        <w:jc w:val="both"/>
        <w:ind w:left="100"/>
        <w:spacing w:after="0" w:line="228" w:lineRule="auto"/>
        <w:rPr>
          <w:sz w:val="20"/>
          <w:szCs w:val="20"/>
          <w:color w:val="auto"/>
        </w:rPr>
      </w:pPr>
      <w:r>
        <w:rPr>
          <w:rFonts w:ascii="Arial" w:cs="Arial" w:eastAsia="Arial" w:hAnsi="Arial"/>
          <w:sz w:val="20"/>
          <w:szCs w:val="20"/>
          <w:color w:val="auto"/>
        </w:rPr>
        <w:t xml:space="preserve">of the First Amendment Effective Date, that (a) after giving effect to the amendments contemplated hereby, the representations and warranties made by it in Article 4.1 of the Loan and Security Agreement and in the other Loan Documents are true and correct in all material respects;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such materiality qualifier shall not be applicable to any representations and warranties that already are qualified or modified by materiality in the text thereof; (b) there has not been and there does not exist a Material Adverse Change; and (c) other than as updated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the information included in the Perfection Certificate most recently delivered to Lender remains true and correct. For the purposes of this </w:t>
      </w:r>
      <w:r>
        <w:rPr>
          <w:rFonts w:ascii="Arial" w:cs="Arial" w:eastAsia="Arial" w:hAnsi="Arial"/>
          <w:sz w:val="20"/>
          <w:szCs w:val="20"/>
          <w:u w:val="single" w:color="auto"/>
          <w:color w:val="auto"/>
        </w:rPr>
        <w:t>Section 4</w:t>
      </w:r>
      <w:r>
        <w:rPr>
          <w:rFonts w:ascii="Arial" w:cs="Arial" w:eastAsia="Arial" w:hAnsi="Arial"/>
          <w:sz w:val="20"/>
          <w:szCs w:val="20"/>
          <w:color w:val="auto"/>
        </w:rPr>
        <w:t>, (i) each reference in Article 4.1 of the Loan and Security Agreement to “this Agreement,” and the words “hereof,” “herein,” “hereunder,” or words of like import in such Section, shall mean and be a reference to the Loan and Security Agreement as amended by this Amendment, and (ii) any representations and warranties which relate solely to an earlier date shall not be deemed confirmed and restated as of the date hereof (provided that such representations and warranties shall be true, correct and complete as of such earlier date).</w:t>
      </w:r>
    </w:p>
    <w:p>
      <w:pPr>
        <w:spacing w:after="0" w:line="181"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color w:val="auto"/>
        </w:rPr>
        <w:t>SECTION 5</w:t>
      </w:r>
      <w:r>
        <w:rPr>
          <w:rFonts w:ascii="Arial" w:cs="Arial" w:eastAsia="Arial" w:hAnsi="Arial"/>
          <w:sz w:val="19"/>
          <w:szCs w:val="19"/>
          <w:b w:val="1"/>
          <w:bCs w:val="1"/>
          <w:color w:val="auto"/>
        </w:rPr>
        <w:t>[RESERVED]</w:t>
      </w:r>
    </w:p>
    <w:p>
      <w:pPr>
        <w:spacing w:after="0" w:line="217"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color w:val="auto"/>
        </w:rPr>
        <w:t>SECTION 6</w:t>
      </w:r>
      <w:r>
        <w:rPr>
          <w:rFonts w:ascii="Arial" w:cs="Arial" w:eastAsia="Arial" w:hAnsi="Arial"/>
          <w:sz w:val="19"/>
          <w:szCs w:val="19"/>
          <w:b w:val="1"/>
          <w:bCs w:val="1"/>
          <w:color w:val="auto"/>
        </w:rPr>
        <w:t>Miscellaneous.</w:t>
      </w:r>
    </w:p>
    <w:p>
      <w:pPr>
        <w:spacing w:after="0" w:line="209" w:lineRule="exact"/>
        <w:rPr>
          <w:sz w:val="20"/>
          <w:szCs w:val="20"/>
          <w:color w:val="auto"/>
        </w:rPr>
      </w:pPr>
    </w:p>
    <w:p>
      <w:pPr>
        <w:ind w:left="1020" w:hanging="263"/>
        <w:spacing w:after="0"/>
        <w:tabs>
          <w:tab w:leader="none" w:pos="1020" w:val="left"/>
        </w:tabs>
        <w:numPr>
          <w:ilvl w:val="0"/>
          <w:numId w:val="199"/>
        </w:numPr>
        <w:rPr>
          <w:rFonts w:ascii="Calibri" w:cs="Calibri" w:eastAsia="Calibri" w:hAnsi="Calibri"/>
          <w:sz w:val="20"/>
          <w:szCs w:val="20"/>
          <w:color w:val="auto"/>
        </w:rPr>
      </w:pPr>
      <w:r>
        <w:rPr>
          <w:rFonts w:ascii="Arial" w:cs="Arial" w:eastAsia="Arial" w:hAnsi="Arial"/>
          <w:sz w:val="20"/>
          <w:szCs w:val="20"/>
          <w:b w:val="1"/>
          <w:bCs w:val="1"/>
          <w:color w:val="auto"/>
        </w:rPr>
        <w:t>Loan Documents Otherwise Not Affected; Reaffirmation</w:t>
      </w:r>
      <w:r>
        <w:rPr>
          <w:rFonts w:ascii="Arial" w:cs="Arial" w:eastAsia="Arial" w:hAnsi="Arial"/>
          <w:sz w:val="20"/>
          <w:szCs w:val="20"/>
          <w:color w:val="auto"/>
        </w:rPr>
        <w:t>.  Except as expressly amended pursuant hereto or</w:t>
      </w:r>
    </w:p>
    <w:p>
      <w:pPr>
        <w:spacing w:after="0" w:line="2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referenced herein, the Loan and Security Agreement and the other Loan Documents shall remain unchanged and in full force and effect and are hereby ratified and confirmed in all respects. Administrative Agent’s execution and delivery of, or acceptance of, this Amendment shall not be deemed to create a course of dealing or otherwise create any express or implied duty by any of them to provide any other or further amendments, consents or waivers in the future. Borrower hereby reaffirms the grant of security under Section 3.1 of the Loan and Security Agreement and hereby reaffirms that such grant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Arial" w:cs="Arial" w:eastAsia="Arial" w:hAnsi="Arial"/>
                <w:sz w:val="14"/>
                <w:szCs w:val="14"/>
                <w:color w:val="auto"/>
              </w:rPr>
              <w:t>First Amendment to LSA – Candel.</w:t>
            </w:r>
          </w:p>
        </w:tc>
        <w:tc>
          <w:tcPr>
            <w:tcW w:w="8400" w:type="dxa"/>
            <w:vAlign w:val="bottom"/>
          </w:tcPr>
          <w:p>
            <w:pPr>
              <w:jc w:val="right"/>
              <w:ind w:right="7552"/>
              <w:spacing w:after="0"/>
              <w:rPr>
                <w:sz w:val="20"/>
                <w:szCs w:val="20"/>
                <w:color w:val="auto"/>
              </w:rPr>
            </w:pPr>
            <w:r>
              <w:rPr>
                <w:rFonts w:ascii="Times New Roman" w:cs="Times New Roman" w:eastAsia="Times New Roman" w:hAnsi="Times New Roman"/>
                <w:sz w:val="22"/>
                <w:szCs w:val="22"/>
                <w:color w:val="auto"/>
              </w:rPr>
              <w:t>2</w:t>
            </w:r>
          </w:p>
        </w:tc>
      </w:tr>
      <w:tr>
        <w:trPr>
          <w:trHeight w:val="481"/>
        </w:trPr>
        <w:tc>
          <w:tcPr>
            <w:tcW w:w="28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48" w:name="page249"/>
    <w:bookmarkEnd w:id="248"/>
    <w:p>
      <w:pPr>
        <w:ind w:right="20"/>
        <w:spacing w:after="0" w:line="257" w:lineRule="auto"/>
        <w:rPr>
          <w:sz w:val="20"/>
          <w:szCs w:val="20"/>
          <w:color w:val="auto"/>
        </w:rPr>
      </w:pPr>
      <w:r>
        <w:rPr>
          <w:rFonts w:ascii="Arial" w:cs="Arial" w:eastAsia="Arial" w:hAnsi="Arial"/>
          <w:sz w:val="20"/>
          <w:szCs w:val="20"/>
          <w:color w:val="auto"/>
        </w:rPr>
        <w:t>security in the Collateral secures all Obligations under the Loan and Security Agreement, including without limitation any Loans funded on or after the First Amendment Effective Date, as of the date hereof.</w:t>
      </w:r>
    </w:p>
    <w:p>
      <w:pPr>
        <w:spacing w:after="0" w:line="153" w:lineRule="exact"/>
        <w:rPr>
          <w:sz w:val="20"/>
          <w:szCs w:val="20"/>
          <w:color w:val="auto"/>
        </w:rPr>
      </w:pPr>
    </w:p>
    <w:p>
      <w:pPr>
        <w:ind w:left="1020" w:hanging="263"/>
        <w:spacing w:after="0"/>
        <w:tabs>
          <w:tab w:leader="none" w:pos="1020" w:val="left"/>
        </w:tabs>
        <w:numPr>
          <w:ilvl w:val="0"/>
          <w:numId w:val="200"/>
        </w:numPr>
        <w:rPr>
          <w:rFonts w:ascii="Calibri" w:cs="Calibri" w:eastAsia="Calibri" w:hAnsi="Calibri"/>
          <w:sz w:val="20"/>
          <w:szCs w:val="20"/>
          <w:color w:val="auto"/>
        </w:rPr>
      </w:pPr>
      <w:r>
        <w:rPr>
          <w:rFonts w:ascii="Arial" w:cs="Arial" w:eastAsia="Arial" w:hAnsi="Arial"/>
          <w:sz w:val="20"/>
          <w:szCs w:val="20"/>
          <w:b w:val="1"/>
          <w:bCs w:val="1"/>
          <w:color w:val="auto"/>
        </w:rPr>
        <w:t>Release</w:t>
      </w:r>
      <w:r>
        <w:rPr>
          <w:rFonts w:ascii="Arial" w:cs="Arial" w:eastAsia="Arial" w:hAnsi="Arial"/>
          <w:sz w:val="20"/>
          <w:szCs w:val="20"/>
          <w:color w:val="auto"/>
        </w:rPr>
        <w:t>.  In consideration of the agreements of Administrative Agent and each Lender contained herein and for</w:t>
      </w:r>
    </w:p>
    <w:p>
      <w:pPr>
        <w:spacing w:after="0" w:line="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other good and valuable consideration, the receipt and sufficiency of which are hereby acknowledged, Borrower, on behalf of itself and its successors, assigns, and other legal representatives, hereby fully, absolutely, unconditionally and irrevocably releases, remises and forever discharges Lenders, and its successors and assigns, and its present and former shareholders, affiliates, subsidiaries, divisions, predecessors, directors, officers, attorneys, employees, agents and other representatives (Lender and all such other persons being hereinafter referred to collectively as the “</w:t>
      </w:r>
      <w:r>
        <w:rPr>
          <w:rFonts w:ascii="Arial" w:cs="Arial" w:eastAsia="Arial" w:hAnsi="Arial"/>
          <w:sz w:val="20"/>
          <w:szCs w:val="20"/>
          <w:b w:val="1"/>
          <w:bCs w:val="1"/>
          <w:color w:val="auto"/>
        </w:rPr>
        <w:t>Releasees</w:t>
      </w:r>
      <w:r>
        <w:rPr>
          <w:rFonts w:ascii="Arial" w:cs="Arial" w:eastAsia="Arial" w:hAnsi="Arial"/>
          <w:sz w:val="20"/>
          <w:szCs w:val="20"/>
          <w:color w:val="auto"/>
        </w:rPr>
        <w:t>” and individually as a “</w:t>
      </w:r>
      <w:r>
        <w:rPr>
          <w:rFonts w:ascii="Arial" w:cs="Arial" w:eastAsia="Arial" w:hAnsi="Arial"/>
          <w:sz w:val="20"/>
          <w:szCs w:val="20"/>
          <w:b w:val="1"/>
          <w:bCs w:val="1"/>
          <w:color w:val="auto"/>
        </w:rPr>
        <w:t>Releasee</w:t>
      </w:r>
      <w:r>
        <w:rPr>
          <w:rFonts w:ascii="Arial" w:cs="Arial" w:eastAsia="Arial" w:hAnsi="Arial"/>
          <w:sz w:val="20"/>
          <w:szCs w:val="20"/>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and Security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 Borrower waives the provisions of California Civil Code Section 1542, which states:</w:t>
      </w:r>
    </w:p>
    <w:p>
      <w:pPr>
        <w:spacing w:after="0" w:line="174" w:lineRule="exact"/>
        <w:rPr>
          <w:sz w:val="20"/>
          <w:szCs w:val="20"/>
          <w:color w:val="auto"/>
        </w:rPr>
      </w:pPr>
    </w:p>
    <w:p>
      <w:pPr>
        <w:jc w:val="both"/>
        <w:ind w:left="760" w:right="740"/>
        <w:spacing w:after="0" w:line="241"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69" w:lineRule="exact"/>
        <w:rPr>
          <w:sz w:val="20"/>
          <w:szCs w:val="20"/>
          <w:color w:val="auto"/>
        </w:rPr>
      </w:pPr>
    </w:p>
    <w:p>
      <w:pPr>
        <w:ind w:left="1020" w:hanging="263"/>
        <w:spacing w:after="0"/>
        <w:tabs>
          <w:tab w:leader="none" w:pos="1020" w:val="left"/>
        </w:tabs>
        <w:numPr>
          <w:ilvl w:val="0"/>
          <w:numId w:val="201"/>
        </w:numPr>
        <w:rPr>
          <w:rFonts w:ascii="Calibri" w:cs="Calibri" w:eastAsia="Calibri" w:hAnsi="Calibri"/>
          <w:sz w:val="20"/>
          <w:szCs w:val="20"/>
          <w:color w:val="auto"/>
        </w:rPr>
      </w:pPr>
      <w:r>
        <w:rPr>
          <w:rFonts w:ascii="Arial" w:cs="Arial" w:eastAsia="Arial" w:hAnsi="Arial"/>
          <w:sz w:val="20"/>
          <w:szCs w:val="20"/>
          <w:b w:val="1"/>
          <w:bCs w:val="1"/>
          <w:color w:val="auto"/>
        </w:rPr>
        <w:t>No Reliance</w:t>
      </w:r>
      <w:r>
        <w:rPr>
          <w:rFonts w:ascii="Arial" w:cs="Arial" w:eastAsia="Arial" w:hAnsi="Arial"/>
          <w:sz w:val="20"/>
          <w:szCs w:val="20"/>
          <w:color w:val="auto"/>
        </w:rPr>
        <w:t>.  Borrower hereby acknowledges and confirms to each Lender that Borrower is executing this</w:t>
      </w:r>
    </w:p>
    <w:p>
      <w:pPr>
        <w:spacing w:after="0" w:line="2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Amendment on the basis of its own investigation and for its own reasons without reliance upon any agreement, representation, understanding or communication by or on behalf of any other person.</w:t>
      </w:r>
    </w:p>
    <w:p>
      <w:pPr>
        <w:spacing w:after="0" w:line="168" w:lineRule="exact"/>
        <w:rPr>
          <w:sz w:val="20"/>
          <w:szCs w:val="20"/>
          <w:color w:val="auto"/>
        </w:rPr>
      </w:pPr>
    </w:p>
    <w:p>
      <w:pPr>
        <w:ind w:left="1020" w:hanging="263"/>
        <w:spacing w:after="0"/>
        <w:tabs>
          <w:tab w:leader="none" w:pos="1020" w:val="left"/>
        </w:tabs>
        <w:numPr>
          <w:ilvl w:val="0"/>
          <w:numId w:val="202"/>
        </w:numPr>
        <w:rPr>
          <w:rFonts w:ascii="Calibri" w:cs="Calibri" w:eastAsia="Calibri" w:hAnsi="Calibri"/>
          <w:sz w:val="20"/>
          <w:szCs w:val="20"/>
          <w:color w:val="auto"/>
        </w:rPr>
      </w:pPr>
      <w:r>
        <w:rPr>
          <w:rFonts w:ascii="Arial" w:cs="Arial" w:eastAsia="Arial" w:hAnsi="Arial"/>
          <w:sz w:val="20"/>
          <w:szCs w:val="20"/>
          <w:b w:val="1"/>
          <w:bCs w:val="1"/>
          <w:color w:val="auto"/>
        </w:rPr>
        <w:t>Costs and Expenses</w:t>
      </w:r>
      <w:r>
        <w:rPr>
          <w:rFonts w:ascii="Arial" w:cs="Arial" w:eastAsia="Arial" w:hAnsi="Arial"/>
          <w:sz w:val="20"/>
          <w:szCs w:val="20"/>
          <w:color w:val="auto"/>
        </w:rPr>
        <w:t>. Borrower agrees to pay to Lender within ten (10) days of its receipt of an invoice (or on the</w:t>
      </w:r>
    </w:p>
    <w:p>
      <w:pPr>
        <w:spacing w:after="0" w:line="2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First Amendment Effective Date to the extent invoiced on or prior to the First Amendment Effective Date), the reasonable and documented out-of-pocket costs and expenses of Lender, and the reasonable and documented out-of-pocket fees and disbursements of counsel to Administrative Agent, in connection with the negotiation, preparation, execution and delivery of this Amendment and any other documents to be delivered in connection herewith on the First Amendment Effective Date or after such date.</w:t>
      </w:r>
    </w:p>
    <w:p>
      <w:pPr>
        <w:spacing w:after="0" w:line="173" w:lineRule="exact"/>
        <w:rPr>
          <w:sz w:val="20"/>
          <w:szCs w:val="20"/>
          <w:color w:val="auto"/>
        </w:rPr>
      </w:pPr>
    </w:p>
    <w:p>
      <w:pPr>
        <w:ind w:left="1020" w:hanging="263"/>
        <w:spacing w:after="0"/>
        <w:tabs>
          <w:tab w:leader="none" w:pos="1020" w:val="left"/>
        </w:tabs>
        <w:numPr>
          <w:ilvl w:val="0"/>
          <w:numId w:val="203"/>
        </w:numPr>
        <w:rPr>
          <w:rFonts w:ascii="Calibri" w:cs="Calibri" w:eastAsia="Calibri" w:hAnsi="Calibri"/>
          <w:sz w:val="20"/>
          <w:szCs w:val="20"/>
          <w:color w:val="auto"/>
        </w:rPr>
      </w:pPr>
      <w:r>
        <w:rPr>
          <w:rFonts w:ascii="Arial" w:cs="Arial" w:eastAsia="Arial" w:hAnsi="Arial"/>
          <w:sz w:val="20"/>
          <w:szCs w:val="20"/>
          <w:b w:val="1"/>
          <w:bCs w:val="1"/>
          <w:color w:val="auto"/>
        </w:rPr>
        <w:t>Binding Effect</w:t>
      </w:r>
      <w:r>
        <w:rPr>
          <w:rFonts w:ascii="Arial" w:cs="Arial" w:eastAsia="Arial" w:hAnsi="Arial"/>
          <w:sz w:val="20"/>
          <w:szCs w:val="20"/>
          <w:color w:val="auto"/>
        </w:rPr>
        <w:t>.  This Amendment binds and is for the benefit of the successors and permitted assigns of each</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Arial" w:cs="Arial" w:eastAsia="Arial" w:hAnsi="Arial"/>
                <w:sz w:val="14"/>
                <w:szCs w:val="14"/>
                <w:color w:val="auto"/>
              </w:rPr>
              <w:t>First Amendment to LSA – Candel.</w:t>
            </w:r>
          </w:p>
        </w:tc>
        <w:tc>
          <w:tcPr>
            <w:tcW w:w="8400" w:type="dxa"/>
            <w:vAlign w:val="bottom"/>
          </w:tcPr>
          <w:p>
            <w:pPr>
              <w:jc w:val="right"/>
              <w:ind w:right="7552"/>
              <w:spacing w:after="0"/>
              <w:rPr>
                <w:sz w:val="20"/>
                <w:szCs w:val="20"/>
                <w:color w:val="auto"/>
              </w:rPr>
            </w:pPr>
            <w:r>
              <w:rPr>
                <w:rFonts w:ascii="Times New Roman" w:cs="Times New Roman" w:eastAsia="Times New Roman" w:hAnsi="Times New Roman"/>
                <w:sz w:val="22"/>
                <w:szCs w:val="22"/>
                <w:color w:val="auto"/>
              </w:rPr>
              <w:t>3</w:t>
            </w:r>
          </w:p>
        </w:tc>
      </w:tr>
      <w:tr>
        <w:trPr>
          <w:trHeight w:val="481"/>
        </w:trPr>
        <w:tc>
          <w:tcPr>
            <w:tcW w:w="28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49" w:name="page250"/>
    <w:bookmarkEnd w:id="249"/>
    <w:p>
      <w:pPr>
        <w:ind w:left="1020" w:hanging="263"/>
        <w:spacing w:after="0"/>
        <w:tabs>
          <w:tab w:leader="none" w:pos="1020" w:val="left"/>
        </w:tabs>
        <w:numPr>
          <w:ilvl w:val="0"/>
          <w:numId w:val="204"/>
        </w:numPr>
        <w:rPr>
          <w:rFonts w:ascii="Calibri" w:cs="Calibri" w:eastAsia="Calibri" w:hAnsi="Calibri"/>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w:t>
      </w:r>
      <w:r>
        <w:rPr>
          <w:rFonts w:ascii="Arial" w:cs="Arial" w:eastAsia="Arial" w:hAnsi="Arial"/>
          <w:sz w:val="20"/>
          <w:szCs w:val="20"/>
          <w:b w:val="1"/>
          <w:bCs w:val="1"/>
          <w:color w:val="auto"/>
        </w:rPr>
        <w:t xml:space="preserve">  THIS AMENDMENT AND THE RIGHTS AND OBLIGATIONS OF THE PARTIES HEREUNDER</w:t>
      </w:r>
    </w:p>
    <w:p>
      <w:pPr>
        <w:spacing w:after="0" w:line="29"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b w:val="1"/>
          <w:bCs w:val="1"/>
          <w:color w:val="auto"/>
        </w:rPr>
        <w:t>SHALL IN 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w:t>
      </w:r>
    </w:p>
    <w:p>
      <w:pPr>
        <w:spacing w:after="0" w:line="163" w:lineRule="exact"/>
        <w:rPr>
          <w:sz w:val="20"/>
          <w:szCs w:val="20"/>
          <w:color w:val="auto"/>
        </w:rPr>
      </w:pPr>
    </w:p>
    <w:p>
      <w:pPr>
        <w:ind w:left="1020" w:hanging="263"/>
        <w:spacing w:after="0"/>
        <w:tabs>
          <w:tab w:leader="none" w:pos="1020" w:val="left"/>
        </w:tabs>
        <w:numPr>
          <w:ilvl w:val="0"/>
          <w:numId w:val="205"/>
        </w:numPr>
        <w:rPr>
          <w:rFonts w:ascii="Calibri" w:cs="Calibri" w:eastAsia="Calibri" w:hAnsi="Calibri"/>
          <w:sz w:val="20"/>
          <w:szCs w:val="20"/>
          <w:color w:val="auto"/>
        </w:rPr>
      </w:pPr>
      <w:r>
        <w:rPr>
          <w:rFonts w:ascii="Arial" w:cs="Arial" w:eastAsia="Arial" w:hAnsi="Arial"/>
          <w:sz w:val="20"/>
          <w:szCs w:val="20"/>
          <w:b w:val="1"/>
          <w:bCs w:val="1"/>
          <w:color w:val="auto"/>
        </w:rPr>
        <w:t>Complete Agreement; Amendments</w:t>
      </w:r>
      <w:r>
        <w:rPr>
          <w:rFonts w:ascii="Arial" w:cs="Arial" w:eastAsia="Arial" w:hAnsi="Arial"/>
          <w:sz w:val="20"/>
          <w:szCs w:val="20"/>
          <w:color w:val="auto"/>
        </w:rPr>
        <w:t>. This Amendment and the Loan Documents represent the entire agreement</w:t>
      </w:r>
    </w:p>
    <w:p>
      <w:pPr>
        <w:spacing w:after="0" w:line="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69" w:lineRule="exact"/>
        <w:rPr>
          <w:sz w:val="20"/>
          <w:szCs w:val="20"/>
          <w:color w:val="auto"/>
        </w:rPr>
      </w:pPr>
    </w:p>
    <w:p>
      <w:pPr>
        <w:ind w:firstLine="757"/>
        <w:spacing w:after="0" w:line="287" w:lineRule="auto"/>
        <w:tabs>
          <w:tab w:leader="none" w:pos="1018" w:val="left"/>
        </w:tabs>
        <w:numPr>
          <w:ilvl w:val="0"/>
          <w:numId w:val="206"/>
        </w:numPr>
        <w:rPr>
          <w:rFonts w:ascii="Calibri" w:cs="Calibri" w:eastAsia="Calibri" w:hAnsi="Calibri"/>
          <w:sz w:val="20"/>
          <w:szCs w:val="20"/>
          <w:color w:val="auto"/>
        </w:rPr>
      </w:pPr>
      <w:r>
        <w:rPr>
          <w:rFonts w:ascii="Arial" w:cs="Arial" w:eastAsia="Arial" w:hAnsi="Arial"/>
          <w:sz w:val="20"/>
          <w:szCs w:val="20"/>
          <w:b w:val="1"/>
          <w:bCs w:val="1"/>
          <w:color w:val="auto"/>
        </w:rPr>
        <w:t xml:space="preserve">Severability of Provisions. </w:t>
      </w:r>
      <w:r>
        <w:rPr>
          <w:rFonts w:ascii="Arial" w:cs="Arial" w:eastAsia="Arial" w:hAnsi="Arial"/>
          <w:sz w:val="20"/>
          <w:szCs w:val="20"/>
          <w:color w:val="auto"/>
        </w:rPr>
        <w:t>Each provision of this Amendment is severable from every other provision in</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determining the enforceability of any provision.</w:t>
      </w:r>
    </w:p>
    <w:p>
      <w:pPr>
        <w:spacing w:after="0" w:line="121" w:lineRule="exact"/>
        <w:rPr>
          <w:rFonts w:ascii="Calibri" w:cs="Calibri" w:eastAsia="Calibri" w:hAnsi="Calibri"/>
          <w:sz w:val="20"/>
          <w:szCs w:val="20"/>
          <w:color w:val="auto"/>
        </w:rPr>
      </w:pPr>
    </w:p>
    <w:p>
      <w:pPr>
        <w:ind w:left="1020" w:hanging="263"/>
        <w:spacing w:after="0"/>
        <w:tabs>
          <w:tab w:leader="none" w:pos="1020" w:val="left"/>
        </w:tabs>
        <w:numPr>
          <w:ilvl w:val="0"/>
          <w:numId w:val="206"/>
        </w:numPr>
        <w:rPr>
          <w:rFonts w:ascii="Calibri" w:cs="Calibri" w:eastAsia="Calibri" w:hAnsi="Calibri"/>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executed in any number of counterparts and by different parties on</w:t>
      </w:r>
    </w:p>
    <w:p>
      <w:pPr>
        <w:spacing w:after="0" w:line="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69" w:lineRule="exact"/>
        <w:rPr>
          <w:sz w:val="20"/>
          <w:szCs w:val="20"/>
          <w:color w:val="auto"/>
        </w:rPr>
      </w:pPr>
    </w:p>
    <w:p>
      <w:pPr>
        <w:ind w:left="1020" w:hanging="263"/>
        <w:spacing w:after="0"/>
        <w:tabs>
          <w:tab w:leader="none" w:pos="1020" w:val="left"/>
        </w:tabs>
        <w:numPr>
          <w:ilvl w:val="0"/>
          <w:numId w:val="207"/>
        </w:numPr>
        <w:rPr>
          <w:rFonts w:ascii="Calibri" w:cs="Calibri" w:eastAsia="Calibri" w:hAnsi="Calibri"/>
          <w:sz w:val="20"/>
          <w:szCs w:val="20"/>
          <w:color w:val="auto"/>
        </w:rPr>
      </w:pPr>
      <w:r>
        <w:rPr>
          <w:rFonts w:ascii="Arial" w:cs="Arial" w:eastAsia="Arial" w:hAnsi="Arial"/>
          <w:sz w:val="20"/>
          <w:szCs w:val="20"/>
          <w:b w:val="1"/>
          <w:bCs w:val="1"/>
          <w:color w:val="auto"/>
        </w:rPr>
        <w:t>Loan Documents</w:t>
      </w:r>
      <w:r>
        <w:rPr>
          <w:rFonts w:ascii="Arial" w:cs="Arial" w:eastAsia="Arial" w:hAnsi="Arial"/>
          <w:sz w:val="20"/>
          <w:szCs w:val="20"/>
          <w:color w:val="auto"/>
        </w:rPr>
        <w:t>. This Amendment and the documents related hereto shall constitute Loan Documents.</w:t>
      </w:r>
    </w:p>
    <w:p>
      <w:pPr>
        <w:spacing w:after="0" w:line="230" w:lineRule="exact"/>
        <w:rPr>
          <w:rFonts w:ascii="Calibri" w:cs="Calibri" w:eastAsia="Calibri" w:hAnsi="Calibri"/>
          <w:sz w:val="20"/>
          <w:szCs w:val="20"/>
          <w:color w:val="auto"/>
        </w:rPr>
      </w:pPr>
    </w:p>
    <w:p>
      <w:pPr>
        <w:ind w:left="2700"/>
        <w:spacing w:after="0"/>
        <w:rPr>
          <w:rFonts w:ascii="Calibri" w:cs="Calibri" w:eastAsia="Calibri" w:hAnsi="Calibri"/>
          <w:sz w:val="20"/>
          <w:szCs w:val="20"/>
          <w:color w:val="auto"/>
        </w:rPr>
      </w:pPr>
      <w:r>
        <w:rPr>
          <w:rFonts w:ascii="Arial" w:cs="Arial" w:eastAsia="Arial" w:hAnsi="Arial"/>
          <w:sz w:val="20"/>
          <w:szCs w:val="20"/>
          <w:i w:val="1"/>
          <w:iCs w:val="1"/>
          <w:color w:val="auto"/>
        </w:rPr>
        <w:t>[Balance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Arial" w:cs="Arial" w:eastAsia="Arial" w:hAnsi="Arial"/>
                <w:sz w:val="14"/>
                <w:szCs w:val="14"/>
                <w:color w:val="auto"/>
              </w:rPr>
              <w:t>First Amendment to LSA – Candel.</w:t>
            </w:r>
          </w:p>
        </w:tc>
        <w:tc>
          <w:tcPr>
            <w:tcW w:w="8400" w:type="dxa"/>
            <w:vAlign w:val="bottom"/>
          </w:tcPr>
          <w:p>
            <w:pPr>
              <w:jc w:val="right"/>
              <w:ind w:right="7552"/>
              <w:spacing w:after="0"/>
              <w:rPr>
                <w:sz w:val="20"/>
                <w:szCs w:val="20"/>
                <w:color w:val="auto"/>
              </w:rPr>
            </w:pPr>
            <w:r>
              <w:rPr>
                <w:rFonts w:ascii="Times New Roman" w:cs="Times New Roman" w:eastAsia="Times New Roman" w:hAnsi="Times New Roman"/>
                <w:sz w:val="22"/>
                <w:szCs w:val="22"/>
                <w:color w:val="auto"/>
              </w:rPr>
              <w:t>4</w:t>
            </w:r>
          </w:p>
        </w:tc>
      </w:tr>
      <w:tr>
        <w:trPr>
          <w:trHeight w:val="481"/>
        </w:trPr>
        <w:tc>
          <w:tcPr>
            <w:tcW w:w="28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50" w:name="page251"/>
    <w:bookmarkEnd w:id="250"/>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duly executed this Amendment, as of the date first above written.</w:t>
      </w:r>
    </w:p>
    <w:p>
      <w:pPr>
        <w:sectPr>
          <w:pgSz w:w="11900" w:h="16838" w:orient="portrait"/>
          <w:cols w:equalWidth="0" w:num="1">
            <w:col w:w="10080"/>
          </w:cols>
          <w:pgMar w:left="1080" w:top="1412" w:right="739" w:bottom="1440" w:gutter="0" w:footer="0" w:header="0"/>
        </w:sectPr>
      </w:pPr>
    </w:p>
    <w:p>
      <w:pPr>
        <w:spacing w:after="0" w:line="214"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BORROWER:</w:t>
      </w:r>
    </w:p>
    <w:p>
      <w:pPr>
        <w:spacing w:after="0" w:line="202"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CANDEL THERAPEUTICS, INC.</w:t>
      </w:r>
      <w:r>
        <w:rPr>
          <w:rFonts w:ascii="Arial" w:cs="Arial" w:eastAsia="Arial" w:hAnsi="Arial"/>
          <w:sz w:val="20"/>
          <w:szCs w:val="20"/>
          <w:color w:val="auto"/>
        </w:rPr>
        <w:t>,</w:t>
      </w:r>
    </w:p>
    <w:p>
      <w:pPr>
        <w:spacing w:after="0" w:line="6"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a Delaware corporation</w:t>
      </w:r>
    </w:p>
    <w:p>
      <w:pPr>
        <w:spacing w:after="0" w:line="400"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Charles Schoch</w:t>
      </w:r>
      <w:r>
        <w:rPr>
          <w:rFonts w:ascii="Arial" w:cs="Arial" w:eastAsia="Arial" w:hAnsi="Arial"/>
          <w:sz w:val="20"/>
          <w:szCs w:val="20"/>
          <w:color w:val="auto"/>
        </w:rPr>
        <w:t>______________</w:t>
      </w:r>
    </w:p>
    <w:p>
      <w:pPr>
        <w:ind w:left="3740"/>
        <w:spacing w:after="0" w:line="229" w:lineRule="auto"/>
        <w:rPr>
          <w:sz w:val="20"/>
          <w:szCs w:val="20"/>
          <w:color w:val="auto"/>
        </w:rPr>
      </w:pPr>
      <w:r>
        <w:rPr>
          <w:rFonts w:ascii="Arial" w:cs="Arial" w:eastAsia="Arial" w:hAnsi="Arial"/>
          <w:sz w:val="20"/>
          <w:szCs w:val="20"/>
          <w:color w:val="auto"/>
        </w:rPr>
        <w:t>Name: Charles Schoch</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LENDER:</w:t>
      </w:r>
    </w:p>
    <w:p>
      <w:pPr>
        <w:spacing w:after="0" w:line="202"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TRINITY CAPITAL INC.</w:t>
      </w:r>
      <w:r>
        <w:rPr>
          <w:rFonts w:ascii="Arial" w:cs="Arial" w:eastAsia="Arial" w:hAnsi="Arial"/>
          <w:sz w:val="20"/>
          <w:szCs w:val="20"/>
          <w:color w:val="auto"/>
        </w:rPr>
        <w:t>,</w:t>
      </w:r>
    </w:p>
    <w:p>
      <w:pPr>
        <w:ind w:left="3740"/>
        <w:spacing w:after="0" w:line="231" w:lineRule="auto"/>
        <w:rPr>
          <w:sz w:val="20"/>
          <w:szCs w:val="20"/>
          <w:color w:val="auto"/>
        </w:rPr>
      </w:pPr>
      <w:r>
        <w:rPr>
          <w:rFonts w:ascii="Arial" w:cs="Arial" w:eastAsia="Arial" w:hAnsi="Arial"/>
          <w:sz w:val="20"/>
          <w:szCs w:val="20"/>
          <w:color w:val="auto"/>
        </w:rPr>
        <w:t>a Maryland corporation,</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as Lender</w:t>
      </w:r>
    </w:p>
    <w:p>
      <w:pPr>
        <w:spacing w:after="0" w:line="400"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Sarah Stanton</w:t>
      </w:r>
      <w:r>
        <w:rPr>
          <w:rFonts w:ascii="Arial" w:cs="Arial" w:eastAsia="Arial" w:hAnsi="Arial"/>
          <w:sz w:val="20"/>
          <w:szCs w:val="20"/>
          <w:color w:val="auto"/>
        </w:rPr>
        <w:t>________________</w:t>
      </w:r>
    </w:p>
    <w:p>
      <w:pPr>
        <w:ind w:left="3740"/>
        <w:spacing w:after="0" w:line="229" w:lineRule="auto"/>
        <w:rPr>
          <w:sz w:val="20"/>
          <w:szCs w:val="20"/>
          <w:color w:val="auto"/>
        </w:rPr>
      </w:pPr>
      <w:r>
        <w:rPr>
          <w:rFonts w:ascii="Arial" w:cs="Arial" w:eastAsia="Arial" w:hAnsi="Arial"/>
          <w:sz w:val="20"/>
          <w:szCs w:val="20"/>
          <w:color w:val="auto"/>
        </w:rPr>
        <w:t>Name: Sarah Stanton</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Its: General Counsel and Secretary</w:t>
      </w:r>
    </w:p>
    <w:p>
      <w:pPr>
        <w:spacing w:after="0" w:line="22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i w:val="1"/>
          <w:iCs w:val="1"/>
          <w:color w:val="auto"/>
        </w:rPr>
        <w:t>[Signature Page to First Amendment to Loan and Security Agreement (Trinity/Candel)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574040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080" w:top="1412" w:right="739" w:bottom="1440" w:gutter="0" w:footer="0" w:header="0"/>
          <w:type w:val="continuous"/>
        </w:sectPr>
      </w:pPr>
    </w:p>
    <w:bookmarkStart w:id="251" w:name="page252"/>
    <w:bookmarkEnd w:id="251"/>
    <w:p>
      <w:pPr>
        <w:jc w:val="center"/>
        <w:ind w:right="-19"/>
        <w:spacing w:after="0"/>
        <w:rPr>
          <w:sz w:val="20"/>
          <w:szCs w:val="20"/>
          <w:color w:val="auto"/>
        </w:rPr>
      </w:pPr>
      <w:r>
        <w:rPr>
          <w:rFonts w:ascii="Arial" w:cs="Arial" w:eastAsia="Arial" w:hAnsi="Arial"/>
          <w:sz w:val="19"/>
          <w:szCs w:val="19"/>
          <w:color w:val="auto"/>
        </w:rPr>
        <w:t>ANNEX I to First Amendment to Loan and Security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COMPLIANCE CERTIFICATE</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Trinity Capital Inc., as Administrative Agent</w:t>
      </w:r>
    </w:p>
    <w:p>
      <w:pPr>
        <w:spacing w:after="0" w:line="211" w:lineRule="exact"/>
        <w:rPr>
          <w:sz w:val="20"/>
          <w:szCs w:val="20"/>
          <w:color w:val="auto"/>
        </w:rPr>
      </w:pPr>
    </w:p>
    <w:p>
      <w:pPr>
        <w:sectPr>
          <w:pgSz w:w="11900" w:h="16838" w:orient="portrait"/>
          <w:cols w:equalWidth="0" w:num="2">
            <w:col w:w="920" w:space="720"/>
            <w:col w:w="9600"/>
          </w:cols>
          <w:pgMar w:left="320" w:top="1414" w:right="339" w:bottom="1440" w:gutter="0" w:footer="0" w:header="0"/>
          <w:type w:val="continuous"/>
        </w:sectPr>
      </w:pP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Candel Therapeutics, Inc.</w:t>
      </w:r>
    </w:p>
    <w:p>
      <w:pPr>
        <w:spacing w:after="0" w:line="200" w:lineRule="exact"/>
        <w:rPr>
          <w:sz w:val="20"/>
          <w:szCs w:val="20"/>
          <w:color w:val="auto"/>
        </w:rPr>
      </w:pPr>
    </w:p>
    <w:p>
      <w:pPr>
        <w:sectPr>
          <w:pgSz w:w="11900" w:h="16838" w:orient="portrait"/>
          <w:cols w:equalWidth="0" w:num="2">
            <w:col w:w="920" w:space="720"/>
            <w:col w:w="9600"/>
          </w:cols>
          <w:pgMar w:left="320" w:top="1414" w:right="339" w:bottom="1440" w:gutter="0" w:footer="0" w:header="0"/>
          <w:type w:val="continuous"/>
        </w:sectPr>
      </w:pPr>
    </w:p>
    <w:p>
      <w:pPr>
        <w:spacing w:after="0" w:line="2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undersigned authorized officer (“</w:t>
      </w:r>
      <w:r>
        <w:rPr>
          <w:rFonts w:ascii="Arial" w:cs="Arial" w:eastAsia="Arial" w:hAnsi="Arial"/>
          <w:sz w:val="18"/>
          <w:szCs w:val="18"/>
          <w:u w:val="single" w:color="auto"/>
          <w:color w:val="auto"/>
        </w:rPr>
        <w:t>Officer</w:t>
      </w:r>
      <w:r>
        <w:rPr>
          <w:rFonts w:ascii="Arial" w:cs="Arial" w:eastAsia="Arial" w:hAnsi="Arial"/>
          <w:sz w:val="18"/>
          <w:szCs w:val="18"/>
          <w:color w:val="auto"/>
        </w:rPr>
        <w:t>”) of Candel Therapeutics, Inc. (“</w:t>
      </w:r>
      <w:r>
        <w:rPr>
          <w:rFonts w:ascii="Arial" w:cs="Arial" w:eastAsia="Arial" w:hAnsi="Arial"/>
          <w:sz w:val="18"/>
          <w:szCs w:val="18"/>
          <w:u w:val="single" w:color="auto"/>
          <w:color w:val="auto"/>
        </w:rPr>
        <w:t>Borrower</w:t>
      </w:r>
      <w:r>
        <w:rPr>
          <w:rFonts w:ascii="Arial" w:cs="Arial" w:eastAsia="Arial" w:hAnsi="Arial"/>
          <w:sz w:val="18"/>
          <w:szCs w:val="18"/>
          <w:color w:val="auto"/>
        </w:rPr>
        <w:t>”), hereby certifies that in accordance with the terms and conditions of the Loan and Security Agreement dated as of October 14, 2025, by and among Borrower, the Lenders party thereto, and Trinity Capital Inc., as administrative agent and collateral agent for the Lenders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w:t>
      </w:r>
      <w:r>
        <w:rPr>
          <w:rFonts w:ascii="Arial" w:cs="Arial" w:eastAsia="Arial" w:hAnsi="Arial"/>
          <w:sz w:val="18"/>
          <w:szCs w:val="18"/>
          <w:u w:val="single" w:color="auto"/>
          <w:color w:val="auto"/>
        </w:rPr>
        <w:t>Loan Agreement</w:t>
      </w:r>
      <w:r>
        <w:rPr>
          <w:rFonts w:ascii="Arial" w:cs="Arial" w:eastAsia="Arial" w:hAnsi="Arial"/>
          <w:sz w:val="18"/>
          <w:szCs w:val="18"/>
          <w:color w:val="auto"/>
        </w:rPr>
        <w:t>;” capitalized terms used but not otherwise defined herein shall have the meanings given them in the Loan Agreement),</w:t>
      </w:r>
    </w:p>
    <w:p>
      <w:pPr>
        <w:spacing w:after="0" w:line="174" w:lineRule="exact"/>
        <w:rPr>
          <w:sz w:val="20"/>
          <w:szCs w:val="20"/>
          <w:color w:val="auto"/>
        </w:rPr>
      </w:pPr>
    </w:p>
    <w:p>
      <w:pPr>
        <w:ind w:right="20" w:firstLine="757"/>
        <w:spacing w:after="0" w:line="271" w:lineRule="auto"/>
        <w:tabs>
          <w:tab w:leader="none" w:pos="11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As of the date hereof, there are no Potential Events of Default or Events of Default (whether as a result of failure to comply with any required covenant or otherwise), except as noted below;</w:t>
      </w:r>
    </w:p>
    <w:p>
      <w:pPr>
        <w:spacing w:after="0" w:line="153" w:lineRule="exact"/>
        <w:rPr>
          <w:rFonts w:ascii="Arial" w:cs="Arial" w:eastAsia="Arial" w:hAnsi="Arial"/>
          <w:sz w:val="18"/>
          <w:szCs w:val="18"/>
          <w:color w:val="auto"/>
        </w:rPr>
      </w:pPr>
    </w:p>
    <w:p>
      <w:pPr>
        <w:jc w:val="both"/>
        <w:ind w:firstLine="757"/>
        <w:spacing w:after="0" w:line="247" w:lineRule="auto"/>
        <w:tabs>
          <w:tab w:leader="none" w:pos="11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Except as noted below, all representations and warranties of Borrower stated in the Loan Documents are true and correct in all material respects on this date; provided, that those representations and warranties expressly referring to a specific date shall be true, accurate and complete in all material respects as of such date; provided, further, that such materiality qualifier shall not be applicable to any representations and warranties that already are qualified or modified by materiality in the text thereof.</w:t>
      </w:r>
    </w:p>
    <w:p>
      <w:pPr>
        <w:spacing w:after="0" w:line="173" w:lineRule="exact"/>
        <w:rPr>
          <w:rFonts w:ascii="Arial" w:cs="Arial" w:eastAsia="Arial" w:hAnsi="Arial"/>
          <w:sz w:val="18"/>
          <w:szCs w:val="18"/>
          <w:color w:val="auto"/>
        </w:rPr>
      </w:pPr>
    </w:p>
    <w:p>
      <w:pPr>
        <w:jc w:val="both"/>
        <w:ind w:firstLine="757"/>
        <w:spacing w:after="0" w:line="242" w:lineRule="auto"/>
        <w:tabs>
          <w:tab w:leader="none" w:pos="11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Borrower and each Subsidiary has filed all federal, state and other tax returns that are required to be filed and has paid all taxes shown thereon to be due, together with applicable interest and penalties, and all other material taxes, fees or other charges imposed on it or any of its property by any governmental or regulatory authority, except (a) taxes that are being contested in good faith by appropriate proceedings diligently conducted and for which adequate reserves are being maintained in accordance with GAAP or (b) taxes, fees or other charges not exceeding $50,000 individually or in the aggregate. No tax Liens (other than Permitted Liens) have been filed, and, to the Knowledge of Borrower, no claim is being asserted, with respect to any such tax, fee or other charge.</w:t>
      </w:r>
    </w:p>
    <w:p>
      <w:pPr>
        <w:spacing w:after="0" w:line="178" w:lineRule="exact"/>
        <w:rPr>
          <w:rFonts w:ascii="Arial" w:cs="Arial" w:eastAsia="Arial" w:hAnsi="Arial"/>
          <w:sz w:val="18"/>
          <w:szCs w:val="18"/>
          <w:color w:val="auto"/>
        </w:rPr>
      </w:pPr>
    </w:p>
    <w:p>
      <w:pPr>
        <w:ind w:right="20" w:firstLine="757"/>
        <w:spacing w:after="0" w:line="271" w:lineRule="auto"/>
        <w:tabs>
          <w:tab w:leader="none" w:pos="11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Administrative Agent.</w:t>
      </w:r>
    </w:p>
    <w:p>
      <w:pPr>
        <w:spacing w:after="0" w:line="154" w:lineRule="exact"/>
        <w:rPr>
          <w:sz w:val="20"/>
          <w:szCs w:val="20"/>
          <w:color w:val="auto"/>
        </w:rPr>
      </w:pPr>
    </w:p>
    <w:p>
      <w:pPr>
        <w:jc w:val="both"/>
        <w:ind w:firstLine="749"/>
        <w:spacing w:after="0" w:line="210" w:lineRule="exact"/>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GAAP applied on a consistent basis from one period to the next except as explained in an accompanying letter or footnotes and except, in the case of unaudited financial statements, for the absence of footnotes and subject to quarter-end (with respect to any month not constituting the end of a fiscal quarter) and year</w:t>
      </w:r>
      <w:r>
        <w:rPr>
          <w:rFonts w:ascii="MS PGothic" w:cs="MS PGothic" w:eastAsia="MS PGothic" w:hAnsi="MS PGothic"/>
          <w:sz w:val="18"/>
          <w:szCs w:val="18"/>
          <w:color w:val="auto"/>
        </w:rPr>
        <w:t>‑</w:t>
      </w:r>
      <w:r>
        <w:rPr>
          <w:rFonts w:ascii="Arial" w:cs="Arial" w:eastAsia="Arial" w:hAnsi="Arial"/>
          <w:sz w:val="18"/>
          <w:szCs w:val="18"/>
          <w:color w:val="auto"/>
        </w:rPr>
        <w:t>end audit adjustments as to the interim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type w:val="continuous"/>
        </w:sectPr>
      </w:pPr>
    </w:p>
    <w:bookmarkStart w:id="252" w:name="page253"/>
    <w:bookmarkEnd w:id="252"/>
    <w:p>
      <w:pPr>
        <w:spacing w:after="0" w:line="1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Reporting Covenant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2700" w:val="left"/>
          <w:tab w:leader="none" w:pos="4540" w:val="left"/>
        </w:tabs>
        <w:rPr>
          <w:sz w:val="20"/>
          <w:szCs w:val="20"/>
          <w:color w:val="auto"/>
        </w:rPr>
      </w:pPr>
      <w:r>
        <w:rPr>
          <w:rFonts w:ascii="Times New Roman" w:cs="Times New Roman" w:eastAsia="Times New Roman" w:hAnsi="Times New Roman"/>
          <w:sz w:val="22"/>
          <w:szCs w:val="22"/>
          <w:b w:val="1"/>
          <w:bCs w:val="1"/>
          <w:color w:val="auto"/>
        </w:rPr>
        <w:t>Requirement</w:t>
      </w:r>
      <w:r>
        <w:rPr>
          <w:sz w:val="20"/>
          <w:szCs w:val="20"/>
          <w:color w:val="auto"/>
        </w:rPr>
        <w:tab/>
      </w:r>
      <w:r>
        <w:rPr>
          <w:rFonts w:ascii="Times New Roman" w:cs="Times New Roman" w:eastAsia="Times New Roman" w:hAnsi="Times New Roman"/>
          <w:sz w:val="22"/>
          <w:szCs w:val="22"/>
          <w:b w:val="1"/>
          <w:bCs w:val="1"/>
          <w:color w:val="auto"/>
        </w:rPr>
        <w:t>Actual</w:t>
      </w:r>
      <w:r>
        <w:rPr>
          <w:sz w:val="20"/>
          <w:szCs w:val="20"/>
          <w:color w:val="auto"/>
        </w:rPr>
        <w:tab/>
      </w:r>
      <w:r>
        <w:rPr>
          <w:rFonts w:ascii="Times New Roman" w:cs="Times New Roman" w:eastAsia="Times New Roman" w:hAnsi="Times New Roman"/>
          <w:sz w:val="21"/>
          <w:szCs w:val="21"/>
          <w:b w:val="1"/>
          <w:bCs w:val="1"/>
          <w:color w:val="auto"/>
        </w:rPr>
        <w:t>Complies</w:t>
      </w:r>
    </w:p>
    <w:p>
      <w:pPr>
        <w:spacing w:after="0" w:line="143" w:lineRule="exact"/>
        <w:rPr>
          <w:sz w:val="20"/>
          <w:szCs w:val="20"/>
          <w:color w:val="auto"/>
        </w:rPr>
      </w:pPr>
    </w:p>
    <w:p>
      <w:pPr>
        <w:sectPr>
          <w:pgSz w:w="11900" w:h="16838" w:orient="portrait"/>
          <w:cols w:equalWidth="0" w:num="2">
            <w:col w:w="4260" w:space="720"/>
            <w:col w:w="6020"/>
          </w:cols>
          <w:pgMar w:left="320" w:top="1440" w:right="579" w:bottom="1440" w:gutter="0" w:footer="0" w:header="0"/>
        </w:sectPr>
      </w:pPr>
    </w:p>
    <w:tbl>
      <w:tblPr>
        <w:tblLayout w:type="fixed"/>
        <w:tblInd w:w="100" w:type="dxa"/>
        <w:tblCellMar>
          <w:top w:w="0" w:type="dxa"/>
          <w:left w:w="0" w:type="dxa"/>
          <w:bottom w:w="0" w:type="dxa"/>
          <w:right w:w="0" w:type="dxa"/>
        </w:tblCellMar>
      </w:tblPr>
      <w:tr>
        <w:trPr>
          <w:trHeight w:val="336"/>
        </w:trPr>
        <w:tc>
          <w:tcPr>
            <w:tcW w:w="38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84"/>
              </w:rPr>
              <w:t>1.</w:t>
            </w:r>
          </w:p>
        </w:tc>
        <w:tc>
          <w:tcPr>
            <w:tcW w:w="31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Monthly financial statements</w:t>
            </w:r>
          </w:p>
        </w:tc>
      </w:tr>
      <w:tr>
        <w:trPr>
          <w:trHeight w:val="473"/>
        </w:trPr>
        <w:tc>
          <w:tcPr>
            <w:tcW w:w="38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84"/>
              </w:rPr>
              <w:t>2.</w:t>
            </w:r>
          </w:p>
        </w:tc>
        <w:tc>
          <w:tcPr>
            <w:tcW w:w="31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Compliance Certificate</w:t>
            </w:r>
          </w:p>
        </w:tc>
      </w:tr>
      <w:tr>
        <w:trPr>
          <w:trHeight w:val="540"/>
        </w:trPr>
        <w:tc>
          <w:tcPr>
            <w:tcW w:w="38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84"/>
              </w:rPr>
              <w:t>3.</w:t>
            </w:r>
          </w:p>
        </w:tc>
        <w:tc>
          <w:tcPr>
            <w:tcW w:w="31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Annual (CPA Audited) statements</w:t>
            </w:r>
          </w:p>
        </w:tc>
      </w:tr>
      <w:tr>
        <w:trPr>
          <w:trHeight w:val="445"/>
        </w:trPr>
        <w:tc>
          <w:tcPr>
            <w:tcW w:w="38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84"/>
              </w:rPr>
              <w:t>4.</w:t>
            </w:r>
          </w:p>
        </w:tc>
        <w:tc>
          <w:tcPr>
            <w:tcW w:w="31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Annual Financial Projections</w:t>
            </w:r>
          </w:p>
        </w:tc>
      </w:tr>
      <w:tr>
        <w:trPr>
          <w:trHeight w:val="378"/>
        </w:trPr>
        <w:tc>
          <w:tcPr>
            <w:tcW w:w="38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84"/>
              </w:rPr>
              <w:t>5.</w:t>
            </w:r>
          </w:p>
        </w:tc>
        <w:tc>
          <w:tcPr>
            <w:tcW w:w="3180" w:type="dxa"/>
            <w:vAlign w:val="bottom"/>
          </w:tcPr>
          <w:p>
            <w:pPr>
              <w:ind w:left="220"/>
              <w:spacing w:after="0" w:line="253" w:lineRule="exact"/>
              <w:rPr>
                <w:sz w:val="20"/>
                <w:szCs w:val="20"/>
                <w:color w:val="auto"/>
              </w:rPr>
            </w:pPr>
            <w:r>
              <w:rPr>
                <w:rFonts w:ascii="Times New Roman" w:cs="Times New Roman" w:eastAsia="Times New Roman" w:hAnsi="Times New Roman"/>
                <w:sz w:val="22"/>
                <w:szCs w:val="22"/>
                <w:color w:val="auto"/>
              </w:rPr>
              <w:t>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Filings</w:t>
            </w:r>
          </w:p>
        </w:tc>
      </w:tr>
      <w:tr>
        <w:trPr>
          <w:trHeight w:val="432"/>
        </w:trPr>
        <w:tc>
          <w:tcPr>
            <w:tcW w:w="38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84"/>
              </w:rPr>
              <w:t>6.</w:t>
            </w:r>
          </w:p>
        </w:tc>
        <w:tc>
          <w:tcPr>
            <w:tcW w:w="31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IP Report</w:t>
            </w: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within 30 days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within 30 days</w:t>
      </w:r>
    </w:p>
    <w:p>
      <w:pPr>
        <w:spacing w:after="0" w:line="166" w:lineRule="exact"/>
        <w:rPr>
          <w:sz w:val="20"/>
          <w:szCs w:val="20"/>
          <w:color w:val="auto"/>
        </w:rPr>
      </w:pPr>
    </w:p>
    <w:p>
      <w:pPr>
        <w:jc w:val="both"/>
        <w:ind w:right="1180"/>
        <w:spacing w:after="0" w:line="281" w:lineRule="auto"/>
        <w:rPr>
          <w:sz w:val="20"/>
          <w:szCs w:val="20"/>
          <w:color w:val="auto"/>
        </w:rPr>
      </w:pPr>
      <w:r>
        <w:rPr>
          <w:rFonts w:ascii="Times New Roman" w:cs="Times New Roman" w:eastAsia="Times New Roman" w:hAnsi="Times New Roman"/>
          <w:sz w:val="21"/>
          <w:szCs w:val="21"/>
          <w:color w:val="auto"/>
        </w:rPr>
        <w:t>Within 180 days after FYE (or such shorter period required by the SEC)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Within 60 days after FYE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time of filing</w:t>
      </w:r>
    </w:p>
    <w:p>
      <w:pPr>
        <w:spacing w:after="0" w:line="58" w:lineRule="exact"/>
        <w:rPr>
          <w:sz w:val="20"/>
          <w:szCs w:val="20"/>
          <w:color w:val="auto"/>
        </w:rPr>
      </w:pPr>
    </w:p>
    <w:p>
      <w:pPr>
        <w:ind w:right="1600"/>
        <w:spacing w:after="0" w:line="241" w:lineRule="auto"/>
        <w:rPr>
          <w:sz w:val="20"/>
          <w:szCs w:val="20"/>
          <w:color w:val="auto"/>
        </w:rPr>
      </w:pPr>
      <w:r>
        <w:rPr>
          <w:rFonts w:ascii="Times New Roman" w:cs="Times New Roman" w:eastAsia="Times New Roman" w:hAnsi="Times New Roman"/>
          <w:sz w:val="22"/>
          <w:szCs w:val="22"/>
          <w:color w:val="auto"/>
        </w:rPr>
        <w:t>Concurrently with Compliance Certificate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880" w:val="left"/>
          <w:tab w:leader="none" w:pos="16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N/A</w:t>
      </w:r>
    </w:p>
    <w:p>
      <w:pPr>
        <w:spacing w:after="0" w:line="220" w:lineRule="exact"/>
        <w:rPr>
          <w:sz w:val="20"/>
          <w:szCs w:val="20"/>
          <w:color w:val="auto"/>
        </w:rPr>
      </w:pPr>
    </w:p>
    <w:p>
      <w:pPr>
        <w:spacing w:after="0"/>
        <w:tabs>
          <w:tab w:leader="none" w:pos="880" w:val="left"/>
          <w:tab w:leader="none" w:pos="16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N/A</w:t>
      </w:r>
    </w:p>
    <w:p>
      <w:pPr>
        <w:spacing w:after="0" w:line="287" w:lineRule="exact"/>
        <w:rPr>
          <w:sz w:val="20"/>
          <w:szCs w:val="20"/>
          <w:color w:val="auto"/>
        </w:rPr>
      </w:pPr>
    </w:p>
    <w:p>
      <w:pPr>
        <w:spacing w:after="0"/>
        <w:tabs>
          <w:tab w:leader="none" w:pos="880" w:val="left"/>
          <w:tab w:leader="none" w:pos="16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N/A</w:t>
      </w:r>
    </w:p>
    <w:p>
      <w:pPr>
        <w:spacing w:after="0" w:line="193" w:lineRule="exact"/>
        <w:rPr>
          <w:sz w:val="20"/>
          <w:szCs w:val="20"/>
          <w:color w:val="auto"/>
        </w:rPr>
      </w:pPr>
    </w:p>
    <w:p>
      <w:pPr>
        <w:spacing w:after="0"/>
        <w:tabs>
          <w:tab w:leader="none" w:pos="880" w:val="left"/>
          <w:tab w:leader="none" w:pos="16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N/A</w:t>
      </w:r>
    </w:p>
    <w:p>
      <w:pPr>
        <w:spacing w:after="0" w:line="125" w:lineRule="exact"/>
        <w:rPr>
          <w:sz w:val="20"/>
          <w:szCs w:val="20"/>
          <w:color w:val="auto"/>
        </w:rPr>
      </w:pPr>
    </w:p>
    <w:p>
      <w:pPr>
        <w:spacing w:after="0"/>
        <w:tabs>
          <w:tab w:leader="none" w:pos="880" w:val="left"/>
          <w:tab w:leader="none" w:pos="16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N/A</w:t>
      </w:r>
    </w:p>
    <w:p>
      <w:pPr>
        <w:spacing w:after="0" w:line="179" w:lineRule="exact"/>
        <w:rPr>
          <w:sz w:val="20"/>
          <w:szCs w:val="20"/>
          <w:color w:val="auto"/>
        </w:rPr>
      </w:pPr>
    </w:p>
    <w:p>
      <w:pPr>
        <w:spacing w:after="0"/>
        <w:tabs>
          <w:tab w:leader="none" w:pos="880" w:val="left"/>
          <w:tab w:leader="none" w:pos="16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N/A</w:t>
      </w:r>
    </w:p>
    <w:p>
      <w:pPr>
        <w:spacing w:after="0" w:line="135" w:lineRule="exact"/>
        <w:rPr>
          <w:sz w:val="20"/>
          <w:szCs w:val="20"/>
          <w:color w:val="auto"/>
        </w:rPr>
      </w:pPr>
    </w:p>
    <w:p>
      <w:pPr>
        <w:sectPr>
          <w:pgSz w:w="11900" w:h="16838" w:orient="portrait"/>
          <w:cols w:equalWidth="0" w:num="3">
            <w:col w:w="3660" w:space="300"/>
            <w:col w:w="4260" w:space="720"/>
            <w:col w:w="2060"/>
          </w:cols>
          <w:pgMar w:left="320" w:top="1440" w:right="579" w:bottom="1440" w:gutter="0" w:footer="0" w:header="0"/>
          <w:type w:val="continuous"/>
        </w:sectPr>
      </w:pPr>
    </w:p>
    <w:tbl>
      <w:tblPr>
        <w:tblLayout w:type="fixed"/>
        <w:tblInd w:w="100" w:type="dxa"/>
        <w:tblCellMar>
          <w:top w:w="0" w:type="dxa"/>
          <w:left w:w="0" w:type="dxa"/>
          <w:bottom w:w="0" w:type="dxa"/>
          <w:right w:w="0" w:type="dxa"/>
        </w:tblCellMar>
      </w:tblPr>
      <w:tr>
        <w:trPr>
          <w:trHeight w:val="312"/>
        </w:trPr>
        <w:tc>
          <w:tcPr>
            <w:tcW w:w="38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84"/>
              </w:rPr>
              <w:t>7.</w:t>
            </w:r>
          </w:p>
        </w:tc>
        <w:tc>
          <w:tcPr>
            <w:tcW w:w="21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409A valuation report</w:t>
            </w: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4960" w:val="left"/>
          <w:tab w:leader="none" w:pos="5860" w:val="left"/>
          <w:tab w:leader="none" w:pos="6640" w:val="left"/>
        </w:tabs>
        <w:rPr>
          <w:sz w:val="20"/>
          <w:szCs w:val="20"/>
          <w:color w:val="auto"/>
        </w:rPr>
      </w:pPr>
      <w:r>
        <w:rPr>
          <w:rFonts w:ascii="Times New Roman" w:cs="Times New Roman" w:eastAsia="Times New Roman" w:hAnsi="Times New Roman"/>
          <w:sz w:val="22"/>
          <w:szCs w:val="22"/>
          <w:color w:val="auto"/>
        </w:rPr>
        <w:t>Within 30 days of completion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N/A</w:t>
      </w:r>
    </w:p>
    <w:p>
      <w:pPr>
        <w:spacing w:after="0" w:line="229" w:lineRule="exact"/>
        <w:rPr>
          <w:sz w:val="20"/>
          <w:szCs w:val="20"/>
          <w:color w:val="auto"/>
        </w:rPr>
      </w:pPr>
    </w:p>
    <w:p>
      <w:pPr>
        <w:sectPr>
          <w:pgSz w:w="11900" w:h="16838" w:orient="portrait"/>
          <w:cols w:equalWidth="0" w:num="2">
            <w:col w:w="3240" w:space="720"/>
            <w:col w:w="7040"/>
          </w:cols>
          <w:pgMar w:left="320" w:top="1440" w:right="57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Deposit and Securities Accounts (other than Excluded Accounts)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(Please list all accounts; attach separate sheet if additional space needed)</w:t>
      </w:r>
    </w:p>
    <w:p>
      <w:pPr>
        <w:spacing w:after="0" w:line="327"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254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Institution Name</w:t>
            </w:r>
          </w:p>
        </w:tc>
        <w:tc>
          <w:tcPr>
            <w:tcW w:w="240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Account Number</w:t>
            </w:r>
          </w:p>
        </w:tc>
        <w:tc>
          <w:tcPr>
            <w:tcW w:w="2440" w:type="dxa"/>
            <w:vAlign w:val="bottom"/>
            <w:gridSpan w:val="2"/>
          </w:tcPr>
          <w:p>
            <w:pPr>
              <w:ind w:left="1100"/>
              <w:spacing w:after="0"/>
              <w:rPr>
                <w:sz w:val="20"/>
                <w:szCs w:val="20"/>
                <w:color w:val="auto"/>
              </w:rPr>
            </w:pPr>
            <w:r>
              <w:rPr>
                <w:rFonts w:ascii="Times New Roman" w:cs="Times New Roman" w:eastAsia="Times New Roman" w:hAnsi="Times New Roman"/>
                <w:sz w:val="22"/>
                <w:szCs w:val="22"/>
                <w:b w:val="1"/>
                <w:bCs w:val="1"/>
                <w:color w:val="auto"/>
                <w:w w:val="96"/>
              </w:rPr>
              <w:t>New Account?</w:t>
            </w:r>
          </w:p>
        </w:tc>
      </w:tr>
      <w:tr>
        <w:trPr>
          <w:trHeight w:val="432"/>
        </w:trPr>
        <w:tc>
          <w:tcPr>
            <w:tcW w:w="2540" w:type="dxa"/>
            <w:vAlign w:val="bottom"/>
          </w:tcPr>
          <w:p>
            <w:pPr>
              <w:jc w:val="right"/>
              <w:ind w:right="2272"/>
              <w:spacing w:after="0"/>
              <w:rPr>
                <w:sz w:val="20"/>
                <w:szCs w:val="20"/>
                <w:color w:val="auto"/>
              </w:rPr>
            </w:pPr>
            <w:r>
              <w:rPr>
                <w:rFonts w:ascii="Times New Roman" w:cs="Times New Roman" w:eastAsia="Times New Roman" w:hAnsi="Times New Roman"/>
                <w:sz w:val="22"/>
                <w:szCs w:val="22"/>
                <w:b w:val="1"/>
                <w:bCs w:val="1"/>
                <w:color w:val="auto"/>
                <w:w w:val="84"/>
              </w:rPr>
              <w:t>1.</w:t>
            </w:r>
          </w:p>
        </w:tc>
        <w:tc>
          <w:tcPr>
            <w:tcW w:w="2400" w:type="dxa"/>
            <w:vAlign w:val="bottom"/>
          </w:tcPr>
          <w:p>
            <w:pPr>
              <w:spacing w:after="0"/>
              <w:rPr>
                <w:sz w:val="24"/>
                <w:szCs w:val="24"/>
                <w:color w:val="auto"/>
              </w:rPr>
            </w:pPr>
          </w:p>
        </w:tc>
        <w:tc>
          <w:tcPr>
            <w:tcW w:w="184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Yes</w:t>
            </w:r>
          </w:p>
        </w:tc>
        <w:tc>
          <w:tcPr>
            <w:tcW w:w="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w:t>
            </w:r>
          </w:p>
        </w:tc>
      </w:tr>
      <w:tr>
        <w:trPr>
          <w:trHeight w:val="378"/>
        </w:trPr>
        <w:tc>
          <w:tcPr>
            <w:tcW w:w="2540" w:type="dxa"/>
            <w:vAlign w:val="bottom"/>
          </w:tcPr>
          <w:p>
            <w:pPr>
              <w:jc w:val="right"/>
              <w:ind w:right="2272"/>
              <w:spacing w:after="0"/>
              <w:rPr>
                <w:sz w:val="20"/>
                <w:szCs w:val="20"/>
                <w:color w:val="auto"/>
              </w:rPr>
            </w:pPr>
            <w:r>
              <w:rPr>
                <w:rFonts w:ascii="Times New Roman" w:cs="Times New Roman" w:eastAsia="Times New Roman" w:hAnsi="Times New Roman"/>
                <w:sz w:val="22"/>
                <w:szCs w:val="22"/>
                <w:b w:val="1"/>
                <w:bCs w:val="1"/>
                <w:color w:val="auto"/>
                <w:w w:val="84"/>
              </w:rPr>
              <w:t>2.</w:t>
            </w:r>
          </w:p>
        </w:tc>
        <w:tc>
          <w:tcPr>
            <w:tcW w:w="2400" w:type="dxa"/>
            <w:vAlign w:val="bottom"/>
          </w:tcPr>
          <w:p>
            <w:pPr>
              <w:spacing w:after="0"/>
              <w:rPr>
                <w:sz w:val="24"/>
                <w:szCs w:val="24"/>
                <w:color w:val="auto"/>
              </w:rPr>
            </w:pPr>
          </w:p>
        </w:tc>
        <w:tc>
          <w:tcPr>
            <w:tcW w:w="184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Yes</w:t>
            </w:r>
          </w:p>
        </w:tc>
        <w:tc>
          <w:tcPr>
            <w:tcW w:w="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w:t>
            </w:r>
          </w:p>
        </w:tc>
      </w:tr>
      <w:tr>
        <w:trPr>
          <w:trHeight w:val="378"/>
        </w:trPr>
        <w:tc>
          <w:tcPr>
            <w:tcW w:w="2540" w:type="dxa"/>
            <w:vAlign w:val="bottom"/>
          </w:tcPr>
          <w:p>
            <w:pPr>
              <w:jc w:val="right"/>
              <w:ind w:right="2272"/>
              <w:spacing w:after="0"/>
              <w:rPr>
                <w:sz w:val="20"/>
                <w:szCs w:val="20"/>
                <w:color w:val="auto"/>
              </w:rPr>
            </w:pPr>
            <w:r>
              <w:rPr>
                <w:rFonts w:ascii="Times New Roman" w:cs="Times New Roman" w:eastAsia="Times New Roman" w:hAnsi="Times New Roman"/>
                <w:sz w:val="22"/>
                <w:szCs w:val="22"/>
                <w:b w:val="1"/>
                <w:bCs w:val="1"/>
                <w:color w:val="auto"/>
                <w:w w:val="84"/>
              </w:rPr>
              <w:t>3.</w:t>
            </w:r>
          </w:p>
        </w:tc>
        <w:tc>
          <w:tcPr>
            <w:tcW w:w="2400" w:type="dxa"/>
            <w:vAlign w:val="bottom"/>
          </w:tcPr>
          <w:p>
            <w:pPr>
              <w:spacing w:after="0"/>
              <w:rPr>
                <w:sz w:val="24"/>
                <w:szCs w:val="24"/>
                <w:color w:val="auto"/>
              </w:rPr>
            </w:pPr>
          </w:p>
        </w:tc>
        <w:tc>
          <w:tcPr>
            <w:tcW w:w="184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Yes</w:t>
            </w:r>
          </w:p>
        </w:tc>
        <w:tc>
          <w:tcPr>
            <w:tcW w:w="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w:t>
            </w:r>
          </w:p>
        </w:tc>
      </w:tr>
      <w:tr>
        <w:trPr>
          <w:trHeight w:val="378"/>
        </w:trPr>
        <w:tc>
          <w:tcPr>
            <w:tcW w:w="2540" w:type="dxa"/>
            <w:vAlign w:val="bottom"/>
          </w:tcPr>
          <w:p>
            <w:pPr>
              <w:jc w:val="right"/>
              <w:ind w:right="2272"/>
              <w:spacing w:after="0"/>
              <w:rPr>
                <w:sz w:val="20"/>
                <w:szCs w:val="20"/>
                <w:color w:val="auto"/>
              </w:rPr>
            </w:pPr>
            <w:r>
              <w:rPr>
                <w:rFonts w:ascii="Times New Roman" w:cs="Times New Roman" w:eastAsia="Times New Roman" w:hAnsi="Times New Roman"/>
                <w:sz w:val="22"/>
                <w:szCs w:val="22"/>
                <w:b w:val="1"/>
                <w:bCs w:val="1"/>
                <w:color w:val="auto"/>
                <w:w w:val="84"/>
              </w:rPr>
              <w:t>4.</w:t>
            </w:r>
          </w:p>
        </w:tc>
        <w:tc>
          <w:tcPr>
            <w:tcW w:w="2400" w:type="dxa"/>
            <w:vAlign w:val="bottom"/>
          </w:tcPr>
          <w:p>
            <w:pPr>
              <w:spacing w:after="0"/>
              <w:rPr>
                <w:sz w:val="24"/>
                <w:szCs w:val="24"/>
                <w:color w:val="auto"/>
              </w:rPr>
            </w:pPr>
          </w:p>
        </w:tc>
        <w:tc>
          <w:tcPr>
            <w:tcW w:w="184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Yes</w:t>
            </w:r>
          </w:p>
        </w:tc>
        <w:tc>
          <w:tcPr>
            <w:tcW w:w="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w:t>
            </w:r>
          </w:p>
        </w:tc>
      </w:tr>
      <w:tr>
        <w:trPr>
          <w:trHeight w:val="540"/>
        </w:trPr>
        <w:tc>
          <w:tcPr>
            <w:tcW w:w="2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C-2</w:t>
            </w: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2"/>
          <w:szCs w:val="22"/>
          <w:b w:val="1"/>
          <w:bCs w:val="1"/>
          <w:color w:val="auto"/>
        </w:rPr>
        <w:t>Account Control Agreement in place?</w:t>
      </w:r>
    </w:p>
    <w:p>
      <w:pPr>
        <w:spacing w:after="0" w:line="5" w:lineRule="exact"/>
        <w:rPr>
          <w:sz w:val="20"/>
          <w:szCs w:val="20"/>
          <w:color w:val="auto"/>
        </w:rPr>
      </w:pPr>
    </w:p>
    <w:p>
      <w:pPr>
        <w:ind w:left="720"/>
        <w:spacing w:after="0"/>
        <w:tabs>
          <w:tab w:leader="none" w:pos="24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125" w:lineRule="exact"/>
        <w:rPr>
          <w:sz w:val="20"/>
          <w:szCs w:val="20"/>
          <w:color w:val="auto"/>
        </w:rPr>
      </w:pPr>
    </w:p>
    <w:p>
      <w:pPr>
        <w:ind w:left="720"/>
        <w:spacing w:after="0"/>
        <w:tabs>
          <w:tab w:leader="none" w:pos="24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125" w:lineRule="exact"/>
        <w:rPr>
          <w:sz w:val="20"/>
          <w:szCs w:val="20"/>
          <w:color w:val="auto"/>
        </w:rPr>
      </w:pPr>
    </w:p>
    <w:p>
      <w:pPr>
        <w:ind w:left="720"/>
        <w:spacing w:after="0"/>
        <w:tabs>
          <w:tab w:leader="none" w:pos="24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125" w:lineRule="exact"/>
        <w:rPr>
          <w:sz w:val="20"/>
          <w:szCs w:val="20"/>
          <w:color w:val="auto"/>
        </w:rPr>
      </w:pPr>
    </w:p>
    <w:p>
      <w:pPr>
        <w:ind w:left="720"/>
        <w:spacing w:after="0"/>
        <w:tabs>
          <w:tab w:leader="none" w:pos="246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ectPr>
          <w:pgSz w:w="11900" w:h="16838" w:orient="portrait"/>
          <w:cols w:equalWidth="0" w:num="2">
            <w:col w:w="7600" w:space="300"/>
            <w:col w:w="3100"/>
          </w:cols>
          <w:pgMar w:left="320" w:top="1440" w:right="579" w:bottom="1440" w:gutter="0" w:footer="0" w:header="0"/>
          <w:type w:val="continuous"/>
        </w:sectPr>
      </w:pPr>
    </w:p>
    <w:bookmarkStart w:id="253" w:name="page254"/>
    <w:bookmarkEnd w:id="253"/>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Liquidity Calculation</w:t>
      </w:r>
    </w:p>
    <w:p>
      <w:pPr>
        <w:spacing w:after="0" w:line="237" w:lineRule="exact"/>
        <w:rPr>
          <w:sz w:val="20"/>
          <w:szCs w:val="20"/>
          <w:color w:val="auto"/>
        </w:rPr>
      </w:pPr>
    </w:p>
    <w:p>
      <w:pPr>
        <w:ind w:left="380" w:right="100" w:hanging="372"/>
        <w:spacing w:after="0" w:line="244" w:lineRule="auto"/>
        <w:tabs>
          <w:tab w:leader="none" w:pos="43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unrestricted and unencumbered (other than Permitted Liens) cash and Cash Equivalent in Deposit Accounts and Securities Accounts that are subject to an Account Control Agreement in favor of Administrative Agent $______________</w:t>
      </w:r>
    </w:p>
    <w:p>
      <w:pPr>
        <w:ind w:left="440" w:hanging="432"/>
        <w:spacing w:after="0" w:line="183" w:lineRule="auto"/>
        <w:tabs>
          <w:tab w:leader="none" w:pos="44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of Borrower’s accounts payable under GAAP not paid after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invoice for such account</w:t>
      </w:r>
    </w:p>
    <w:p>
      <w:pPr>
        <w:spacing w:after="0" w:line="223" w:lineRule="exact"/>
        <w:rPr>
          <w:sz w:val="20"/>
          <w:szCs w:val="20"/>
          <w:color w:val="auto"/>
        </w:rPr>
      </w:pPr>
    </w:p>
    <w:p>
      <w:pPr>
        <w:ind w:left="380"/>
        <w:spacing w:after="0"/>
        <w:tabs>
          <w:tab w:leader="none" w:pos="3380" w:val="left"/>
        </w:tabs>
        <w:rPr>
          <w:sz w:val="20"/>
          <w:szCs w:val="20"/>
          <w:color w:val="auto"/>
        </w:rPr>
      </w:pPr>
      <w:r>
        <w:rPr>
          <w:rFonts w:ascii="Times New Roman" w:cs="Times New Roman" w:eastAsia="Times New Roman" w:hAnsi="Times New Roman"/>
          <w:sz w:val="22"/>
          <w:szCs w:val="22"/>
          <w:color w:val="auto"/>
        </w:rPr>
        <w:t>payable</w:t>
      </w:r>
      <w:r>
        <w:rPr>
          <w:sz w:val="20"/>
          <w:szCs w:val="20"/>
          <w:color w:val="auto"/>
        </w:rPr>
        <w:tab/>
      </w:r>
      <w:r>
        <w:rPr>
          <w:rFonts w:ascii="Times New Roman" w:cs="Times New Roman" w:eastAsia="Times New Roman" w:hAnsi="Times New Roman"/>
          <w:sz w:val="22"/>
          <w:szCs w:val="22"/>
          <w:color w:val="auto"/>
        </w:rPr>
        <w:t>$______________</w:t>
      </w:r>
    </w:p>
    <w:p>
      <w:pPr>
        <w:sectPr>
          <w:pgSz w:w="11900" w:h="16838" w:orient="portrait"/>
          <w:cols w:equalWidth="0" w:num="1">
            <w:col w:w="11240"/>
          </w:cols>
          <w:pgMar w:left="320" w:top="1404" w:right="339" w:bottom="1440" w:gutter="0" w:footer="0" w:header="0"/>
        </w:sectPr>
      </w:pPr>
    </w:p>
    <w:p>
      <w:pPr>
        <w:spacing w:after="0" w:line="2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color w:val="auto"/>
        </w:rPr>
        <w:t>3.</w:t>
        <w:tab/>
        <w:t>Liquidity ((1) – (2)):</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w:t>
      </w:r>
    </w:p>
    <w:p>
      <w:pPr>
        <w:spacing w:after="0" w:line="200" w:lineRule="exact"/>
        <w:rPr>
          <w:sz w:val="20"/>
          <w:szCs w:val="20"/>
          <w:color w:val="auto"/>
        </w:rPr>
      </w:pPr>
    </w:p>
    <w:p>
      <w:pPr>
        <w:sectPr>
          <w:pgSz w:w="11900" w:h="16838" w:orient="portrait"/>
          <w:cols w:equalWidth="0" w:num="2">
            <w:col w:w="4480" w:space="720"/>
            <w:col w:w="6040"/>
          </w:cols>
          <w:pgMar w:left="320" w:top="1404" w:right="33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[MSC Investment Condition</w:t>
      </w:r>
    </w:p>
    <w:p>
      <w:pPr>
        <w:spacing w:after="0" w:line="237" w:lineRule="exact"/>
        <w:rPr>
          <w:sz w:val="20"/>
          <w:szCs w:val="20"/>
          <w:color w:val="auto"/>
        </w:rPr>
      </w:pPr>
    </w:p>
    <w:p>
      <w:pPr>
        <w:ind w:left="380" w:hanging="372"/>
        <w:spacing w:after="0"/>
        <w:tabs>
          <w:tab w:leader="none" w:pos="3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$______________</w:t>
      </w:r>
    </w:p>
    <w:p>
      <w:pPr>
        <w:spacing w:after="0" w:line="23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principal amount of outstanding Obligations: $______________</w:t>
      </w:r>
    </w:p>
    <w:p>
      <w:pPr>
        <w:spacing w:after="0" w:line="192" w:lineRule="exact"/>
        <w:rPr>
          <w:rFonts w:ascii="Times New Roman" w:cs="Times New Roman" w:eastAsia="Times New Roman" w:hAnsi="Times New Roman"/>
          <w:sz w:val="22"/>
          <w:szCs w:val="22"/>
          <w:color w:val="auto"/>
        </w:rPr>
      </w:pPr>
    </w:p>
    <w:p>
      <w:pPr>
        <w:ind w:left="5140" w:right="2860" w:hanging="5132"/>
        <w:spacing w:after="0" w:line="258" w:lineRule="auto"/>
        <w:tabs>
          <w:tab w:leader="none" w:pos="38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MSC Investment Condition (i.e., Is (i) equal to or great than 110% of (2))? Yes No]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Covenants</w:t>
      </w:r>
    </w:p>
    <w:p>
      <w:pPr>
        <w:spacing w:after="0" w:line="237" w:lineRule="exact"/>
        <w:rPr>
          <w:sz w:val="20"/>
          <w:szCs w:val="20"/>
          <w:color w:val="auto"/>
        </w:rPr>
      </w:pPr>
    </w:p>
    <w:p>
      <w:pPr>
        <w:ind w:left="380" w:hanging="372"/>
        <w:spacing w:after="0"/>
        <w:tabs>
          <w:tab w:leader="none" w:pos="38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Market Capitalization: $______________</w:t>
      </w:r>
    </w:p>
    <w:p>
      <w:pPr>
        <w:spacing w:after="0" w:line="23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$______________</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40" w:type="dxa"/>
            <w:vAlign w:val="bottom"/>
          </w:tcPr>
          <w:p>
            <w:pPr>
              <w:spacing w:after="0"/>
              <w:rPr>
                <w:sz w:val="24"/>
                <w:szCs w:val="24"/>
                <w:color w:val="auto"/>
              </w:rPr>
            </w:pPr>
          </w:p>
        </w:tc>
        <w:tc>
          <w:tcPr>
            <w:tcW w:w="4620" w:type="dxa"/>
            <w:vAlign w:val="bottom"/>
          </w:tcPr>
          <w:p>
            <w:pPr>
              <w:ind w:left="1220"/>
              <w:spacing w:after="0"/>
              <w:rPr>
                <w:sz w:val="20"/>
                <w:szCs w:val="20"/>
                <w:color w:val="auto"/>
              </w:rPr>
            </w:pPr>
            <w:r>
              <w:rPr>
                <w:rFonts w:ascii="Times New Roman" w:cs="Times New Roman" w:eastAsia="Times New Roman" w:hAnsi="Times New Roman"/>
                <w:sz w:val="22"/>
                <w:szCs w:val="22"/>
                <w:b w:val="1"/>
                <w:bCs w:val="1"/>
                <w:color w:val="auto"/>
              </w:rPr>
              <w:t>Minimum Liquidity Requirement</w:t>
            </w:r>
          </w:p>
        </w:tc>
        <w:tc>
          <w:tcPr>
            <w:tcW w:w="3960" w:type="dxa"/>
            <w:vAlign w:val="bottom"/>
          </w:tcPr>
          <w:p>
            <w:pPr>
              <w:ind w:left="1680"/>
              <w:spacing w:after="0"/>
              <w:rPr>
                <w:sz w:val="20"/>
                <w:szCs w:val="20"/>
                <w:color w:val="auto"/>
              </w:rPr>
            </w:pPr>
            <w:r>
              <w:rPr>
                <w:rFonts w:ascii="Times New Roman" w:cs="Times New Roman" w:eastAsia="Times New Roman" w:hAnsi="Times New Roman"/>
                <w:sz w:val="22"/>
                <w:szCs w:val="22"/>
                <w:b w:val="1"/>
                <w:bCs w:val="1"/>
                <w:color w:val="auto"/>
              </w:rPr>
              <w:t>Actual</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Complies</w:t>
            </w:r>
          </w:p>
        </w:tc>
        <w:tc>
          <w:tcPr>
            <w:tcW w:w="920" w:type="dxa"/>
            <w:vAlign w:val="bottom"/>
          </w:tcPr>
          <w:p>
            <w:pPr>
              <w:spacing w:after="0"/>
              <w:rPr>
                <w:sz w:val="24"/>
                <w:szCs w:val="24"/>
                <w:color w:val="auto"/>
              </w:rPr>
            </w:pPr>
          </w:p>
        </w:tc>
      </w:tr>
      <w:tr>
        <w:trPr>
          <w:trHeight w:val="445"/>
        </w:trPr>
        <w:tc>
          <w:tcPr>
            <w:tcW w:w="5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w:t>
            </w:r>
          </w:p>
        </w:tc>
        <w:tc>
          <w:tcPr>
            <w:tcW w:w="46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67.5%</w:t>
            </w:r>
          </w:p>
        </w:tc>
        <w:tc>
          <w:tcPr>
            <w:tcW w:w="3960" w:type="dxa"/>
            <w:vAlign w:val="bottom"/>
          </w:tcPr>
          <w:p>
            <w:pPr>
              <w:ind w:left="3460"/>
              <w:spacing w:after="0"/>
              <w:rPr>
                <w:sz w:val="20"/>
                <w:szCs w:val="20"/>
                <w:color w:val="auto"/>
              </w:rPr>
            </w:pPr>
            <w:r>
              <w:rPr>
                <w:rFonts w:ascii="Times New Roman" w:cs="Times New Roman" w:eastAsia="Times New Roman" w:hAnsi="Times New Roman"/>
                <w:sz w:val="22"/>
                <w:szCs w:val="22"/>
                <w:color w:val="auto"/>
              </w:rPr>
              <w:t>Yes</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No</w:t>
            </w:r>
          </w:p>
        </w:tc>
        <w:tc>
          <w:tcPr>
            <w:tcW w:w="9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w:t>
            </w:r>
          </w:p>
        </w:tc>
      </w:tr>
      <w:tr>
        <w:trPr>
          <w:trHeight w:val="351"/>
        </w:trPr>
        <w:tc>
          <w:tcPr>
            <w:tcW w:w="5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B.</w:t>
            </w:r>
          </w:p>
        </w:tc>
        <w:tc>
          <w:tcPr>
            <w:tcW w:w="46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75%</w:t>
            </w:r>
          </w:p>
        </w:tc>
        <w:tc>
          <w:tcPr>
            <w:tcW w:w="3960" w:type="dxa"/>
            <w:vAlign w:val="bottom"/>
          </w:tcPr>
          <w:p>
            <w:pPr>
              <w:ind w:left="3460"/>
              <w:spacing w:after="0"/>
              <w:rPr>
                <w:sz w:val="20"/>
                <w:szCs w:val="20"/>
                <w:color w:val="auto"/>
              </w:rPr>
            </w:pPr>
            <w:r>
              <w:rPr>
                <w:rFonts w:ascii="Times New Roman" w:cs="Times New Roman" w:eastAsia="Times New Roman" w:hAnsi="Times New Roman"/>
                <w:sz w:val="22"/>
                <w:szCs w:val="22"/>
                <w:color w:val="auto"/>
              </w:rPr>
              <w:t>Yes</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No</w:t>
            </w:r>
          </w:p>
        </w:tc>
        <w:tc>
          <w:tcPr>
            <w:tcW w:w="9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w:t>
            </w:r>
          </w:p>
        </w:tc>
      </w:tr>
      <w:tr>
        <w:trPr>
          <w:trHeight w:val="527"/>
        </w:trPr>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C-3</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43"/>
        </w:trPr>
        <w:tc>
          <w:tcPr>
            <w:tcW w:w="5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Matters</w:t>
      </w:r>
    </w:p>
    <w:p>
      <w:pPr>
        <w:spacing w:after="0" w:line="237" w:lineRule="exact"/>
        <w:rPr>
          <w:sz w:val="20"/>
          <w:szCs w:val="20"/>
          <w:color w:val="auto"/>
        </w:rPr>
      </w:pPr>
    </w:p>
    <w:p>
      <w:pPr>
        <w:ind w:left="900" w:hanging="575"/>
        <w:spacing w:after="0"/>
        <w:tabs>
          <w:tab w:leader="none" w:pos="900"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Have there been any changes in Key Persons since the last Compliance Certificate?</w:t>
      </w:r>
    </w:p>
    <w:p>
      <w:pPr>
        <w:spacing w:after="0" w:line="260" w:lineRule="exact"/>
        <w:rPr>
          <w:rFonts w:ascii="Times New Roman" w:cs="Times New Roman" w:eastAsia="Times New Roman" w:hAnsi="Times New Roman"/>
          <w:sz w:val="22"/>
          <w:szCs w:val="22"/>
          <w:b w:val="1"/>
          <w:bCs w:val="1"/>
          <w:color w:val="auto"/>
        </w:rPr>
      </w:pPr>
    </w:p>
    <w:p>
      <w:pPr>
        <w:ind w:left="900" w:right="460" w:hanging="575"/>
        <w:spacing w:after="0" w:line="185" w:lineRule="auto"/>
        <w:tabs>
          <w:tab w:leader="none" w:pos="900" w:val="left"/>
        </w:tabs>
        <w:numPr>
          <w:ilvl w:val="0"/>
          <w:numId w:val="212"/>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20"/>
          <w:szCs w:val="20"/>
          <w:color w:val="auto"/>
        </w:rPr>
        <w:t>Have there been any new or pending material claims or causes of action in excess of $500,000 against Borrower or any Subsidiary?</w:t>
      </w:r>
    </w:p>
    <w:p>
      <w:pPr>
        <w:spacing w:after="0" w:line="233" w:lineRule="exact"/>
        <w:rPr>
          <w:rFonts w:ascii="Times New Roman" w:cs="Times New Roman" w:eastAsia="Times New Roman" w:hAnsi="Times New Roman"/>
          <w:sz w:val="39"/>
          <w:szCs w:val="39"/>
          <w:b w:val="1"/>
          <w:bCs w:val="1"/>
          <w:color w:val="auto"/>
          <w:vertAlign w:val="subscript"/>
        </w:rPr>
      </w:pPr>
    </w:p>
    <w:p>
      <w:pPr>
        <w:ind w:left="900"/>
        <w:spacing w:after="0"/>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22"/>
          <w:szCs w:val="22"/>
          <w:color w:val="auto"/>
        </w:rPr>
        <w:t>Have there been any amendments of or other changes to the Operating Documents of</w:t>
      </w:r>
    </w:p>
    <w:p>
      <w:pPr>
        <w:spacing w:after="0" w:line="14" w:lineRule="exact"/>
        <w:rPr>
          <w:rFonts w:ascii="Times New Roman" w:cs="Times New Roman" w:eastAsia="Times New Roman" w:hAnsi="Times New Roman"/>
          <w:sz w:val="39"/>
          <w:szCs w:val="39"/>
          <w:b w:val="1"/>
          <w:bCs w:val="1"/>
          <w:color w:val="auto"/>
          <w:vertAlign w:val="subscript"/>
        </w:rPr>
      </w:pPr>
    </w:p>
    <w:p>
      <w:pPr>
        <w:ind w:left="900" w:right="220" w:hanging="575"/>
        <w:spacing w:after="0" w:line="237" w:lineRule="auto"/>
        <w:tabs>
          <w:tab w:leader="none" w:pos="900"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Borrower or any of its Subsidiaries? If yes, provide copies of any such amendments or changes with this Compliance Certificate.</w:t>
      </w:r>
    </w:p>
    <w:p>
      <w:pPr>
        <w:spacing w:after="0" w:line="218" w:lineRule="exact"/>
        <w:rPr>
          <w:rFonts w:ascii="Times New Roman" w:cs="Times New Roman" w:eastAsia="Times New Roman" w:hAnsi="Times New Roman"/>
          <w:sz w:val="22"/>
          <w:szCs w:val="22"/>
          <w:b w:val="1"/>
          <w:bCs w:val="1"/>
          <w:color w:val="auto"/>
        </w:rPr>
      </w:pPr>
    </w:p>
    <w:p>
      <w:pPr>
        <w:ind w:left="9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Has Borrower or any Subsidiary entered into or amended any Material Agreement in any</w:t>
      </w:r>
    </w:p>
    <w:p>
      <w:pPr>
        <w:spacing w:after="0" w:line="25" w:lineRule="exact"/>
        <w:rPr>
          <w:rFonts w:ascii="Times New Roman" w:cs="Times New Roman" w:eastAsia="Times New Roman" w:hAnsi="Times New Roman"/>
          <w:sz w:val="22"/>
          <w:szCs w:val="22"/>
          <w:b w:val="1"/>
          <w:bCs w:val="1"/>
          <w:color w:val="auto"/>
        </w:rPr>
      </w:pPr>
    </w:p>
    <w:p>
      <w:pPr>
        <w:jc w:val="both"/>
        <w:ind w:left="900" w:right="180" w:hanging="575"/>
        <w:spacing w:after="0" w:line="184" w:lineRule="auto"/>
        <w:tabs>
          <w:tab w:leader="none" w:pos="900" w:val="left"/>
        </w:tabs>
        <w:numPr>
          <w:ilvl w:val="0"/>
          <w:numId w:val="21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21"/>
          <w:szCs w:val="21"/>
          <w:color w:val="auto"/>
        </w:rPr>
        <w:t>respect that would materially and adversely impact Administrative Agent’s or Lenders’ rights under the Loan Agreement or result in a Material Adverse Change? If yes, please explain and provide a copy of the Material Agreement(s) and/or amendment(s).</w:t>
      </w:r>
    </w:p>
    <w:p>
      <w:pPr>
        <w:spacing w:after="0" w:line="200" w:lineRule="exact"/>
        <w:rPr>
          <w:rFonts w:ascii="Times New Roman" w:cs="Times New Roman" w:eastAsia="Times New Roman" w:hAnsi="Times New Roman"/>
          <w:sz w:val="42"/>
          <w:szCs w:val="42"/>
          <w:b w:val="1"/>
          <w:bCs w:val="1"/>
          <w:color w:val="auto"/>
          <w:vertAlign w:val="subscript"/>
        </w:rPr>
      </w:pPr>
    </w:p>
    <w:p>
      <w:pPr>
        <w:spacing w:after="0" w:line="344" w:lineRule="exact"/>
        <w:rPr>
          <w:rFonts w:ascii="Times New Roman" w:cs="Times New Roman" w:eastAsia="Times New Roman" w:hAnsi="Times New Roman"/>
          <w:sz w:val="42"/>
          <w:szCs w:val="42"/>
          <w:b w:val="1"/>
          <w:bCs w:val="1"/>
          <w:color w:val="auto"/>
          <w:vertAlign w:val="subscript"/>
        </w:rPr>
      </w:pPr>
    </w:p>
    <w:p>
      <w:pPr>
        <w:ind w:left="900" w:right="360" w:hanging="575"/>
        <w:spacing w:after="0" w:line="185" w:lineRule="auto"/>
        <w:tabs>
          <w:tab w:leader="none" w:pos="900" w:val="left"/>
        </w:tabs>
        <w:numPr>
          <w:ilvl w:val="0"/>
          <w:numId w:val="212"/>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20"/>
          <w:szCs w:val="20"/>
          <w:color w:val="auto"/>
        </w:rPr>
        <w:t>Have there been any material updates to the contents of the Perfection Certificate last delivered? If yes, please explain.</w:t>
      </w:r>
    </w:p>
    <w:p>
      <w:pPr>
        <w:spacing w:after="0" w:line="2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1"/>
          <w:szCs w:val="21"/>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39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1"/>
          <w:szCs w:val="21"/>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1"/>
          <w:szCs w:val="21"/>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1"/>
          <w:szCs w:val="21"/>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1"/>
          <w:szCs w:val="21"/>
          <w:color w:val="auto"/>
        </w:rPr>
        <w:t>Yes</w:t>
      </w:r>
      <w:r>
        <w:rPr>
          <w:sz w:val="20"/>
          <w:szCs w:val="20"/>
          <w:color w:val="auto"/>
        </w:rPr>
        <w:tab/>
      </w:r>
      <w:r>
        <w:rPr>
          <w:rFonts w:ascii="Times New Roman" w:cs="Times New Roman" w:eastAsia="Times New Roman" w:hAnsi="Times New Roman"/>
          <w:sz w:val="21"/>
          <w:szCs w:val="21"/>
          <w:color w:val="auto"/>
        </w:rPr>
        <w:t>No</w:t>
      </w:r>
    </w:p>
    <w:p>
      <w:pPr>
        <w:sectPr>
          <w:pgSz w:w="11900" w:h="16838" w:orient="portrait"/>
          <w:cols w:equalWidth="0" w:num="2">
            <w:col w:w="8640" w:space="720"/>
            <w:col w:w="1420"/>
          </w:cols>
          <w:pgMar w:left="320" w:top="1404" w:right="7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2"/>
          <w:szCs w:val="22"/>
          <w:b w:val="1"/>
          <w:bCs w:val="1"/>
          <w:u w:val="single" w:color="auto"/>
          <w:color w:val="auto"/>
        </w:rPr>
        <w:t>Exceptions</w:t>
      </w:r>
    </w:p>
    <w:p>
      <w:pPr>
        <w:spacing w:after="0" w:line="10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Please explain any exceptions with respect to the certification above: (If no exceptions exist, state “No exceptions.” Attach separate sheet if additional space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Candel Therapeutics,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-13970</wp:posOffset>
            </wp:positionV>
            <wp:extent cx="11049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6">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-22860</wp:posOffset>
            </wp:positionV>
            <wp:extent cx="9372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7">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-29210</wp:posOffset>
            </wp:positionV>
            <wp:extent cx="10058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8">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Date:</w:t>
      </w:r>
    </w:p>
    <w:p>
      <w:pPr>
        <w:spacing w:after="0" w:line="22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ADMINISTRATIVE AGENT USE ONLY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66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Received by:</w:t>
            </w:r>
          </w:p>
        </w:tc>
        <w:tc>
          <w:tcPr>
            <w:tcW w:w="45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Date:</w:t>
            </w:r>
          </w:p>
        </w:tc>
      </w:tr>
      <w:tr>
        <w:trPr>
          <w:trHeight w:val="486"/>
        </w:trPr>
        <w:tc>
          <w:tcPr>
            <w:tcW w:w="666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Verified by:</w:t>
            </w:r>
          </w:p>
        </w:tc>
        <w:tc>
          <w:tcPr>
            <w:tcW w:w="458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Date:</w:t>
            </w:r>
          </w:p>
        </w:tc>
      </w:tr>
      <w:tr>
        <w:trPr>
          <w:trHeight w:val="486"/>
        </w:trPr>
        <w:tc>
          <w:tcPr>
            <w:tcW w:w="6660" w:type="dxa"/>
            <w:vAlign w:val="bottom"/>
          </w:tcPr>
          <w:p>
            <w:pPr>
              <w:ind w:left="4340"/>
              <w:spacing w:after="0"/>
              <w:rPr>
                <w:sz w:val="20"/>
                <w:szCs w:val="20"/>
                <w:color w:val="auto"/>
              </w:rPr>
            </w:pPr>
            <w:r>
              <w:rPr>
                <w:rFonts w:ascii="Times New Roman" w:cs="Times New Roman" w:eastAsia="Times New Roman" w:hAnsi="Times New Roman"/>
                <w:sz w:val="22"/>
                <w:szCs w:val="22"/>
                <w:color w:val="auto"/>
              </w:rPr>
              <w:t>Compliance Status: Yes</w:t>
            </w:r>
          </w:p>
        </w:tc>
        <w:tc>
          <w:tcPr>
            <w:tcW w:w="45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w:t>
            </w:r>
          </w:p>
        </w:tc>
      </w:tr>
      <w:tr>
        <w:trPr>
          <w:trHeight w:val="473"/>
        </w:trPr>
        <w:tc>
          <w:tcPr>
            <w:tcW w:w="6660" w:type="dxa"/>
            <w:vAlign w:val="bottom"/>
          </w:tcPr>
          <w:p>
            <w:pPr>
              <w:ind w:left="5460"/>
              <w:spacing w:after="0"/>
              <w:rPr>
                <w:sz w:val="20"/>
                <w:szCs w:val="20"/>
                <w:color w:val="auto"/>
              </w:rPr>
            </w:pPr>
            <w:r>
              <w:rPr>
                <w:rFonts w:ascii="Times New Roman" w:cs="Times New Roman" w:eastAsia="Times New Roman" w:hAnsi="Times New Roman"/>
                <w:sz w:val="22"/>
                <w:szCs w:val="22"/>
                <w:color w:val="auto"/>
              </w:rPr>
              <w:t>C-5</w:t>
            </w:r>
          </w:p>
        </w:tc>
        <w:tc>
          <w:tcPr>
            <w:tcW w:w="4580" w:type="dxa"/>
            <w:vAlign w:val="bottom"/>
          </w:tcPr>
          <w:p>
            <w:pPr>
              <w:spacing w:after="0"/>
              <w:rPr>
                <w:sz w:val="24"/>
                <w:szCs w:val="24"/>
                <w:color w:val="auto"/>
              </w:rPr>
            </w:pPr>
          </w:p>
        </w:tc>
      </w:tr>
      <w:tr>
        <w:trPr>
          <w:trHeight w:val="1143"/>
        </w:trPr>
        <w:tc>
          <w:tcPr>
            <w:tcW w:w="66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6" w:name="page257"/>
    <w:bookmarkEnd w:id="256"/>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333-258279, 333-263961, 333-270967, 333-278294, and 333-285794) on Form S-8 and (No. 333-289595) on Form S-3 of our report dated March 12, 2026, with respect to the consolidated financial statements of Candel Therapeutics,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 Paul Peter Tak, certify that:</w:t>
      </w:r>
    </w:p>
    <w:p>
      <w:pPr>
        <w:spacing w:after="0" w:line="206" w:lineRule="exact"/>
        <w:rPr>
          <w:sz w:val="20"/>
          <w:szCs w:val="20"/>
          <w:color w:val="auto"/>
        </w:rPr>
      </w:pPr>
    </w:p>
    <w:p>
      <w:pPr>
        <w:ind w:left="480" w:hanging="472"/>
        <w:spacing w:after="0"/>
        <w:tabs>
          <w:tab w:leader="none" w:pos="4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Candel Therapeutics, Inc.;</w:t>
      </w:r>
    </w:p>
    <w:p>
      <w:pPr>
        <w:spacing w:after="0" w:line="206" w:lineRule="exact"/>
        <w:rPr>
          <w:rFonts w:ascii="Arial" w:cs="Arial" w:eastAsia="Arial" w:hAnsi="Arial"/>
          <w:sz w:val="22"/>
          <w:szCs w:val="22"/>
          <w:color w:val="auto"/>
        </w:rPr>
      </w:pPr>
    </w:p>
    <w:p>
      <w:pPr>
        <w:ind w:left="760" w:right="260" w:hanging="752"/>
        <w:spacing w:after="0" w:line="245" w:lineRule="auto"/>
        <w:tabs>
          <w:tab w:leader="none" w:pos="49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2"/>
          <w:szCs w:val="22"/>
          <w:color w:val="auto"/>
        </w:rPr>
      </w:pPr>
    </w:p>
    <w:p>
      <w:pPr>
        <w:ind w:left="760" w:right="20" w:hanging="752"/>
        <w:spacing w:after="0" w:line="245" w:lineRule="auto"/>
        <w:tabs>
          <w:tab w:leader="none" w:pos="49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22"/>
          <w:szCs w:val="22"/>
          <w:color w:val="auto"/>
        </w:rPr>
      </w:pPr>
    </w:p>
    <w:p>
      <w:pPr>
        <w:ind w:left="760" w:right="420" w:hanging="752"/>
        <w:spacing w:after="0"/>
        <w:tabs>
          <w:tab w:leader="none" w:pos="49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2"/>
          <w:szCs w:val="22"/>
          <w:color w:val="auto"/>
        </w:rPr>
      </w:pPr>
    </w:p>
    <w:p>
      <w:pPr>
        <w:ind w:left="1500" w:right="120" w:hanging="690"/>
        <w:spacing w:after="0"/>
        <w:tabs>
          <w:tab w:leader="none" w:pos="1285" w:val="left"/>
        </w:tabs>
        <w:numPr>
          <w:ilvl w:val="1"/>
          <w:numId w:val="21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2"/>
          <w:szCs w:val="22"/>
          <w:color w:val="auto"/>
        </w:rPr>
      </w:pPr>
    </w:p>
    <w:p>
      <w:pPr>
        <w:ind w:left="1500" w:right="400" w:hanging="690"/>
        <w:spacing w:after="0"/>
        <w:tabs>
          <w:tab w:leader="none" w:pos="1285" w:val="left"/>
        </w:tabs>
        <w:numPr>
          <w:ilvl w:val="1"/>
          <w:numId w:val="213"/>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2"/>
          <w:szCs w:val="22"/>
          <w:color w:val="auto"/>
        </w:rPr>
      </w:pPr>
    </w:p>
    <w:p>
      <w:pPr>
        <w:ind w:left="1500" w:right="120" w:hanging="690"/>
        <w:spacing w:after="0" w:line="245" w:lineRule="auto"/>
        <w:tabs>
          <w:tab w:leader="none" w:pos="1285" w:val="left"/>
        </w:tabs>
        <w:numPr>
          <w:ilvl w:val="1"/>
          <w:numId w:val="21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21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58" w:name="page259"/>
    <w:bookmarkEnd w:id="258"/>
    <w:p>
      <w:pPr>
        <w:ind w:left="1500" w:right="100"/>
        <w:spacing w:after="0" w:line="259" w:lineRule="auto"/>
        <w:rPr>
          <w:sz w:val="20"/>
          <w:szCs w:val="20"/>
          <w:color w:val="auto"/>
        </w:rPr>
      </w:pPr>
      <w:r>
        <w:rPr>
          <w:rFonts w:ascii="Arial" w:cs="Arial" w:eastAsia="Arial" w:hAnsi="Arial"/>
          <w:sz w:val="22"/>
          <w:szCs w:val="22"/>
          <w:color w:val="auto"/>
        </w:rPr>
        <w:t>report) that has materially affected, or is reasonably likely to materially affect, the registrant's internal control over financial reporting; and</w:t>
      </w:r>
    </w:p>
    <w:p>
      <w:pPr>
        <w:spacing w:after="0" w:line="156" w:lineRule="exact"/>
        <w:rPr>
          <w:sz w:val="20"/>
          <w:szCs w:val="20"/>
          <w:color w:val="auto"/>
        </w:rPr>
      </w:pPr>
    </w:p>
    <w:p>
      <w:pPr>
        <w:ind w:left="760" w:hanging="752"/>
        <w:spacing w:after="0" w:line="245" w:lineRule="auto"/>
        <w:tabs>
          <w:tab w:leader="none" w:pos="492"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21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2"/>
          <w:szCs w:val="22"/>
          <w:color w:val="auto"/>
        </w:rPr>
      </w:pPr>
    </w:p>
    <w:p>
      <w:pPr>
        <w:ind w:left="1500" w:right="920" w:hanging="690"/>
        <w:spacing w:after="0" w:line="259" w:lineRule="auto"/>
        <w:tabs>
          <w:tab w:leader="none" w:pos="1285" w:val="left"/>
        </w:tabs>
        <w:numPr>
          <w:ilvl w:val="1"/>
          <w:numId w:val="21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tabs>
          <w:tab w:leader="none" w:pos="5280" w:val="left"/>
          <w:tab w:leader="none" w:pos="7720" w:val="left"/>
        </w:tabs>
        <w:rPr>
          <w:sz w:val="20"/>
          <w:szCs w:val="20"/>
          <w:color w:val="auto"/>
        </w:rPr>
      </w:pPr>
      <w:r>
        <w:rPr>
          <w:rFonts w:ascii="Arial" w:cs="Arial" w:eastAsia="Arial" w:hAnsi="Arial"/>
          <w:sz w:val="22"/>
          <w:szCs w:val="22"/>
          <w:color w:val="auto"/>
        </w:rPr>
        <w:t>Date: March 12, 2026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Arial" w:cs="Arial" w:eastAsia="Arial" w:hAnsi="Arial"/>
          <w:sz w:val="22"/>
          <w:szCs w:val="22"/>
          <w:b w:val="1"/>
          <w:bCs w:val="1"/>
          <w:color w:val="auto"/>
        </w:rPr>
        <w:t>Paul Peter Tak</w:t>
      </w:r>
    </w:p>
    <w:p>
      <w:pPr>
        <w:jc w:val="center"/>
        <w:ind w:left="5940"/>
        <w:spacing w:after="0" w:line="230" w:lineRule="auto"/>
        <w:rPr>
          <w:sz w:val="20"/>
          <w:szCs w:val="20"/>
          <w:color w:val="auto"/>
        </w:rPr>
      </w:pPr>
      <w:r>
        <w:rPr>
          <w:rFonts w:ascii="Arial" w:cs="Arial" w:eastAsia="Arial" w:hAnsi="Arial"/>
          <w:sz w:val="22"/>
          <w:szCs w:val="22"/>
          <w:b w:val="1"/>
          <w:bCs w:val="1"/>
          <w:color w:val="auto"/>
        </w:rPr>
        <w:t>President and 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259" w:name="page260"/>
    <w:bookmarkEnd w:id="259"/>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I, Charles Schoch, certify that:</w:t>
      </w:r>
    </w:p>
    <w:p>
      <w:pPr>
        <w:spacing w:after="0" w:line="206" w:lineRule="exact"/>
        <w:rPr>
          <w:sz w:val="20"/>
          <w:szCs w:val="20"/>
          <w:color w:val="auto"/>
        </w:rPr>
      </w:pPr>
    </w:p>
    <w:p>
      <w:pPr>
        <w:ind w:left="480" w:hanging="472"/>
        <w:spacing w:after="0"/>
        <w:tabs>
          <w:tab w:leader="none" w:pos="4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Candel Therapeutics, Inc.;</w:t>
      </w:r>
    </w:p>
    <w:p>
      <w:pPr>
        <w:spacing w:after="0" w:line="206" w:lineRule="exact"/>
        <w:rPr>
          <w:rFonts w:ascii="Arial" w:cs="Arial" w:eastAsia="Arial" w:hAnsi="Arial"/>
          <w:sz w:val="22"/>
          <w:szCs w:val="22"/>
          <w:color w:val="auto"/>
        </w:rPr>
      </w:pPr>
    </w:p>
    <w:p>
      <w:pPr>
        <w:ind w:left="760" w:right="260" w:hanging="752"/>
        <w:spacing w:after="0" w:line="245" w:lineRule="auto"/>
        <w:tabs>
          <w:tab w:leader="none" w:pos="49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2"/>
          <w:szCs w:val="22"/>
          <w:color w:val="auto"/>
        </w:rPr>
      </w:pPr>
    </w:p>
    <w:p>
      <w:pPr>
        <w:ind w:left="760" w:right="20" w:hanging="752"/>
        <w:spacing w:after="0" w:line="245" w:lineRule="auto"/>
        <w:tabs>
          <w:tab w:leader="none" w:pos="49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22"/>
          <w:szCs w:val="22"/>
          <w:color w:val="auto"/>
        </w:rPr>
      </w:pPr>
    </w:p>
    <w:p>
      <w:pPr>
        <w:ind w:left="760" w:right="420" w:hanging="752"/>
        <w:spacing w:after="0"/>
        <w:tabs>
          <w:tab w:leader="none" w:pos="49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2"/>
          <w:szCs w:val="22"/>
          <w:color w:val="auto"/>
        </w:rPr>
      </w:pPr>
    </w:p>
    <w:p>
      <w:pPr>
        <w:ind w:left="1500" w:right="120" w:hanging="690"/>
        <w:spacing w:after="0"/>
        <w:tabs>
          <w:tab w:leader="none" w:pos="1285" w:val="left"/>
        </w:tabs>
        <w:numPr>
          <w:ilvl w:val="1"/>
          <w:numId w:val="21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2"/>
          <w:szCs w:val="22"/>
          <w:color w:val="auto"/>
        </w:rPr>
      </w:pPr>
    </w:p>
    <w:p>
      <w:pPr>
        <w:ind w:left="1500" w:right="400" w:hanging="690"/>
        <w:spacing w:after="0"/>
        <w:tabs>
          <w:tab w:leader="none" w:pos="1285" w:val="left"/>
        </w:tabs>
        <w:numPr>
          <w:ilvl w:val="1"/>
          <w:numId w:val="215"/>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2"/>
          <w:szCs w:val="22"/>
          <w:color w:val="auto"/>
        </w:rPr>
      </w:pPr>
    </w:p>
    <w:p>
      <w:pPr>
        <w:ind w:left="1500" w:right="120" w:hanging="690"/>
        <w:spacing w:after="0" w:line="245" w:lineRule="auto"/>
        <w:tabs>
          <w:tab w:leader="none" w:pos="1285" w:val="left"/>
        </w:tabs>
        <w:numPr>
          <w:ilvl w:val="1"/>
          <w:numId w:val="21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21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0" w:name="page261"/>
    <w:bookmarkEnd w:id="260"/>
    <w:p>
      <w:pPr>
        <w:ind w:left="1500" w:right="100"/>
        <w:spacing w:after="0" w:line="259" w:lineRule="auto"/>
        <w:rPr>
          <w:sz w:val="20"/>
          <w:szCs w:val="20"/>
          <w:color w:val="auto"/>
        </w:rPr>
      </w:pPr>
      <w:r>
        <w:rPr>
          <w:rFonts w:ascii="Arial" w:cs="Arial" w:eastAsia="Arial" w:hAnsi="Arial"/>
          <w:sz w:val="22"/>
          <w:szCs w:val="22"/>
          <w:color w:val="auto"/>
        </w:rPr>
        <w:t>report) that has materially affected, or is reasonably likely to materially affect, the registrant's internal control over financial reporting; and</w:t>
      </w:r>
    </w:p>
    <w:p>
      <w:pPr>
        <w:spacing w:after="0" w:line="156" w:lineRule="exact"/>
        <w:rPr>
          <w:sz w:val="20"/>
          <w:szCs w:val="20"/>
          <w:color w:val="auto"/>
        </w:rPr>
      </w:pPr>
    </w:p>
    <w:p>
      <w:pPr>
        <w:ind w:left="760" w:hanging="752"/>
        <w:spacing w:after="0" w:line="245" w:lineRule="auto"/>
        <w:tabs>
          <w:tab w:leader="none" w:pos="492"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21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2"/>
          <w:szCs w:val="22"/>
          <w:color w:val="auto"/>
        </w:rPr>
      </w:pPr>
    </w:p>
    <w:p>
      <w:pPr>
        <w:ind w:left="1500" w:right="920" w:hanging="690"/>
        <w:spacing w:after="0" w:line="259" w:lineRule="auto"/>
        <w:tabs>
          <w:tab w:leader="none" w:pos="1285" w:val="left"/>
        </w:tabs>
        <w:numPr>
          <w:ilvl w:val="1"/>
          <w:numId w:val="21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tabs>
          <w:tab w:leader="none" w:pos="5060" w:val="left"/>
          <w:tab w:leader="none" w:pos="7500" w:val="left"/>
        </w:tabs>
        <w:rPr>
          <w:sz w:val="20"/>
          <w:szCs w:val="20"/>
          <w:color w:val="auto"/>
        </w:rPr>
      </w:pPr>
      <w:r>
        <w:rPr>
          <w:rFonts w:ascii="Arial" w:cs="Arial" w:eastAsia="Arial" w:hAnsi="Arial"/>
          <w:sz w:val="22"/>
          <w:szCs w:val="22"/>
          <w:color w:val="auto"/>
        </w:rPr>
        <w:t>Date: March 12, 2026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color w:val="auto"/>
        </w:rPr>
        <w:t>Charles Schoch</w:t>
      </w:r>
    </w:p>
    <w:p>
      <w:pPr>
        <w:jc w:val="center"/>
        <w:ind w:left="5600"/>
        <w:spacing w:after="0" w:line="230" w:lineRule="auto"/>
        <w:rPr>
          <w:sz w:val="20"/>
          <w:szCs w:val="20"/>
          <w:color w:val="auto"/>
        </w:rPr>
      </w:pPr>
      <w:r>
        <w:rPr>
          <w:rFonts w:ascii="Arial" w:cs="Arial" w:eastAsia="Arial" w:hAnsi="Arial"/>
          <w:sz w:val="22"/>
          <w:szCs w:val="22"/>
          <w:b w:val="1"/>
          <w:bCs w:val="1"/>
          <w:color w:val="auto"/>
        </w:rPr>
        <w:t>Chief Financial Officer</w:t>
      </w:r>
    </w:p>
    <w:p>
      <w:pPr>
        <w:jc w:val="center"/>
        <w:ind w:left="5540"/>
        <w:spacing w:after="0" w:line="231" w:lineRule="auto"/>
        <w:rPr>
          <w:sz w:val="20"/>
          <w:szCs w:val="20"/>
          <w:color w:val="auto"/>
        </w:rPr>
      </w:pPr>
      <w:r>
        <w:rPr>
          <w:rFonts w:ascii="Arial" w:cs="Arial" w:eastAsia="Arial" w:hAnsi="Arial"/>
          <w:sz w:val="22"/>
          <w:szCs w:val="22"/>
          <w:b w:val="1"/>
          <w:bCs w:val="1"/>
          <w:i w:val="1"/>
          <w:iCs w:val="1"/>
          <w:color w:val="auto"/>
        </w:rPr>
        <w:t>(principal financial officer and principal accounting</w:t>
      </w:r>
    </w:p>
    <w:p>
      <w:pPr>
        <w:jc w:val="center"/>
        <w:ind w:left="5600"/>
        <w:spacing w:after="0"/>
        <w:rPr>
          <w:sz w:val="20"/>
          <w:szCs w:val="20"/>
          <w:color w:val="auto"/>
        </w:rPr>
      </w:pPr>
      <w:r>
        <w:rPr>
          <w:rFonts w:ascii="Arial" w:cs="Arial" w:eastAsia="Arial" w:hAnsi="Arial"/>
          <w:sz w:val="22"/>
          <w:szCs w:val="22"/>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1151255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261" w:name="page262"/>
    <w:bookmarkEnd w:id="261"/>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CERTIFICATION PURSUANT TO 18 U.S.C. SECTION 1350, AS ADOPTED PURSUANT TO SECTION 906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1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In connection with the filing with the Securities and Exchange Commission of the Annual Report of Candel Therapeutics, Inc. (the “Company”) on Form 10-K for the period ended December 31, 2025 (the “Report”), the undersigned President and Chief Executive Officer of the Company hereby certifies, pursuant to 18 U.S.C. § 1350, as adopted pursuant to Section 906 of the Sarbanes-Oxley Act of 2002, that, to his knowledge:</w:t>
      </w:r>
    </w:p>
    <w:p>
      <w:pPr>
        <w:spacing w:after="0" w:line="176" w:lineRule="exact"/>
        <w:rPr>
          <w:sz w:val="20"/>
          <w:szCs w:val="20"/>
          <w:color w:val="auto"/>
        </w:rPr>
      </w:pPr>
    </w:p>
    <w:p>
      <w:pPr>
        <w:ind w:left="1500" w:right="360" w:hanging="690"/>
        <w:spacing w:after="0" w:line="259" w:lineRule="auto"/>
        <w:tabs>
          <w:tab w:leader="none" w:pos="128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56" w:lineRule="exact"/>
        <w:rPr>
          <w:rFonts w:ascii="Arial" w:cs="Arial" w:eastAsia="Arial" w:hAnsi="Arial"/>
          <w:sz w:val="22"/>
          <w:szCs w:val="22"/>
          <w:color w:val="auto"/>
        </w:rPr>
      </w:pPr>
    </w:p>
    <w:p>
      <w:pPr>
        <w:ind w:left="1500" w:right="280" w:hanging="690"/>
        <w:spacing w:after="0" w:line="259" w:lineRule="auto"/>
        <w:tabs>
          <w:tab w:leader="none" w:pos="128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tabs>
          <w:tab w:leader="none" w:pos="5060" w:val="left"/>
          <w:tab w:leader="none" w:pos="7560" w:val="left"/>
        </w:tabs>
        <w:rPr>
          <w:sz w:val="20"/>
          <w:szCs w:val="20"/>
          <w:color w:val="auto"/>
        </w:rPr>
      </w:pPr>
      <w:r>
        <w:rPr>
          <w:rFonts w:ascii="Arial" w:cs="Arial" w:eastAsia="Arial" w:hAnsi="Arial"/>
          <w:sz w:val="22"/>
          <w:szCs w:val="22"/>
          <w:color w:val="auto"/>
        </w:rPr>
        <w:t>Date: March 12, 2026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22"/>
          <w:szCs w:val="22"/>
          <w:b w:val="1"/>
          <w:bCs w:val="1"/>
          <w:color w:val="auto"/>
        </w:rPr>
        <w:t>Paul Peter Tak</w:t>
      </w:r>
    </w:p>
    <w:p>
      <w:pPr>
        <w:jc w:val="center"/>
        <w:ind w:left="5600"/>
        <w:spacing w:after="0" w:line="230" w:lineRule="auto"/>
        <w:rPr>
          <w:sz w:val="20"/>
          <w:szCs w:val="20"/>
          <w:color w:val="auto"/>
        </w:rPr>
      </w:pPr>
      <w:r>
        <w:rPr>
          <w:rFonts w:ascii="Arial" w:cs="Arial" w:eastAsia="Arial" w:hAnsi="Arial"/>
          <w:sz w:val="22"/>
          <w:szCs w:val="22"/>
          <w:b w:val="1"/>
          <w:bCs w:val="1"/>
          <w:color w:val="auto"/>
        </w:rPr>
        <w:t>President and Chief Executive Officer</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0" w:lineRule="exact"/>
        <w:rPr>
          <w:sz w:val="20"/>
          <w:szCs w:val="20"/>
          <w:color w:val="auto"/>
        </w:rPr>
      </w:pPr>
    </w:p>
    <w:p>
      <w:pPr>
        <w:spacing w:after="0" w:line="202" w:lineRule="exact"/>
        <w:rPr>
          <w:sz w:val="20"/>
          <w:szCs w:val="20"/>
          <w:color w:val="auto"/>
        </w:rPr>
      </w:pPr>
    </w:p>
    <w:p>
      <w:pPr>
        <w:ind w:right="640"/>
        <w:spacing w:after="0"/>
        <w:rPr>
          <w:sz w:val="20"/>
          <w:szCs w:val="20"/>
          <w:color w:val="auto"/>
        </w:rPr>
      </w:pPr>
      <w:r>
        <w:rPr>
          <w:rFonts w:ascii="Arial" w:cs="Arial" w:eastAsia="Arial" w:hAnsi="Arial"/>
          <w:sz w:val="22"/>
          <w:szCs w:val="22"/>
          <w:color w:val="auto"/>
        </w:rPr>
        <w:t>In connection with the filing with the Securities and Exchange Commission of the Annual Report of Candel Therapeutics, Inc. (the “Company”) on Form 10-K for the period ended December 31, 2025 (the “Report”), the undersigned Chief Financial Officer of the Company hereby certifies, pursuant to 18 U.S.C. § 1350, as adopted pursuant to Section 906 of the Sarbanes-Oxley Act of 2002, that, to his knowledge:</w:t>
      </w:r>
    </w:p>
    <w:p>
      <w:pPr>
        <w:spacing w:after="0" w:line="176" w:lineRule="exact"/>
        <w:rPr>
          <w:sz w:val="20"/>
          <w:szCs w:val="20"/>
          <w:color w:val="auto"/>
        </w:rPr>
      </w:pPr>
    </w:p>
    <w:p>
      <w:pPr>
        <w:ind w:left="1500" w:right="360" w:hanging="690"/>
        <w:spacing w:after="0" w:line="259" w:lineRule="auto"/>
        <w:tabs>
          <w:tab w:leader="none" w:pos="128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56" w:lineRule="exact"/>
        <w:rPr>
          <w:rFonts w:ascii="Arial" w:cs="Arial" w:eastAsia="Arial" w:hAnsi="Arial"/>
          <w:sz w:val="22"/>
          <w:szCs w:val="22"/>
          <w:color w:val="auto"/>
        </w:rPr>
      </w:pPr>
    </w:p>
    <w:p>
      <w:pPr>
        <w:ind w:left="1500" w:right="280" w:hanging="690"/>
        <w:spacing w:after="0" w:line="259" w:lineRule="auto"/>
        <w:tabs>
          <w:tab w:leader="none" w:pos="128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tabs>
          <w:tab w:leader="none" w:pos="5060" w:val="left"/>
          <w:tab w:leader="none" w:pos="7500" w:val="left"/>
        </w:tabs>
        <w:rPr>
          <w:sz w:val="20"/>
          <w:szCs w:val="20"/>
          <w:color w:val="auto"/>
        </w:rPr>
      </w:pPr>
      <w:r>
        <w:rPr>
          <w:rFonts w:ascii="Arial" w:cs="Arial" w:eastAsia="Arial" w:hAnsi="Arial"/>
          <w:sz w:val="22"/>
          <w:szCs w:val="22"/>
          <w:color w:val="auto"/>
        </w:rPr>
        <w:t>Date: March 12, 2026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22"/>
          <w:szCs w:val="22"/>
          <w:b w:val="1"/>
          <w:bCs w:val="1"/>
          <w:color w:val="auto"/>
        </w:rPr>
        <w:t>Charles Schoch</w:t>
      </w:r>
    </w:p>
    <w:p>
      <w:pPr>
        <w:jc w:val="center"/>
        <w:ind w:left="5600"/>
        <w:spacing w:after="0" w:line="230" w:lineRule="auto"/>
        <w:rPr>
          <w:sz w:val="20"/>
          <w:szCs w:val="20"/>
          <w:color w:val="auto"/>
        </w:rPr>
      </w:pPr>
      <w:r>
        <w:rPr>
          <w:rFonts w:ascii="Arial" w:cs="Arial" w:eastAsia="Arial" w:hAnsi="Arial"/>
          <w:sz w:val="22"/>
          <w:szCs w:val="22"/>
          <w:b w:val="1"/>
          <w:bCs w:val="1"/>
          <w:color w:val="auto"/>
        </w:rPr>
        <w:t>Chief Financial Officer</w:t>
      </w:r>
    </w:p>
    <w:p>
      <w:pPr>
        <w:jc w:val="center"/>
        <w:ind w:left="5540"/>
        <w:spacing w:after="0" w:line="231"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ind w:left="746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2" w:name="page263"/>
    <w:bookmarkEnd w:id="2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
      <w:numFmt w:val="bullet"/>
      <w:start w:val="1"/>
    </w:lvl>
  </w:abstractNum>
  <w:abstractNum w:abstractNumId="3">
    <w:nsid w:val="53584BCB"/>
    <w:multiLevelType w:val="hybridMultilevel"/>
    <w:lvl w:ilvl="0">
      <w:lvlJc w:val="left"/>
      <w:lvlText w:val="▪"/>
      <w:numFmt w:val="bullet"/>
      <w:start w:val="1"/>
    </w:lvl>
  </w:abstractNum>
  <w:abstractNum w:abstractNumId="4">
    <w:nsid w:val="415E286C"/>
    <w:multiLevelType w:val="hybridMultilevel"/>
    <w:lvl w:ilvl="0">
      <w:lvlJc w:val="left"/>
      <w:lvlText w:val="•"/>
      <w:numFmt w:val="bullet"/>
      <w:start w:val="1"/>
    </w:lvl>
  </w:abstractNum>
  <w:abstractNum w:abstractNumId="5">
    <w:nsid w:val="7C58FD05"/>
    <w:multiLevelType w:val="hybridMultilevel"/>
    <w:lvl w:ilvl="0">
      <w:lvlJc w:val="left"/>
      <w:lvlText w:val="•"/>
      <w:numFmt w:val="bullet"/>
      <w:start w:val="1"/>
    </w:lvl>
  </w:abstractNum>
  <w:abstractNum w:abstractNumId="6">
    <w:nsid w:val="23D86AAC"/>
    <w:multiLevelType w:val="hybridMultilevel"/>
    <w:lvl w:ilvl="0">
      <w:lvlJc w:val="left"/>
      <w:lvlText w:val="▪"/>
      <w:numFmt w:val="bullet"/>
      <w:start w:val="1"/>
    </w:lvl>
  </w:abstractNum>
  <w:abstractNum w:abstractNumId="7">
    <w:nsid w:val="45E6D486"/>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8">
    <w:nsid w:val="5C10FE21"/>
    <w:multiLevelType w:val="hybridMultilevel"/>
    <w:lvl w:ilvl="0">
      <w:lvlJc w:val="left"/>
      <w:lvlText w:val="•"/>
      <w:numFmt w:val="bullet"/>
      <w:start w:val="1"/>
    </w:lvl>
    <w:lvl w:ilvl="1">
      <w:lvlJc w:val="left"/>
      <w:lvlText w:val="•"/>
      <w:numFmt w:val="bullet"/>
      <w:start w:val="1"/>
    </w:lvl>
  </w:abstractNum>
  <w:abstractNum w:abstractNumId="9">
    <w:nsid w:val="E7FFA2B"/>
    <w:multiLevelType w:val="hybridMultilevel"/>
    <w:lvl w:ilvl="0">
      <w:lvlJc w:val="left"/>
      <w:lvlText w:val="•"/>
      <w:numFmt w:val="bullet"/>
      <w:start w:val="1"/>
    </w:lvl>
  </w:abstractNum>
  <w:abstractNum w:abstractNumId="10">
    <w:nsid w:val="3C5991AA"/>
    <w:multiLevelType w:val="hybridMultilevel"/>
    <w:lvl w:ilvl="0">
      <w:lvlJc w:val="left"/>
      <w:lvlText w:val="o"/>
      <w:numFmt w:val="bullet"/>
      <w:start w:val="1"/>
    </w:lvl>
    <w:lvl w:ilvl="1">
      <w:lvlJc w:val="left"/>
      <w:lvlText w:val="•"/>
      <w:numFmt w:val="bullet"/>
      <w:start w:val="1"/>
    </w:lvl>
  </w:abstractNum>
  <w:abstractNum w:abstractNumId="11">
    <w:nsid w:val="4BD8591A"/>
    <w:multiLevelType w:val="hybridMultilevel"/>
    <w:lvl w:ilvl="0">
      <w:lvlJc w:val="left"/>
      <w:lvlText w:val="▪"/>
      <w:numFmt w:val="bullet"/>
      <w:start w:val="1"/>
    </w:lvl>
    <w:lvl w:ilvl="1">
      <w:lvlJc w:val="left"/>
      <w:lvlText w:val="o"/>
      <w:numFmt w:val="bullet"/>
      <w:start w:val="1"/>
    </w:lvl>
  </w:abstractNum>
  <w:abstractNum w:abstractNumId="12">
    <w:nsid w:val="78DF6A55"/>
    <w:multiLevelType w:val="hybridMultilevel"/>
    <w:lvl w:ilvl="0">
      <w:lvlJc w:val="left"/>
      <w:lvlText w:val="o"/>
      <w:numFmt w:val="bullet"/>
      <w:start w:val="1"/>
    </w:lvl>
  </w:abstractNum>
  <w:abstractNum w:abstractNumId="13">
    <w:nsid w:val="39B7AAA2"/>
    <w:multiLevelType w:val="hybridMultilevel"/>
    <w:lvl w:ilvl="0">
      <w:lvlJc w:val="left"/>
      <w:lvlText w:val="o"/>
      <w:numFmt w:val="bullet"/>
      <w:start w:val="1"/>
    </w:lvl>
    <w:lvl w:ilvl="1">
      <w:lvlJc w:val="left"/>
      <w:lvlText w:val="▪"/>
      <w:numFmt w:val="bullet"/>
      <w:start w:val="1"/>
    </w:lvl>
  </w:abstractNum>
  <w:abstractNum w:abstractNumId="14">
    <w:nsid w:val="2B0D8DBE"/>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5">
    <w:nsid w:val="6C80EC70"/>
    <w:multiLevelType w:val="hybridMultilevel"/>
    <w:lvl w:ilvl="0">
      <w:lvlJc w:val="left"/>
      <w:lvlText w:val="▪"/>
      <w:numFmt w:val="bullet"/>
      <w:start w:val="1"/>
    </w:lvl>
  </w:abstractNum>
  <w:abstractNum w:abstractNumId="16">
    <w:nsid w:val="379E21B5"/>
    <w:multiLevelType w:val="hybridMultilevel"/>
    <w:lvl w:ilvl="0">
      <w:lvlJc w:val="left"/>
      <w:lvlText w:val="•"/>
      <w:numFmt w:val="bullet"/>
      <w:start w:val="1"/>
    </w:lvl>
  </w:abstractNum>
  <w:abstractNum w:abstractNumId="17">
    <w:nsid w:val="69E373"/>
    <w:multiLevelType w:val="hybridMultilevel"/>
    <w:lvl w:ilvl="0">
      <w:lvlJc w:val="left"/>
      <w:lvlText w:val="▪"/>
      <w:numFmt w:val="bullet"/>
      <w:start w:val="1"/>
    </w:lvl>
  </w:abstractNum>
  <w:abstractNum w:abstractNumId="18">
    <w:nsid w:val="2C27173B"/>
    <w:multiLevelType w:val="hybridMultilevel"/>
    <w:lvl w:ilvl="0">
      <w:lvlJc w:val="left"/>
      <w:lvlText w:val="▪"/>
      <w:numFmt w:val="bullet"/>
      <w:start w:val="1"/>
    </w:lvl>
  </w:abstractNum>
  <w:abstractNum w:abstractNumId="19">
    <w:nsid w:val="4C9B0904"/>
    <w:multiLevelType w:val="hybridMultilevel"/>
    <w:lvl w:ilvl="0">
      <w:lvlJc w:val="left"/>
      <w:lvlText w:val="▪"/>
      <w:numFmt w:val="bullet"/>
      <w:start w:val="1"/>
    </w:lvl>
  </w:abstractNum>
  <w:abstractNum w:abstractNumId="20">
    <w:nsid w:val="6AA7B75C"/>
    <w:multiLevelType w:val="hybridMultilevel"/>
    <w:lvl w:ilvl="0">
      <w:lvlJc w:val="left"/>
      <w:lvlText w:val="▪"/>
      <w:numFmt w:val="bullet"/>
      <w:start w:val="1"/>
    </w:lvl>
  </w:abstractNum>
  <w:abstractNum w:abstractNumId="21">
    <w:nsid w:val="1DF029D3"/>
    <w:multiLevelType w:val="hybridMultilevel"/>
    <w:lvl w:ilvl="0">
      <w:lvlJc w:val="left"/>
      <w:lvlText w:val="▪"/>
      <w:numFmt w:val="bullet"/>
      <w:start w:val="1"/>
    </w:lvl>
    <w:lvl w:ilvl="1">
      <w:lvlJc w:val="left"/>
      <w:lvlText w:val="▪"/>
      <w:numFmt w:val="bullet"/>
      <w:start w:val="1"/>
    </w:lvl>
  </w:abstractNum>
  <w:abstractNum w:abstractNumId="22">
    <w:nsid w:val="5675FF36"/>
    <w:multiLevelType w:val="hybridMultilevel"/>
    <w:lvl w:ilvl="0">
      <w:lvlJc w:val="left"/>
      <w:lvlText w:val="▪"/>
      <w:numFmt w:val="bullet"/>
      <w:start w:val="1"/>
    </w:lvl>
  </w:abstractNum>
  <w:abstractNum w:abstractNumId="23">
    <w:nsid w:val="3DD15094"/>
    <w:multiLevelType w:val="hybridMultilevel"/>
    <w:lvl w:ilvl="0">
      <w:lvlJc w:val="left"/>
      <w:lvlText w:val="▪"/>
      <w:numFmt w:val="bullet"/>
      <w:start w:val="1"/>
    </w:lvl>
  </w:abstractNum>
  <w:abstractNum w:abstractNumId="24">
    <w:nsid w:val="3DB012B3"/>
    <w:multiLevelType w:val="hybridMultilevel"/>
    <w:lvl w:ilvl="0">
      <w:lvlJc w:val="left"/>
      <w:lvlText w:val="▪"/>
      <w:numFmt w:val="bullet"/>
      <w:start w:val="1"/>
    </w:lvl>
  </w:abstractNum>
  <w:abstractNum w:abstractNumId="25">
    <w:nsid w:val="2708C9AF"/>
    <w:multiLevelType w:val="hybridMultilevel"/>
    <w:lvl w:ilvl="0">
      <w:lvlJc w:val="left"/>
      <w:lvlText w:val="•"/>
      <w:numFmt w:val="bullet"/>
      <w:start w:val="1"/>
    </w:lvl>
  </w:abstractNum>
  <w:abstractNum w:abstractNumId="26">
    <w:nsid w:val="5B25ACE2"/>
    <w:multiLevelType w:val="hybridMultilevel"/>
    <w:lvl w:ilvl="0">
      <w:lvlJc w:val="left"/>
      <w:lvlText w:val="•"/>
      <w:numFmt w:val="bullet"/>
      <w:start w:val="1"/>
    </w:lvl>
  </w:abstractNum>
  <w:abstractNum w:abstractNumId="27">
    <w:nsid w:val="175DFCF0"/>
    <w:multiLevelType w:val="hybridMultilevel"/>
    <w:lvl w:ilvl="0">
      <w:lvlJc w:val="left"/>
      <w:lvlText w:val="•"/>
      <w:numFmt w:val="bullet"/>
      <w:start w:val="1"/>
    </w:lvl>
  </w:abstractNum>
  <w:abstractNum w:abstractNumId="28">
    <w:nsid w:val="4F97E3E4"/>
    <w:multiLevelType w:val="hybridMultilevel"/>
    <w:lvl w:ilvl="0">
      <w:lvlJc w:val="left"/>
      <w:lvlText w:val="•"/>
      <w:numFmt w:val="bullet"/>
      <w:start w:val="1"/>
    </w:lvl>
  </w:abstractNum>
  <w:abstractNum w:abstractNumId="29">
    <w:nsid w:val="53B0A9E"/>
    <w:multiLevelType w:val="hybridMultilevel"/>
    <w:lvl w:ilvl="0">
      <w:lvlJc w:val="left"/>
      <w:lvlText w:val="•"/>
      <w:numFmt w:val="bullet"/>
      <w:start w:val="1"/>
    </w:lvl>
  </w:abstractNum>
  <w:abstractNum w:abstractNumId="30">
    <w:nsid w:val="34FD6B4F"/>
    <w:multiLevelType w:val="hybridMultilevel"/>
    <w:lvl w:ilvl="0">
      <w:lvlJc w:val="left"/>
      <w:lvlText w:val="•"/>
      <w:numFmt w:val="bullet"/>
      <w:start w:val="1"/>
    </w:lvl>
  </w:abstractNum>
  <w:abstractNum w:abstractNumId="31">
    <w:nsid w:val="5915FF32"/>
    <w:multiLevelType w:val="hybridMultilevel"/>
    <w:lvl w:ilvl="0">
      <w:lvlJc w:val="left"/>
      <w:lvlText w:val="•"/>
      <w:numFmt w:val="bullet"/>
      <w:start w:val="1"/>
    </w:lvl>
  </w:abstractNum>
  <w:abstractNum w:abstractNumId="32">
    <w:nsid w:val="56438D15"/>
    <w:multiLevelType w:val="hybridMultilevel"/>
    <w:lvl w:ilvl="0">
      <w:lvlJc w:val="left"/>
      <w:lvlText w:val="•"/>
      <w:numFmt w:val="bullet"/>
      <w:start w:val="1"/>
    </w:lvl>
  </w:abstractNum>
  <w:abstractNum w:abstractNumId="33">
    <w:nsid w:val="519E3149"/>
    <w:multiLevelType w:val="hybridMultilevel"/>
    <w:lvl w:ilvl="0">
      <w:lvlJc w:val="left"/>
      <w:lvlText w:val="•"/>
      <w:numFmt w:val="bullet"/>
      <w:start w:val="1"/>
    </w:lvl>
  </w:abstractNum>
  <w:abstractNum w:abstractNumId="34">
    <w:nsid w:val="2C6E4AFD"/>
    <w:multiLevelType w:val="hybridMultilevel"/>
    <w:lvl w:ilvl="0">
      <w:lvlJc w:val="left"/>
      <w:lvlText w:val="•"/>
      <w:numFmt w:val="bullet"/>
      <w:start w:val="1"/>
    </w:lvl>
  </w:abstractNum>
  <w:abstractNum w:abstractNumId="35">
    <w:nsid w:val="17A1B582"/>
    <w:multiLevelType w:val="hybridMultilevel"/>
    <w:lvl w:ilvl="0">
      <w:lvlJc w:val="left"/>
      <w:lvlText w:val="•"/>
      <w:numFmt w:val="bullet"/>
      <w:start w:val="1"/>
    </w:lvl>
  </w:abstractNum>
  <w:abstractNum w:abstractNumId="36">
    <w:nsid w:val="4DF72E4E"/>
    <w:multiLevelType w:val="hybridMultilevel"/>
    <w:lvl w:ilvl="0">
      <w:lvlJc w:val="left"/>
      <w:lvlText w:val="•"/>
      <w:numFmt w:val="bullet"/>
      <w:start w:val="1"/>
    </w:lvl>
  </w:abstractNum>
  <w:abstractNum w:abstractNumId="37">
    <w:nsid w:val="5046B5A9"/>
    <w:multiLevelType w:val="hybridMultilevel"/>
    <w:lvl w:ilvl="0">
      <w:lvlJc w:val="left"/>
      <w:lvlText w:val="•"/>
      <w:numFmt w:val="bullet"/>
      <w:start w:val="1"/>
    </w:lvl>
  </w:abstractNum>
  <w:abstractNum w:abstractNumId="38">
    <w:nsid w:val="5D888A08"/>
    <w:multiLevelType w:val="hybridMultilevel"/>
    <w:lvl w:ilvl="0">
      <w:lvlJc w:val="left"/>
      <w:lvlText w:val="•"/>
      <w:numFmt w:val="bullet"/>
      <w:start w:val="1"/>
    </w:lvl>
  </w:abstractNum>
  <w:abstractNum w:abstractNumId="39">
    <w:nsid w:val="2A082C70"/>
    <w:multiLevelType w:val="hybridMultilevel"/>
    <w:lvl w:ilvl="0">
      <w:lvlJc w:val="left"/>
      <w:lvlText w:val="•"/>
      <w:numFmt w:val="bullet"/>
      <w:start w:val="1"/>
    </w:lvl>
  </w:abstractNum>
  <w:abstractNum w:abstractNumId="40">
    <w:nsid w:val="5EC6AFD4"/>
    <w:multiLevelType w:val="hybridMultilevel"/>
    <w:lvl w:ilvl="0">
      <w:lvlJc w:val="left"/>
      <w:lvlText w:val="•"/>
      <w:numFmt w:val="bullet"/>
      <w:start w:val="1"/>
    </w:lvl>
  </w:abstractNum>
  <w:abstractNum w:abstractNumId="41">
    <w:nsid w:val="19E21BB2"/>
    <w:multiLevelType w:val="hybridMultilevel"/>
    <w:lvl w:ilvl="0">
      <w:lvlJc w:val="left"/>
      <w:lvlText w:val="•"/>
      <w:numFmt w:val="bullet"/>
      <w:start w:val="1"/>
    </w:lvl>
  </w:abstractNum>
  <w:abstractNum w:abstractNumId="42">
    <w:nsid w:val="75E0858A"/>
    <w:multiLevelType w:val="hybridMultilevel"/>
    <w:lvl w:ilvl="0">
      <w:lvlJc w:val="left"/>
      <w:lvlText w:val="•"/>
      <w:numFmt w:val="bullet"/>
      <w:start w:val="1"/>
    </w:lvl>
  </w:abstractNum>
  <w:abstractNum w:abstractNumId="43">
    <w:nsid w:val="57A61A29"/>
    <w:multiLevelType w:val="hybridMultilevel"/>
    <w:lvl w:ilvl="0">
      <w:lvlJc w:val="left"/>
      <w:lvlText w:val="•"/>
      <w:numFmt w:val="bullet"/>
      <w:start w:val="1"/>
    </w:lvl>
  </w:abstractNum>
  <w:abstractNum w:abstractNumId="44">
    <w:nsid w:val="5399C654"/>
    <w:multiLevelType w:val="hybridMultilevel"/>
    <w:lvl w:ilvl="0">
      <w:lvlJc w:val="left"/>
      <w:lvlText w:val="•"/>
      <w:numFmt w:val="bullet"/>
      <w:start w:val="1"/>
    </w:lvl>
  </w:abstractNum>
  <w:abstractNum w:abstractNumId="45">
    <w:nsid w:val="20EE1348"/>
    <w:multiLevelType w:val="hybridMultilevel"/>
    <w:lvl w:ilvl="0">
      <w:lvlJc w:val="left"/>
      <w:lvlText w:val="•"/>
      <w:numFmt w:val="bullet"/>
      <w:start w:val="1"/>
    </w:lvl>
  </w:abstractNum>
  <w:abstractNum w:abstractNumId="46">
    <w:nsid w:val="4427069A"/>
    <w:multiLevelType w:val="hybridMultilevel"/>
    <w:lvl w:ilvl="0">
      <w:lvlJc w:val="left"/>
      <w:lvlText w:val="•"/>
      <w:numFmt w:val="bullet"/>
      <w:start w:val="1"/>
    </w:lvl>
  </w:abstractNum>
  <w:abstractNum w:abstractNumId="47">
    <w:nsid w:val="B37E80A"/>
    <w:multiLevelType w:val="hybridMultilevel"/>
    <w:lvl w:ilvl="0">
      <w:lvlJc w:val="left"/>
      <w:lvlText w:val="•"/>
      <w:numFmt w:val="bullet"/>
      <w:start w:val="1"/>
    </w:lvl>
  </w:abstractNum>
  <w:abstractNum w:abstractNumId="48">
    <w:nsid w:val="2157F6BC"/>
    <w:multiLevelType w:val="hybridMultilevel"/>
    <w:lvl w:ilvl="0">
      <w:lvlJc w:val="left"/>
      <w:lvlText w:val="•"/>
      <w:numFmt w:val="bullet"/>
      <w:start w:val="1"/>
    </w:lvl>
  </w:abstractNum>
  <w:abstractNum w:abstractNumId="49">
    <w:nsid w:val="704E1DD5"/>
    <w:multiLevelType w:val="hybridMultilevel"/>
    <w:lvl w:ilvl="0">
      <w:lvlJc w:val="left"/>
      <w:lvlText w:val="•"/>
      <w:numFmt w:val="bullet"/>
      <w:start w:val="1"/>
    </w:lvl>
  </w:abstractNum>
  <w:abstractNum w:abstractNumId="50">
    <w:nsid w:val="57D2F10E"/>
    <w:multiLevelType w:val="hybridMultilevel"/>
    <w:lvl w:ilvl="0">
      <w:lvlJc w:val="left"/>
      <w:lvlText w:val="•"/>
      <w:numFmt w:val="bullet"/>
      <w:start w:val="1"/>
    </w:lvl>
  </w:abstractNum>
  <w:abstractNum w:abstractNumId="51">
    <w:nsid w:val="BFFAE18"/>
    <w:multiLevelType w:val="hybridMultilevel"/>
    <w:lvl w:ilvl="0">
      <w:lvlJc w:val="left"/>
      <w:lvlText w:val="•"/>
      <w:numFmt w:val="bullet"/>
      <w:start w:val="1"/>
    </w:lvl>
  </w:abstractNum>
  <w:abstractNum w:abstractNumId="52">
    <w:nsid w:val="E3E47A8"/>
    <w:multiLevelType w:val="hybridMultilevel"/>
    <w:lvl w:ilvl="0">
      <w:lvlJc w:val="left"/>
      <w:lvlText w:val="•"/>
      <w:numFmt w:val="bullet"/>
      <w:start w:val="1"/>
    </w:lvl>
  </w:abstractNum>
  <w:abstractNum w:abstractNumId="53">
    <w:nsid w:val="2E48F044"/>
    <w:multiLevelType w:val="hybridMultilevel"/>
    <w:lvl w:ilvl="0">
      <w:lvlJc w:val="left"/>
      <w:lvlText w:val="•"/>
      <w:numFmt w:val="bullet"/>
      <w:start w:val="1"/>
    </w:lvl>
  </w:abstractNum>
  <w:abstractNum w:abstractNumId="54">
    <w:nsid w:val="49D0FEAC"/>
    <w:multiLevelType w:val="hybridMultilevel"/>
    <w:lvl w:ilvl="0">
      <w:lvlJc w:val="left"/>
      <w:lvlText w:val="•"/>
      <w:numFmt w:val="bullet"/>
      <w:start w:val="1"/>
    </w:lvl>
  </w:abstractNum>
  <w:abstractNum w:abstractNumId="55">
    <w:nsid w:val="4BEE5A5B"/>
    <w:multiLevelType w:val="hybridMultilevel"/>
    <w:lvl w:ilvl="0">
      <w:lvlJc w:val="left"/>
      <w:lvlText w:val="•"/>
      <w:numFmt w:val="bullet"/>
      <w:start w:val="1"/>
    </w:lvl>
  </w:abstractNum>
  <w:abstractNum w:abstractNumId="56">
    <w:nsid w:val="5551B9F3"/>
    <w:multiLevelType w:val="hybridMultilevel"/>
    <w:lvl w:ilvl="0">
      <w:lvlJc w:val="left"/>
      <w:lvlText w:val="•"/>
      <w:numFmt w:val="bullet"/>
      <w:start w:val="1"/>
    </w:lvl>
  </w:abstractNum>
  <w:abstractNum w:abstractNumId="57">
    <w:nsid w:val="24F6AB8E"/>
    <w:multiLevelType w:val="hybridMultilevel"/>
    <w:lvl w:ilvl="0">
      <w:lvlJc w:val="left"/>
      <w:lvlText w:val="•"/>
      <w:numFmt w:val="bullet"/>
      <w:start w:val="1"/>
    </w:lvl>
  </w:abstractNum>
  <w:abstractNum w:abstractNumId="58">
    <w:nsid w:val="634C574C"/>
    <w:multiLevelType w:val="hybridMultilevel"/>
    <w:lvl w:ilvl="0">
      <w:lvlJc w:val="left"/>
      <w:lvlText w:val="•"/>
      <w:numFmt w:val="bullet"/>
      <w:start w:val="1"/>
    </w:lvl>
  </w:abstractNum>
  <w:abstractNum w:abstractNumId="59">
    <w:nsid w:val="24E99DD7"/>
    <w:multiLevelType w:val="hybridMultilevel"/>
    <w:lvl w:ilvl="0">
      <w:lvlJc w:val="left"/>
      <w:lvlText w:val="•"/>
      <w:numFmt w:val="bullet"/>
      <w:start w:val="1"/>
    </w:lvl>
  </w:abstractNum>
  <w:abstractNum w:abstractNumId="60">
    <w:nsid w:val="2A31B62D"/>
    <w:multiLevelType w:val="hybridMultilevel"/>
    <w:lvl w:ilvl="0">
      <w:lvlJc w:val="left"/>
      <w:lvlText w:val="•"/>
      <w:numFmt w:val="bullet"/>
      <w:start w:val="1"/>
    </w:lvl>
  </w:abstractNum>
  <w:abstractNum w:abstractNumId="61">
    <w:nsid w:val="1849C29B"/>
    <w:multiLevelType w:val="hybridMultilevel"/>
    <w:lvl w:ilvl="0">
      <w:lvlJc w:val="left"/>
      <w:lvlText w:val="•"/>
      <w:numFmt w:val="bullet"/>
      <w:start w:val="1"/>
    </w:lvl>
  </w:abstractNum>
  <w:abstractNum w:abstractNumId="62">
    <w:nsid w:val="7DFF9D09"/>
    <w:multiLevelType w:val="hybridMultilevel"/>
    <w:lvl w:ilvl="0">
      <w:lvlJc w:val="left"/>
      <w:lvlText w:val="•"/>
      <w:numFmt w:val="bullet"/>
      <w:start w:val="1"/>
    </w:lvl>
  </w:abstractNum>
  <w:abstractNum w:abstractNumId="63">
    <w:nsid w:val="754342"/>
    <w:multiLevelType w:val="hybridMultilevel"/>
    <w:lvl w:ilvl="0">
      <w:lvlJc w:val="left"/>
      <w:lvlText w:val="•"/>
      <w:numFmt w:val="bullet"/>
      <w:start w:val="1"/>
    </w:lvl>
  </w:abstractNum>
  <w:abstractNum w:abstractNumId="64">
    <w:nsid w:val="69E7F3E5"/>
    <w:multiLevelType w:val="hybridMultilevel"/>
    <w:lvl w:ilvl="0">
      <w:lvlJc w:val="left"/>
      <w:lvlText w:val="•"/>
      <w:numFmt w:val="bullet"/>
      <w:start w:val="1"/>
    </w:lvl>
  </w:abstractNum>
  <w:abstractNum w:abstractNumId="65">
    <w:nsid w:val="2A6DE806"/>
    <w:multiLevelType w:val="hybridMultilevel"/>
    <w:lvl w:ilvl="0">
      <w:lvlJc w:val="left"/>
      <w:lvlText w:val="•"/>
      <w:numFmt w:val="bullet"/>
      <w:start w:val="1"/>
    </w:lvl>
  </w:abstractNum>
  <w:abstractNum w:abstractNumId="66">
    <w:nsid w:val="1816F8C4"/>
    <w:multiLevelType w:val="hybridMultilevel"/>
    <w:lvl w:ilvl="0">
      <w:lvlJc w:val="left"/>
      <w:lvlText w:val="•"/>
      <w:numFmt w:val="bullet"/>
      <w:start w:val="1"/>
    </w:lvl>
  </w:abstractNum>
  <w:abstractNum w:abstractNumId="67">
    <w:nsid w:val="37DF2233"/>
    <w:multiLevelType w:val="hybridMultilevel"/>
    <w:lvl w:ilvl="0">
      <w:lvlJc w:val="left"/>
      <w:lvlText w:val="▪"/>
      <w:numFmt w:val="bullet"/>
      <w:start w:val="1"/>
    </w:lvl>
  </w:abstractNum>
  <w:abstractNum w:abstractNumId="68">
    <w:nsid w:val="7AB49DAF"/>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69">
    <w:nsid w:val="759F82CD"/>
    <w:multiLevelType w:val="hybridMultilevel"/>
    <w:lvl w:ilvl="0">
      <w:lvlJc w:val="left"/>
      <w:lvlText w:val="•"/>
      <w:numFmt w:val="bullet"/>
      <w:start w:val="1"/>
    </w:lvl>
    <w:lvl w:ilvl="1">
      <w:lvlJc w:val="left"/>
      <w:lvlText w:val="•"/>
      <w:numFmt w:val="bullet"/>
      <w:start w:val="1"/>
    </w:lvl>
  </w:abstractNum>
  <w:abstractNum w:abstractNumId="70">
    <w:nsid w:val="61E74EA3"/>
    <w:multiLevelType w:val="hybridMultilevel"/>
    <w:lvl w:ilvl="0">
      <w:lvlJc w:val="left"/>
      <w:lvlText w:val="•"/>
      <w:numFmt w:val="bullet"/>
      <w:start w:val="1"/>
    </w:lvl>
  </w:abstractNum>
  <w:abstractNum w:abstractNumId="71">
    <w:nsid w:val="597B4D84"/>
    <w:multiLevelType w:val="hybridMultilevel"/>
    <w:lvl w:ilvl="0">
      <w:lvlJc w:val="left"/>
      <w:lvlText w:val="o"/>
      <w:numFmt w:val="bullet"/>
      <w:start w:val="1"/>
    </w:lvl>
    <w:lvl w:ilvl="1">
      <w:lvlJc w:val="left"/>
      <w:lvlText w:val="•"/>
      <w:numFmt w:val="bullet"/>
      <w:start w:val="1"/>
    </w:lvl>
  </w:abstractNum>
  <w:abstractNum w:abstractNumId="72">
    <w:nsid w:val="F819E7F"/>
    <w:multiLevelType w:val="hybridMultilevel"/>
    <w:lvl w:ilvl="0">
      <w:lvlJc w:val="left"/>
      <w:lvlText w:val="▪"/>
      <w:numFmt w:val="bullet"/>
      <w:start w:val="1"/>
    </w:lvl>
    <w:lvl w:ilvl="1">
      <w:lvlJc w:val="left"/>
      <w:lvlText w:val="o"/>
      <w:numFmt w:val="bullet"/>
      <w:start w:val="1"/>
    </w:lvl>
  </w:abstractNum>
  <w:abstractNum w:abstractNumId="73">
    <w:nsid w:val="57C7D42D"/>
    <w:multiLevelType w:val="hybridMultilevel"/>
    <w:lvl w:ilvl="0">
      <w:lvlJc w:val="left"/>
      <w:lvlText w:val="o"/>
      <w:numFmt w:val="bullet"/>
      <w:start w:val="1"/>
    </w:lvl>
  </w:abstractNum>
  <w:abstractNum w:abstractNumId="74">
    <w:nsid w:val="312167AD"/>
    <w:multiLevelType w:val="hybridMultilevel"/>
    <w:lvl w:ilvl="0">
      <w:lvlJc w:val="left"/>
      <w:lvlText w:val="o"/>
      <w:numFmt w:val="bullet"/>
      <w:start w:val="1"/>
    </w:lvl>
    <w:lvl w:ilvl="1">
      <w:lvlJc w:val="left"/>
      <w:lvlText w:val="▪"/>
      <w:numFmt w:val="bullet"/>
      <w:start w:val="1"/>
    </w:lvl>
  </w:abstractNum>
  <w:abstractNum w:abstractNumId="75">
    <w:nsid w:val="631B64D4"/>
    <w:multiLevelType w:val="hybridMultilevel"/>
    <w:lvl w:ilvl="0">
      <w:lvlJc w:val="left"/>
      <w:lvlText w:val="▪"/>
      <w:numFmt w:val="bullet"/>
      <w:start w:val="1"/>
    </w:lvl>
  </w:abstractNum>
  <w:abstractNum w:abstractNumId="76">
    <w:nsid w:val="78B5E776"/>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77">
    <w:nsid w:val="75486E47"/>
    <w:multiLevelType w:val="hybridMultilevel"/>
    <w:lvl w:ilvl="0">
      <w:lvlJc w:val="left"/>
      <w:lvlText w:val="•"/>
      <w:numFmt w:val="bullet"/>
      <w:start w:val="1"/>
    </w:lvl>
  </w:abstractNum>
  <w:abstractNum w:abstractNumId="78">
    <w:nsid w:val="6E534CDE"/>
    <w:multiLevelType w:val="hybridMultilevel"/>
    <w:lvl w:ilvl="0">
      <w:lvlJc w:val="left"/>
      <w:lvlText w:val="•"/>
      <w:numFmt w:val="bullet"/>
      <w:start w:val="1"/>
    </w:lvl>
  </w:abstractNum>
  <w:abstractNum w:abstractNumId="79">
    <w:nsid w:val="1A0DDE32"/>
    <w:multiLevelType w:val="hybridMultilevel"/>
    <w:lvl w:ilvl="0">
      <w:lvlJc w:val="left"/>
      <w:lvlText w:val="•"/>
      <w:numFmt w:val="bullet"/>
      <w:start w:val="1"/>
    </w:lvl>
  </w:abstractNum>
  <w:abstractNum w:abstractNumId="80">
    <w:nsid w:val="65968C1C"/>
    <w:multiLevelType w:val="hybridMultilevel"/>
    <w:lvl w:ilvl="0">
      <w:lvlJc w:val="left"/>
      <w:lvlText w:val="(%1)"/>
      <w:numFmt w:val="lowerLetter"/>
      <w:start w:val="1"/>
    </w:lvl>
  </w:abstractNum>
  <w:abstractNum w:abstractNumId="81">
    <w:nsid w:val="46263DEC"/>
    <w:multiLevelType w:val="hybridMultilevel"/>
    <w:lvl w:ilvl="0">
      <w:lvlJc w:val="left"/>
      <w:lvlText w:val="•"/>
      <w:numFmt w:val="bullet"/>
      <w:start w:val="1"/>
    </w:lvl>
  </w:abstractNum>
  <w:abstractNum w:abstractNumId="82">
    <w:nsid w:val="260D8C4A"/>
    <w:multiLevelType w:val="hybridMultilevel"/>
    <w:lvl w:ilvl="0">
      <w:lvlJc w:val="left"/>
      <w:lvlText w:val="•"/>
      <w:numFmt w:val="bullet"/>
      <w:start w:val="1"/>
    </w:lvl>
  </w:abstractNum>
  <w:abstractNum w:abstractNumId="83">
    <w:nsid w:val="73D4D3C4"/>
    <w:multiLevelType w:val="hybridMultilevel"/>
    <w:lvl w:ilvl="0">
      <w:lvlJc w:val="left"/>
      <w:lvlText w:val="•"/>
      <w:numFmt w:val="bullet"/>
      <w:start w:val="1"/>
    </w:lvl>
  </w:abstractNum>
  <w:abstractNum w:abstractNumId="84">
    <w:nsid w:val="746F2E30"/>
    <w:multiLevelType w:val="hybridMultilevel"/>
    <w:lvl w:ilvl="0">
      <w:lvlJc w:val="left"/>
      <w:lvlText w:val="(%1)"/>
      <w:numFmt w:val="decimal"/>
      <w:start w:val="1"/>
    </w:lvl>
  </w:abstractNum>
  <w:abstractNum w:abstractNumId="85">
    <w:nsid w:val="6FDE8AF6"/>
    <w:multiLevelType w:val="hybridMultilevel"/>
    <w:lvl w:ilvl="0">
      <w:lvlJc w:val="left"/>
      <w:lvlText w:val="•"/>
      <w:numFmt w:val="bullet"/>
      <w:start w:val="1"/>
    </w:lvl>
  </w:abstractNum>
  <w:abstractNum w:abstractNumId="86">
    <w:nsid w:val="3FC32E20"/>
    <w:multiLevelType w:val="hybridMultilevel"/>
    <w:lvl w:ilvl="0">
      <w:lvlJc w:val="left"/>
      <w:lvlText w:val="(%1)"/>
      <w:numFmt w:val="decimal"/>
      <w:start w:val="3"/>
    </w:lvl>
  </w:abstractNum>
  <w:abstractNum w:abstractNumId="87">
    <w:nsid w:val="49C0E823"/>
    <w:multiLevelType w:val="hybridMultilevel"/>
    <w:lvl w:ilvl="0">
      <w:lvlJc w:val="left"/>
      <w:lvlText w:val="•"/>
      <w:numFmt w:val="bullet"/>
      <w:start w:val="1"/>
    </w:lvl>
  </w:abstractNum>
  <w:abstractNum w:abstractNumId="88">
    <w:nsid w:val="14D53685"/>
    <w:multiLevelType w:val="hybridMultilevel"/>
    <w:lvl w:ilvl="0">
      <w:lvlJc w:val="left"/>
      <w:lvlText w:val="%1"/>
      <w:numFmt w:val="decimal"/>
      <w:start w:val="104"/>
    </w:lvl>
  </w:abstractNum>
  <w:abstractNum w:abstractNumId="89">
    <w:nsid w:val="230F856C"/>
    <w:multiLevelType w:val="hybridMultilevel"/>
    <w:lvl w:ilvl="0">
      <w:lvlJc w:val="left"/>
      <w:lvlText w:val="+"/>
      <w:numFmt w:val="bullet"/>
      <w:start w:val="1"/>
    </w:lvl>
  </w:abstractNum>
  <w:abstractNum w:abstractNumId="90">
    <w:nsid w:val="6EAA85FB"/>
    <w:multiLevelType w:val="hybridMultilevel"/>
    <w:lvl w:ilvl="0">
      <w:lvlJc w:val="left"/>
      <w:lvlText w:val="**"/>
      <w:numFmt w:val="bullet"/>
      <w:start w:val="1"/>
    </w:lvl>
  </w:abstractNum>
  <w:abstractNum w:abstractNumId="91">
    <w:nsid w:val="3F06ECB2"/>
    <w:multiLevelType w:val="hybridMultilevel"/>
    <w:lvl w:ilvl="0">
      <w:lvlJc w:val="left"/>
      <w:lvlText w:val="%1."/>
      <w:numFmt w:val="decimal"/>
      <w:start w:val="2"/>
    </w:lvl>
  </w:abstractNum>
  <w:abstractNum w:abstractNumId="92">
    <w:nsid w:val="3B594807"/>
    <w:multiLevelType w:val="hybridMultilevel"/>
    <w:lvl w:ilvl="0">
      <w:lvlJc w:val="left"/>
      <w:lvlText w:val="•"/>
      <w:numFmt w:val="bullet"/>
      <w:start w:val="1"/>
    </w:lvl>
  </w:abstractNum>
  <w:abstractNum w:abstractNumId="93">
    <w:nsid w:val="6CAA2304"/>
    <w:multiLevelType w:val="hybridMultilevel"/>
    <w:lvl w:ilvl="0">
      <w:lvlJc w:val="left"/>
      <w:lvlText w:val="•"/>
      <w:numFmt w:val="bullet"/>
      <w:start w:val="1"/>
    </w:lvl>
  </w:abstractNum>
  <w:abstractNum w:abstractNumId="94">
    <w:nsid w:val="3F7C2FF4"/>
    <w:multiLevelType w:val="hybridMultilevel"/>
    <w:lvl w:ilvl="0">
      <w:lvlJc w:val="left"/>
      <w:lvlText w:val="%1."/>
      <w:numFmt w:val="decimal"/>
      <w:start w:val="9"/>
    </w:lvl>
  </w:abstractNum>
  <w:abstractNum w:abstractNumId="95">
    <w:nsid w:val="25413BEC"/>
    <w:multiLevelType w:val="hybridMultilevel"/>
    <w:lvl w:ilvl="0">
      <w:lvlJc w:val="left"/>
      <w:lvlText w:val="•"/>
      <w:numFmt w:val="bullet"/>
      <w:start w:val="1"/>
    </w:lvl>
  </w:abstractNum>
  <w:abstractNum w:abstractNumId="96">
    <w:nsid w:val="17180B0B"/>
    <w:multiLevelType w:val="hybridMultilevel"/>
    <w:lvl w:ilvl="0">
      <w:lvlJc w:val="left"/>
      <w:lvlText w:val="%1."/>
      <w:numFmt w:val="decimal"/>
      <w:start w:val="11"/>
    </w:lvl>
  </w:abstractNum>
  <w:abstractNum w:abstractNumId="97">
    <w:nsid w:val="579328B9"/>
    <w:multiLevelType w:val="hybridMultilevel"/>
    <w:lvl w:ilvl="0">
      <w:lvlJc w:val="left"/>
      <w:lvlText w:val="%1."/>
      <w:numFmt w:val="decimal"/>
      <w:start w:val="15"/>
    </w:lvl>
  </w:abstractNum>
  <w:abstractNum w:abstractNumId="98">
    <w:nsid w:val="5D205E20"/>
    <w:multiLevelType w:val="hybridMultilevel"/>
    <w:lvl w:ilvl="0">
      <w:lvlJc w:val="left"/>
      <w:lvlText w:val="%1."/>
      <w:numFmt w:val="decimal"/>
      <w:start w:val="16"/>
    </w:lvl>
  </w:abstractNum>
  <w:abstractNum w:abstractNumId="99">
    <w:nsid w:val="11CCA8BA"/>
    <w:multiLevelType w:val="hybridMultilevel"/>
    <w:lvl w:ilvl="0">
      <w:lvlJc w:val="left"/>
      <w:lvlText w:val="%1."/>
      <w:numFmt w:val="decimal"/>
      <w:start w:val="18"/>
    </w:lvl>
  </w:abstractNum>
  <w:abstractNum w:abstractNumId="100">
    <w:nsid w:val="4D32AB86"/>
    <w:multiLevelType w:val="hybridMultilevel"/>
    <w:lvl w:ilvl="0">
      <w:lvlJc w:val="left"/>
      <w:lvlText w:val="(%1)"/>
      <w:numFmt w:val="lowerLetter"/>
      <w:start w:val="1"/>
    </w:lvl>
  </w:abstractNum>
  <w:abstractNum w:abstractNumId="101">
    <w:nsid w:val="3F07ACC3"/>
    <w:multiLevelType w:val="hybridMultilevel"/>
    <w:lvl w:ilvl="0">
      <w:lvlJc w:val="left"/>
      <w:lvlText w:val="(%1)"/>
      <w:numFmt w:val="lowerRoman"/>
      <w:start w:val="1"/>
    </w:lvl>
  </w:abstractNum>
  <w:abstractNum w:abstractNumId="102">
    <w:nsid w:val="6B47F63E"/>
    <w:multiLevelType w:val="hybridMultilevel"/>
    <w:lvl w:ilvl="0">
      <w:lvlJc w:val="left"/>
      <w:lvlText w:val="(%1)"/>
      <w:numFmt w:val="lowerLetter"/>
      <w:start w:val="3"/>
    </w:lvl>
  </w:abstractNum>
  <w:abstractNum w:abstractNumId="103">
    <w:nsid w:val="5CB44A05"/>
    <w:multiLevelType w:val="hybridMultilevel"/>
    <w:lvl w:ilvl="0">
      <w:lvlJc w:val="left"/>
      <w:lvlText w:val="(%1)"/>
      <w:numFmt w:val="lowerLetter"/>
      <w:start w:val="6"/>
    </w:lvl>
  </w:abstractNum>
  <w:abstractNum w:abstractNumId="104">
    <w:nsid w:val="16CF80F1"/>
    <w:multiLevelType w:val="hybridMultilevel"/>
    <w:lvl w:ilvl="0">
      <w:lvlJc w:val="left"/>
      <w:lvlText w:val="(%1)"/>
      <w:numFmt w:val="lowerLetter"/>
      <w:start w:val="1"/>
    </w:lvl>
  </w:abstractNum>
  <w:abstractNum w:abstractNumId="105">
    <w:nsid w:val="1C695DEC"/>
    <w:multiLevelType w:val="hybridMultilevel"/>
    <w:lvl w:ilvl="0">
      <w:lvlJc w:val="left"/>
      <w:lvlText w:val="(%1)"/>
      <w:numFmt w:val="lowerLetter"/>
      <w:start w:val="3"/>
    </w:lvl>
  </w:abstractNum>
  <w:abstractNum w:abstractNumId="106">
    <w:nsid w:val="3FCFAED9"/>
    <w:multiLevelType w:val="hybridMultilevel"/>
    <w:lvl w:ilvl="0">
      <w:lvlJc w:val="left"/>
      <w:lvlText w:val="(%1)"/>
      <w:numFmt w:val="lowerLetter"/>
      <w:start w:val="1"/>
    </w:lvl>
  </w:abstractNum>
  <w:abstractNum w:abstractNumId="107">
    <w:nsid w:val="F856867"/>
    <w:multiLevelType w:val="hybridMultilevel"/>
    <w:lvl w:ilvl="0">
      <w:lvlJc w:val="left"/>
      <w:lvlText w:val="(%1)"/>
      <w:numFmt w:val="lowerLetter"/>
      <w:start w:val="1"/>
    </w:lvl>
  </w:abstractNum>
  <w:abstractNum w:abstractNumId="108">
    <w:nsid w:val="11B1CC33"/>
    <w:multiLevelType w:val="hybridMultilevel"/>
    <w:lvl w:ilvl="0">
      <w:lvlJc w:val="left"/>
      <w:lvlText w:val="(%1)"/>
      <w:numFmt w:val="lowerLetter"/>
      <w:start w:val="1"/>
    </w:lvl>
  </w:abstractNum>
  <w:abstractNum w:abstractNumId="109">
    <w:nsid w:val="2E22FBB7"/>
    <w:multiLevelType w:val="hybridMultilevel"/>
    <w:lvl w:ilvl="0">
      <w:lvlJc w:val="left"/>
      <w:lvlText w:val="(%1)"/>
      <w:numFmt w:val="lowerLetter"/>
      <w:start w:val="35"/>
    </w:lvl>
  </w:abstractNum>
  <w:abstractNum w:abstractNumId="110">
    <w:nsid w:val="29934699"/>
    <w:multiLevelType w:val="hybridMultilevel"/>
    <w:lvl w:ilvl="0">
      <w:lvlJc w:val="left"/>
      <w:lvlText w:val="(%1)"/>
      <w:numFmt w:val="lowerLetter"/>
      <w:start w:val="3"/>
    </w:lvl>
  </w:abstractNum>
  <w:abstractNum w:abstractNumId="111">
    <w:nsid w:val="77485850"/>
    <w:multiLevelType w:val="hybridMultilevel"/>
    <w:lvl w:ilvl="0">
      <w:lvlJc w:val="left"/>
      <w:lvlText w:val="(%1)"/>
      <w:numFmt w:val="lowerLetter"/>
      <w:start w:val="1"/>
    </w:lvl>
  </w:abstractNum>
  <w:abstractNum w:abstractNumId="112">
    <w:nsid w:val="744939A3"/>
    <w:multiLevelType w:val="hybridMultilevel"/>
    <w:lvl w:ilvl="0">
      <w:lvlJc w:val="left"/>
      <w:lvlText w:val="(%1)"/>
      <w:numFmt w:val="lowerLetter"/>
      <w:start w:val="2"/>
    </w:lvl>
  </w:abstractNum>
  <w:abstractNum w:abstractNumId="113">
    <w:nsid w:val="4FA0D2E3"/>
    <w:multiLevelType w:val="hybridMultilevel"/>
    <w:lvl w:ilvl="0">
      <w:lvlJc w:val="left"/>
      <w:lvlText w:val="(%1)"/>
      <w:numFmt w:val="lowerLetter"/>
      <w:start w:val="1"/>
    </w:lvl>
  </w:abstractNum>
  <w:abstractNum w:abstractNumId="114">
    <w:nsid w:val="6B1D2C14"/>
    <w:multiLevelType w:val="hybridMultilevel"/>
    <w:lvl w:ilvl="0">
      <w:lvlJc w:val="left"/>
      <w:lvlText w:val="(%1)"/>
      <w:numFmt w:val="lowerLetter"/>
      <w:start w:val="2"/>
    </w:lvl>
  </w:abstractNum>
  <w:abstractNum w:abstractNumId="115">
    <w:nsid w:val="68B867D3"/>
    <w:multiLevelType w:val="hybridMultilevel"/>
    <w:lvl w:ilvl="0">
      <w:lvlJc w:val="left"/>
      <w:lvlText w:val="(%1)"/>
      <w:numFmt w:val="lowerLetter"/>
      <w:start w:val="1"/>
    </w:lvl>
  </w:abstractNum>
  <w:abstractNum w:abstractNumId="116">
    <w:nsid w:val="3F7F5DD9"/>
    <w:multiLevelType w:val="hybridMultilevel"/>
    <w:lvl w:ilvl="0">
      <w:lvlJc w:val="left"/>
      <w:lvlText w:val="(%1)"/>
      <w:numFmt w:val="lowerLetter"/>
      <w:start w:val="1"/>
    </w:lvl>
  </w:abstractNum>
  <w:abstractNum w:abstractNumId="117">
    <w:nsid w:val="2AE05A34"/>
    <w:multiLevelType w:val="hybridMultilevel"/>
    <w:lvl w:ilvl="0">
      <w:lvlJc w:val="left"/>
      <w:lvlText w:val="(%1)"/>
      <w:numFmt w:val="lowerLetter"/>
      <w:start w:val="1"/>
    </w:lvl>
    <w:lvl w:ilvl="1">
      <w:lvlJc w:val="left"/>
      <w:lvlText w:val="(%2)"/>
      <w:numFmt w:val="lowerLetter"/>
      <w:start w:val="9"/>
    </w:lvl>
  </w:abstractNum>
  <w:abstractNum w:abstractNumId="118">
    <w:nsid w:val="32794FF7"/>
    <w:multiLevelType w:val="hybridMultilevel"/>
    <w:lvl w:ilvl="0">
      <w:lvlJc w:val="left"/>
      <w:lvlText w:val="(%1)"/>
      <w:numFmt w:val="lowerLetter"/>
      <w:start w:val="1"/>
    </w:lvl>
  </w:abstractNum>
  <w:abstractNum w:abstractNumId="119">
    <w:nsid w:val="5454945E"/>
    <w:multiLevelType w:val="hybridMultilevel"/>
    <w:lvl w:ilvl="0">
      <w:lvlJc w:val="left"/>
      <w:lvlText w:val="(%1)"/>
      <w:numFmt w:val="lowerLetter"/>
      <w:start w:val="3"/>
    </w:lvl>
  </w:abstractNum>
  <w:abstractNum w:abstractNumId="120">
    <w:nsid w:val="4DEFDFA0"/>
    <w:multiLevelType w:val="hybridMultilevel"/>
    <w:lvl w:ilvl="0">
      <w:lvlJc w:val="left"/>
      <w:lvlText w:val="%1."/>
      <w:numFmt w:val="decimal"/>
      <w:start w:val="1"/>
    </w:lvl>
  </w:abstractNum>
  <w:abstractNum w:abstractNumId="121">
    <w:nsid w:val="2123D5F2"/>
    <w:multiLevelType w:val="hybridMultilevel"/>
    <w:lvl w:ilvl="0">
      <w:lvlJc w:val="left"/>
      <w:lvlText w:val="%1."/>
      <w:numFmt w:val="decimal"/>
      <w:start w:val="2"/>
    </w:lvl>
  </w:abstractNum>
  <w:abstractNum w:abstractNumId="122">
    <w:nsid w:val="135B8110"/>
    <w:multiLevelType w:val="hybridMultilevel"/>
    <w:lvl w:ilvl="0">
      <w:lvlJc w:val="left"/>
      <w:lvlText w:val="(%1)"/>
      <w:numFmt w:val="lowerRoman"/>
      <w:start w:val="1"/>
    </w:lvl>
  </w:abstractNum>
  <w:abstractNum w:abstractNumId="123">
    <w:nsid w:val="94927A8"/>
    <w:multiLevelType w:val="hybridMultilevel"/>
    <w:lvl w:ilvl="0">
      <w:lvlJc w:val="left"/>
      <w:lvlText w:val="%1."/>
      <w:numFmt w:val="decimal"/>
      <w:start w:val="3"/>
    </w:lvl>
  </w:abstractNum>
  <w:abstractNum w:abstractNumId="124">
    <w:nsid w:val="DCDF8F6"/>
    <w:multiLevelType w:val="hybridMultilevel"/>
    <w:lvl w:ilvl="0">
      <w:lvlJc w:val="left"/>
      <w:lvlText w:val="%1."/>
      <w:numFmt w:val="decimal"/>
      <w:start w:val="4"/>
    </w:lvl>
  </w:abstractNum>
  <w:abstractNum w:abstractNumId="125">
    <w:nsid w:val="52D7B105"/>
    <w:multiLevelType w:val="hybridMultilevel"/>
    <w:lvl w:ilvl="0">
      <w:lvlJc w:val="left"/>
      <w:lvlText w:val="%1."/>
      <w:numFmt w:val="decimal"/>
      <w:start w:val="10"/>
    </w:lvl>
  </w:abstractNum>
  <w:abstractNum w:abstractNumId="126">
    <w:nsid w:val="2E8A6394"/>
    <w:multiLevelType w:val="hybridMultilevel"/>
    <w:lvl w:ilvl="0">
      <w:lvlJc w:val="left"/>
      <w:lvlText w:val="%1."/>
      <w:numFmt w:val="decimal"/>
      <w:start w:val="1"/>
    </w:lvl>
  </w:abstractNum>
  <w:abstractNum w:abstractNumId="127">
    <w:nsid w:val="24E60401"/>
    <w:multiLevelType w:val="hybridMultilevel"/>
    <w:lvl w:ilvl="0">
      <w:lvlJc w:val="left"/>
      <w:lvlText w:val="%1."/>
      <w:numFmt w:val="decimal"/>
      <w:start w:val="3"/>
    </w:lvl>
  </w:abstractNum>
  <w:abstractNum w:abstractNumId="128">
    <w:nsid w:val="2A6AD9BE"/>
    <w:multiLevelType w:val="hybridMultilevel"/>
    <w:lvl w:ilvl="0">
      <w:lvlJc w:val="left"/>
      <w:lvlText w:val="%1."/>
      <w:numFmt w:val="decimal"/>
      <w:start w:val="4"/>
    </w:lvl>
  </w:abstractNum>
  <w:abstractNum w:abstractNumId="129">
    <w:nsid w:val="BAAC1B4"/>
    <w:multiLevelType w:val="hybridMultilevel"/>
    <w:lvl w:ilvl="0">
      <w:lvlJc w:val="left"/>
      <w:lvlText w:val="%1."/>
      <w:numFmt w:val="decimal"/>
      <w:start w:val="11"/>
    </w:lvl>
  </w:abstractNum>
  <w:abstractNum w:abstractNumId="130">
    <w:nsid w:val="36B2ACBC"/>
    <w:multiLevelType w:val="hybridMultilevel"/>
    <w:lvl w:ilvl="0">
      <w:lvlJc w:val="left"/>
      <w:lvlText w:val="(%1)"/>
      <w:numFmt w:val="lowerLetter"/>
      <w:start w:val="1"/>
    </w:lvl>
  </w:abstractNum>
  <w:abstractNum w:abstractNumId="131">
    <w:nsid w:val="779D8544"/>
    <w:multiLevelType w:val="hybridMultilevel"/>
    <w:lvl w:ilvl="0">
      <w:lvlJc w:val="left"/>
      <w:lvlText w:val="%1"/>
      <w:numFmt w:val="lowerLetter"/>
      <w:start w:val="1"/>
    </w:lvl>
    <w:lvl w:ilvl="1">
      <w:lvlJc w:val="left"/>
      <w:lvlText w:val="(%2)"/>
      <w:numFmt w:val="lowerLetter"/>
      <w:start w:val="5"/>
    </w:lvl>
  </w:abstractNum>
  <w:abstractNum w:abstractNumId="132">
    <w:nsid w:val="4AB26E78"/>
    <w:multiLevelType w:val="hybridMultilevel"/>
    <w:lvl w:ilvl="0">
      <w:lvlJc w:val="left"/>
      <w:lvlText w:val="(%1)"/>
      <w:numFmt w:val="lowerLetter"/>
      <w:start w:val="35"/>
    </w:lvl>
    <w:lvl w:ilvl="1">
      <w:lvlJc w:val="left"/>
      <w:lvlText w:val="%2"/>
      <w:numFmt w:val="lowerLetter"/>
      <w:start w:val="1"/>
    </w:lvl>
  </w:abstractNum>
  <w:abstractNum w:abstractNumId="133">
    <w:nsid w:val="21FAA2FA"/>
    <w:multiLevelType w:val="hybridMultilevel"/>
    <w:lvl w:ilvl="0">
      <w:lvlJc w:val="left"/>
      <w:lvlText w:val="(%1)"/>
      <w:numFmt w:val="lowerLetter"/>
      <w:start w:val="1"/>
    </w:lvl>
  </w:abstractNum>
  <w:abstractNum w:abstractNumId="134">
    <w:nsid w:val="5451CF49"/>
    <w:multiLevelType w:val="hybridMultilevel"/>
    <w:lvl w:ilvl="0">
      <w:lvlJc w:val="left"/>
      <w:lvlText w:val="(%1)"/>
      <w:numFmt w:val="lowerLetter"/>
      <w:start w:val="8"/>
    </w:lvl>
  </w:abstractNum>
  <w:abstractNum w:abstractNumId="135">
    <w:nsid w:val="6181EF69"/>
    <w:multiLevelType w:val="hybridMultilevel"/>
    <w:lvl w:ilvl="0">
      <w:lvlJc w:val="left"/>
      <w:lvlText w:val="(%1)"/>
      <w:numFmt w:val="lowerLetter"/>
      <w:start w:val="1"/>
    </w:lvl>
  </w:abstractNum>
  <w:abstractNum w:abstractNumId="136">
    <w:nsid w:val="3E6400E6"/>
    <w:multiLevelType w:val="hybridMultilevel"/>
    <w:lvl w:ilvl="0">
      <w:lvlJc w:val="left"/>
      <w:lvlText w:val="[***]"/>
      <w:numFmt w:val="bullet"/>
      <w:start w:val="1"/>
    </w:lvl>
    <w:lvl w:ilvl="1">
      <w:lvlJc w:val="left"/>
      <w:lvlText w:val="(%2)"/>
      <w:numFmt w:val="lowerLetter"/>
      <w:start w:val="9"/>
    </w:lvl>
  </w:abstractNum>
  <w:abstractNum w:abstractNumId="137">
    <w:nsid w:val="14217E23"/>
    <w:multiLevelType w:val="hybridMultilevel"/>
    <w:lvl w:ilvl="0">
      <w:lvlJc w:val="left"/>
      <w:lvlText w:val="(%1)"/>
      <w:numFmt w:val="lowerLetter"/>
      <w:start w:val="1"/>
    </w:lvl>
  </w:abstractNum>
  <w:abstractNum w:abstractNumId="138">
    <w:nsid w:val="710757D0"/>
    <w:multiLevelType w:val="hybridMultilevel"/>
    <w:lvl w:ilvl="0">
      <w:lvlJc w:val="left"/>
      <w:lvlText w:val="*"/>
      <w:numFmt w:val="bullet"/>
      <w:start w:val="1"/>
    </w:lvl>
  </w:abstractNum>
  <w:abstractNum w:abstractNumId="139">
    <w:nsid w:val="5015CD1A"/>
    <w:multiLevelType w:val="hybridMultilevel"/>
    <w:lvl w:ilvl="0">
      <w:lvlJc w:val="left"/>
      <w:lvlText w:val="(%1)"/>
      <w:numFmt w:val="lowerLetter"/>
      <w:start w:val="1"/>
    </w:lvl>
  </w:abstractNum>
  <w:abstractNum w:abstractNumId="140">
    <w:nsid w:val="424479DA"/>
    <w:multiLevelType w:val="hybridMultilevel"/>
    <w:lvl w:ilvl="0">
      <w:lvlJc w:val="left"/>
      <w:lvlText w:val="(%1)"/>
      <w:numFmt w:val="lowerLetter"/>
      <w:start w:val="3"/>
    </w:lvl>
  </w:abstractNum>
  <w:abstractNum w:abstractNumId="141">
    <w:nsid w:val="1A9A9E69"/>
    <w:multiLevelType w:val="hybridMultilevel"/>
    <w:lvl w:ilvl="0">
      <w:lvlJc w:val="left"/>
      <w:lvlText w:val="(%1)"/>
      <w:numFmt w:val="lowerLetter"/>
      <w:start w:val="13"/>
    </w:lvl>
  </w:abstractNum>
  <w:abstractNum w:abstractNumId="142">
    <w:nsid w:val="475E256A"/>
    <w:multiLevelType w:val="hybridMultilevel"/>
    <w:lvl w:ilvl="0">
      <w:lvlJc w:val="left"/>
      <w:lvlText w:val="(%1)"/>
      <w:numFmt w:val="lowerLetter"/>
      <w:start w:val="1"/>
    </w:lvl>
  </w:abstractNum>
  <w:abstractNum w:abstractNumId="143">
    <w:nsid w:val="368DB37E"/>
    <w:multiLevelType w:val="hybridMultilevel"/>
    <w:lvl w:ilvl="0">
      <w:lvlJc w:val="left"/>
      <w:lvlText w:val="(%1)"/>
      <w:numFmt w:val="lowerLetter"/>
      <w:start w:val="1"/>
    </w:lvl>
  </w:abstractNum>
  <w:abstractNum w:abstractNumId="144">
    <w:nsid w:val="6A3B714C"/>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145">
    <w:nsid w:val="327B517E"/>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lvl w:ilvl="3">
      <w:lvlJc w:val="left"/>
      <w:lvlText w:val="(%4)"/>
      <w:numFmt w:val="lowerLetter"/>
      <w:start w:val="61"/>
    </w:lvl>
  </w:abstractNum>
  <w:abstractNum w:abstractNumId="146">
    <w:nsid w:val="1F461B51"/>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4"/>
    </w:lvl>
  </w:abstractNum>
  <w:abstractNum w:abstractNumId="147">
    <w:nsid w:val="29BACF25"/>
    <w:multiLevelType w:val="hybridMultilevel"/>
    <w:lvl w:ilvl="0">
      <w:lvlJc w:val="left"/>
      <w:lvlText w:val="%1"/>
      <w:numFmt w:val="upperLetter"/>
      <w:start w:val="1"/>
    </w:lvl>
    <w:lvl w:ilvl="1">
      <w:lvlJc w:val="left"/>
      <w:lvlText w:val="(%2)"/>
      <w:numFmt w:val="lowerRoman"/>
      <w:start w:val="7"/>
    </w:lvl>
    <w:lvl w:ilvl="2">
      <w:lvlJc w:val="left"/>
      <w:lvlText w:val="%3"/>
      <w:numFmt w:val="lowerRoman"/>
      <w:start w:val="1"/>
    </w:lvl>
  </w:abstractNum>
  <w:abstractNum w:abstractNumId="148">
    <w:nsid w:val="5D5BABB3"/>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149">
    <w:nsid w:val="51BF6B48"/>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abstractNum>
  <w:abstractNum w:abstractNumId="150">
    <w:nsid w:val="7E0F6384"/>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151">
    <w:nsid w:val="2B4B8B53"/>
    <w:multiLevelType w:val="hybridMultilevel"/>
    <w:lvl w:ilvl="0">
      <w:lvlJc w:val="left"/>
      <w:lvlText w:val="%1"/>
      <w:numFmt w:val="lowerRoman"/>
      <w:start w:val="1"/>
    </w:lvl>
    <w:lvl w:ilvl="1">
      <w:lvlJc w:val="left"/>
      <w:lvlText w:val="(%2)"/>
      <w:numFmt w:val="lowerRoman"/>
      <w:start w:val="4"/>
    </w:lvl>
  </w:abstractNum>
  <w:abstractNum w:abstractNumId="152">
    <w:nsid w:val="72E3413A"/>
    <w:multiLevelType w:val="hybridMultilevel"/>
    <w:lvl w:ilvl="0">
      <w:lvlJc w:val="left"/>
      <w:lvlText w:val="(%1)"/>
      <w:numFmt w:val="lowerRoman"/>
      <w:start w:val="1"/>
    </w:lvl>
    <w:lvl w:ilvl="1">
      <w:lvlJc w:val="left"/>
      <w:lvlText w:val="%2"/>
      <w:numFmt w:val="lowerRoman"/>
      <w:start w:val="1"/>
    </w:lvl>
  </w:abstractNum>
  <w:abstractNum w:abstractNumId="153">
    <w:nsid w:val="116AE494"/>
    <w:multiLevelType w:val="hybridMultilevel"/>
    <w:lvl w:ilvl="0">
      <w:lvlJc w:val="left"/>
      <w:lvlText w:val="(%1)"/>
      <w:numFmt w:val="lowerLetter"/>
      <w:start w:val="10"/>
    </w:lvl>
    <w:lvl w:ilvl="1">
      <w:lvlJc w:val="left"/>
      <w:lvlText w:val="(%2)"/>
      <w:numFmt w:val="lowerRoman"/>
      <w:start w:val="1"/>
    </w:lvl>
  </w:abstractNum>
  <w:abstractNum w:abstractNumId="154">
    <w:nsid w:val="3494B2FB"/>
    <w:multiLevelType w:val="hybridMultilevel"/>
    <w:lvl w:ilvl="0">
      <w:lvlJc w:val="left"/>
      <w:lvlText w:val="%1"/>
      <w:numFmt w:val="lowerLetter"/>
      <w:start w:val="1"/>
    </w:lvl>
    <w:lvl w:ilvl="1">
      <w:lvlJc w:val="left"/>
      <w:lvlText w:val="(%2)"/>
      <w:numFmt w:val="lowerRoman"/>
      <w:start w:val="6"/>
    </w:lvl>
  </w:abstractNum>
  <w:abstractNum w:abstractNumId="155">
    <w:nsid w:val="B13A31"/>
    <w:multiLevelType w:val="hybridMultilevel"/>
    <w:lvl w:ilvl="0">
      <w:lvlJc w:val="left"/>
      <w:lvlText w:val="(%1)"/>
      <w:numFmt w:val="lowerLetter"/>
      <w:start w:val="12"/>
    </w:lvl>
    <w:lvl w:ilvl="1">
      <w:lvlJc w:val="left"/>
      <w:lvlText w:val="%2"/>
      <w:numFmt w:val="lowerRoman"/>
      <w:start w:val="1"/>
    </w:lvl>
  </w:abstractNum>
  <w:abstractNum w:abstractNumId="156">
    <w:nsid w:val="64429599"/>
    <w:multiLevelType w:val="hybridMultilevel"/>
    <w:lvl w:ilvl="0">
      <w:lvlJc w:val="left"/>
      <w:lvlText w:val="(%1)"/>
      <w:numFmt w:val="lowerLetter"/>
      <w:start w:val="15"/>
    </w:lvl>
  </w:abstractNum>
  <w:abstractNum w:abstractNumId="157">
    <w:nsid w:val="631F1690"/>
    <w:multiLevelType w:val="hybridMultilevel"/>
    <w:lvl w:ilvl="0">
      <w:lvlJc w:val="left"/>
      <w:lvlText w:val="%1"/>
      <w:numFmt w:val="lowerLetter"/>
      <w:start w:val="1"/>
    </w:lvl>
    <w:lvl w:ilvl="1">
      <w:lvlJc w:val="left"/>
      <w:lvlText w:val="(%2)"/>
      <w:numFmt w:val="lowerLetter"/>
      <w:start w:val="1"/>
    </w:lvl>
  </w:abstractNum>
  <w:abstractNum w:abstractNumId="158">
    <w:nsid w:val="25973E32"/>
    <w:multiLevelType w:val="hybridMultilevel"/>
    <w:lvl w:ilvl="0">
      <w:lvlJc w:val="left"/>
      <w:lvlText w:val="(%1)"/>
      <w:numFmt w:val="lowerLetter"/>
      <w:start w:val="9"/>
    </w:lvl>
    <w:lvl w:ilvl="1">
      <w:lvlJc w:val="left"/>
      <w:lvlText w:val="(%2)"/>
      <w:numFmt w:val="lowerLetter"/>
      <w:start w:val="5"/>
    </w:lvl>
  </w:abstractNum>
  <w:abstractNum w:abstractNumId="159">
    <w:nsid w:val="EAD6F57"/>
    <w:multiLevelType w:val="hybridMultilevel"/>
    <w:lvl w:ilvl="0">
      <w:lvlJc w:val="left"/>
      <w:lvlText w:val="(%1)"/>
      <w:numFmt w:val="lowerLetter"/>
      <w:start w:val="35"/>
    </w:lvl>
    <w:lvl w:ilvl="1">
      <w:lvlJc w:val="left"/>
      <w:lvlText w:val="%2"/>
      <w:numFmt w:val="lowerLetter"/>
      <w:start w:val="1"/>
    </w:lvl>
  </w:abstractNum>
  <w:abstractNum w:abstractNumId="160">
    <w:nsid w:val="6EC9D844"/>
    <w:multiLevelType w:val="hybridMultilevel"/>
    <w:lvl w:ilvl="0">
      <w:lvlJc w:val="left"/>
      <w:lvlText w:val="(%1)"/>
      <w:numFmt w:val="lowerLetter"/>
      <w:start w:val="6"/>
    </w:lvl>
  </w:abstractNum>
  <w:abstractNum w:abstractNumId="161">
    <w:nsid w:val="5C49EAEE"/>
    <w:multiLevelType w:val="hybridMultilevel"/>
    <w:lvl w:ilvl="0">
      <w:lvlJc w:val="left"/>
      <w:lvlText w:val="(%1)"/>
      <w:numFmt w:val="lowerLetter"/>
      <w:start w:val="1"/>
    </w:lvl>
  </w:abstractNum>
  <w:abstractNum w:abstractNumId="162">
    <w:nsid w:val="64AF49B"/>
    <w:multiLevelType w:val="hybridMultilevel"/>
    <w:lvl w:ilvl="0">
      <w:lvlJc w:val="left"/>
      <w:lvlText w:val="(%1)"/>
      <w:numFmt w:val="lowerLetter"/>
      <w:start w:val="1"/>
    </w:lvl>
  </w:abstractNum>
  <w:abstractNum w:abstractNumId="163">
    <w:nsid w:val="397C46BC"/>
    <w:multiLevelType w:val="hybridMultilevel"/>
    <w:lvl w:ilvl="0">
      <w:lvlJc w:val="left"/>
      <w:lvlText w:val="(%1)"/>
      <w:numFmt w:val="lowerLetter"/>
      <w:start w:val="7"/>
    </w:lvl>
  </w:abstractNum>
  <w:abstractNum w:abstractNumId="164">
    <w:nsid w:val="7E448DE9"/>
    <w:multiLevelType w:val="hybridMultilevel"/>
    <w:lvl w:ilvl="0">
      <w:lvlJc w:val="left"/>
      <w:lvlText w:val="(%1)"/>
      <w:numFmt w:val="lowerLetter"/>
      <w:start w:val="1"/>
    </w:lvl>
  </w:abstractNum>
  <w:abstractNum w:abstractNumId="165">
    <w:nsid w:val="5A9CC3E5"/>
    <w:multiLevelType w:val="hybridMultilevel"/>
    <w:lvl w:ilvl="0">
      <w:lvlJc w:val="left"/>
      <w:lvlText w:val="(%1)"/>
      <w:numFmt w:val="lowerLetter"/>
      <w:start w:val="3"/>
    </w:lvl>
  </w:abstractNum>
  <w:abstractNum w:abstractNumId="166">
    <w:nsid w:val="1AFE3625"/>
    <w:multiLevelType w:val="hybridMultilevel"/>
    <w:lvl w:ilvl="0">
      <w:lvlJc w:val="left"/>
      <w:lvlText w:val="(%1)"/>
      <w:numFmt w:val="lowerLetter"/>
      <w:start w:val="1"/>
    </w:lvl>
  </w:abstractNum>
  <w:abstractNum w:abstractNumId="167">
    <w:nsid w:val="3CA88ECF"/>
    <w:multiLevelType w:val="hybridMultilevel"/>
    <w:lvl w:ilvl="0">
      <w:lvlJc w:val="left"/>
      <w:lvlText w:val="(%1)"/>
      <w:numFmt w:val="lowerLetter"/>
      <w:start w:val="2"/>
    </w:lvl>
  </w:abstractNum>
  <w:abstractNum w:abstractNumId="168">
    <w:nsid w:val="6EBE4208"/>
    <w:multiLevelType w:val="hybridMultilevel"/>
    <w:lvl w:ilvl="0">
      <w:lvlJc w:val="left"/>
      <w:lvlText w:val="(%1)"/>
      <w:numFmt w:val="lowerLetter"/>
      <w:start w:val="1"/>
    </w:lvl>
    <w:lvl w:ilvl="1">
      <w:lvlJc w:val="left"/>
      <w:lvlText w:val="(%2)"/>
      <w:numFmt w:val="lowerLetter"/>
      <w:start w:val="9"/>
    </w:lvl>
  </w:abstractNum>
  <w:abstractNum w:abstractNumId="169">
    <w:nsid w:val="C058DF5"/>
    <w:multiLevelType w:val="hybridMultilevel"/>
    <w:lvl w:ilvl="0">
      <w:lvlJc w:val="left"/>
      <w:lvlText w:val="%1"/>
      <w:numFmt w:val="lowerLetter"/>
      <w:start w:val="1"/>
    </w:lvl>
    <w:lvl w:ilvl="1">
      <w:lvlJc w:val="left"/>
      <w:lvlText w:val="(%2)"/>
      <w:numFmt w:val="lowerRoman"/>
      <w:start w:val="2"/>
    </w:lvl>
  </w:abstractNum>
  <w:abstractNum w:abstractNumId="170">
    <w:nsid w:val="CBE5BE9"/>
    <w:multiLevelType w:val="hybridMultilevel"/>
    <w:lvl w:ilvl="0">
      <w:lvlJc w:val="left"/>
      <w:lvlText w:val="(%1)"/>
      <w:numFmt w:val="lowerLetter"/>
      <w:start w:val="4"/>
    </w:lvl>
    <w:lvl w:ilvl="1">
      <w:lvlJc w:val="left"/>
      <w:lvlText w:val="%2"/>
      <w:numFmt w:val="lowerRoman"/>
      <w:start w:val="1"/>
    </w:lvl>
  </w:abstractNum>
  <w:abstractNum w:abstractNumId="171">
    <w:nsid w:val="3102BBE2"/>
    <w:multiLevelType w:val="hybridMultilevel"/>
    <w:lvl w:ilvl="0">
      <w:lvlJc w:val="left"/>
      <w:lvlText w:val="(%1)"/>
      <w:numFmt w:val="lowerLetter"/>
      <w:start w:val="1"/>
    </w:lvl>
  </w:abstractNum>
  <w:abstractNum w:abstractNumId="172">
    <w:nsid w:val="26A02C5E"/>
    <w:multiLevelType w:val="hybridMultilevel"/>
    <w:lvl w:ilvl="0">
      <w:lvlJc w:val="left"/>
      <w:lvlText w:val="(%1)"/>
      <w:numFmt w:val="lowerLetter"/>
      <w:start w:val="4"/>
    </w:lvl>
  </w:abstractNum>
  <w:abstractNum w:abstractNumId="173">
    <w:nsid w:val="541C8153"/>
    <w:multiLevelType w:val="hybridMultilevel"/>
    <w:lvl w:ilvl="0">
      <w:lvlJc w:val="left"/>
      <w:lvlText w:val="[***]"/>
      <w:numFmt w:val="bullet"/>
      <w:start w:val="1"/>
    </w:lvl>
    <w:lvl w:ilvl="1">
      <w:lvlJc w:val="left"/>
      <w:lvlText w:val="(%2)"/>
      <w:numFmt w:val="lowerLetter"/>
      <w:start w:val="1"/>
    </w:lvl>
  </w:abstractNum>
  <w:abstractNum w:abstractNumId="174">
    <w:nsid w:val="67906F60"/>
    <w:multiLevelType w:val="hybridMultilevel"/>
    <w:lvl w:ilvl="0">
      <w:lvlJc w:val="left"/>
      <w:lvlText w:val="(%1)"/>
      <w:numFmt w:val="lowerLetter"/>
      <w:start w:val="1"/>
    </w:lvl>
  </w:abstractNum>
  <w:abstractNum w:abstractNumId="175">
    <w:nsid w:val="10DB9DAA"/>
    <w:multiLevelType w:val="hybridMultilevel"/>
    <w:lvl w:ilvl="0">
      <w:lvlJc w:val="left"/>
      <w:lvlText w:val="%1"/>
      <w:numFmt w:val="lowerLetter"/>
      <w:start w:val="1"/>
    </w:lvl>
    <w:lvl w:ilvl="1">
      <w:lvlJc w:val="left"/>
      <w:lvlText w:val="(%2)"/>
      <w:numFmt w:val="lowerLetter"/>
      <w:start w:val="2"/>
    </w:lvl>
  </w:abstractNum>
  <w:abstractNum w:abstractNumId="176">
    <w:nsid w:val="697D2D2"/>
    <w:multiLevelType w:val="hybridMultilevel"/>
    <w:lvl w:ilvl="0">
      <w:lvlJc w:val="left"/>
      <w:lvlText w:val="(%1)"/>
      <w:numFmt w:val="lowerLetter"/>
      <w:start w:val="35"/>
    </w:lvl>
    <w:lvl w:ilvl="1">
      <w:lvlJc w:val="left"/>
      <w:lvlText w:val="%2"/>
      <w:numFmt w:val="lowerLetter"/>
      <w:start w:val="1"/>
    </w:lvl>
  </w:abstractNum>
  <w:abstractNum w:abstractNumId="177">
    <w:nsid w:val="6D68AB2"/>
    <w:multiLevelType w:val="hybridMultilevel"/>
    <w:lvl w:ilvl="0">
      <w:lvlJc w:val="left"/>
      <w:lvlText w:val="(%1)"/>
      <w:numFmt w:val="lowerLetter"/>
      <w:start w:val="1"/>
    </w:lvl>
  </w:abstractNum>
  <w:abstractNum w:abstractNumId="178">
    <w:nsid w:val="3A966CD0"/>
    <w:multiLevelType w:val="hybridMultilevel"/>
    <w:lvl w:ilvl="0">
      <w:lvlJc w:val="left"/>
      <w:lvlText w:val="(%1)"/>
      <w:numFmt w:val="lowerRoman"/>
      <w:start w:val="4"/>
    </w:lvl>
  </w:abstractNum>
  <w:abstractNum w:abstractNumId="179">
    <w:nsid w:val="63F37E85"/>
    <w:multiLevelType w:val="hybridMultilevel"/>
    <w:lvl w:ilvl="0">
      <w:lvlJc w:val="left"/>
      <w:lvlText w:val="(%1)"/>
      <w:numFmt w:val="lowerLetter"/>
      <w:start w:val="1"/>
    </w:lvl>
  </w:abstractNum>
  <w:abstractNum w:abstractNumId="180">
    <w:nsid w:val="5895F5FA"/>
    <w:multiLevelType w:val="hybridMultilevel"/>
    <w:lvl w:ilvl="0">
      <w:lvlJc w:val="left"/>
      <w:lvlText w:val="(%1)"/>
      <w:numFmt w:val="lowerLetter"/>
      <w:start w:val="1"/>
    </w:lvl>
  </w:abstractNum>
  <w:abstractNum w:abstractNumId="181">
    <w:nsid w:val="38A5D054"/>
    <w:multiLevelType w:val="hybridMultilevel"/>
    <w:lvl w:ilvl="0">
      <w:lvlJc w:val="left"/>
      <w:lvlText w:val="(%1)"/>
      <w:numFmt w:val="lowerLetter"/>
      <w:start w:val="3"/>
    </w:lvl>
  </w:abstractNum>
  <w:abstractNum w:abstractNumId="182">
    <w:nsid w:val="F3F09D8"/>
    <w:multiLevelType w:val="hybridMultilevel"/>
    <w:lvl w:ilvl="0">
      <w:lvlJc w:val="left"/>
      <w:lvlText w:val="(%1)"/>
      <w:numFmt w:val="lowerLetter"/>
      <w:start w:val="1"/>
    </w:lvl>
  </w:abstractNum>
  <w:abstractNum w:abstractNumId="183">
    <w:nsid w:val="4B793735"/>
    <w:multiLevelType w:val="hybridMultilevel"/>
    <w:lvl w:ilvl="0">
      <w:lvlJc w:val="left"/>
      <w:lvlText w:val="(%1)"/>
      <w:numFmt w:val="lowerLetter"/>
      <w:start w:val="2"/>
    </w:lvl>
  </w:abstractNum>
  <w:abstractNum w:abstractNumId="184">
    <w:nsid w:val="4A10B4E8"/>
    <w:multiLevelType w:val="hybridMultilevel"/>
    <w:lvl w:ilvl="0">
      <w:lvlJc w:val="left"/>
      <w:lvlText w:val="(%1)"/>
      <w:numFmt w:val="lowerLetter"/>
      <w:start w:val="1"/>
    </w:lvl>
  </w:abstractNum>
  <w:abstractNum w:abstractNumId="185">
    <w:nsid w:val="43D3BCD4"/>
    <w:multiLevelType w:val="hybridMultilevel"/>
    <w:lvl w:ilvl="0">
      <w:lvlJc w:val="left"/>
      <w:lvlText w:val="(%1)"/>
      <w:numFmt w:val="lowerLetter"/>
      <w:start w:val="1"/>
    </w:lvl>
  </w:abstractNum>
  <w:abstractNum w:abstractNumId="186">
    <w:nsid w:val="4C2A7166"/>
    <w:multiLevelType w:val="hybridMultilevel"/>
    <w:lvl w:ilvl="0">
      <w:lvlJc w:val="left"/>
      <w:lvlText w:val="(%1)"/>
      <w:numFmt w:val="lowerLetter"/>
      <w:start w:val="1"/>
    </w:lvl>
    <w:lvl w:ilvl="1">
      <w:lvlJc w:val="left"/>
      <w:lvlText w:val="(%2)"/>
      <w:numFmt w:val="lowerRoman"/>
      <w:start w:val="1"/>
    </w:lvl>
  </w:abstractNum>
  <w:abstractNum w:abstractNumId="187">
    <w:nsid w:val="2E534A82"/>
    <w:multiLevelType w:val="hybridMultilevel"/>
    <w:lvl w:ilvl="0">
      <w:lvlJc w:val="left"/>
      <w:lvlText w:val="(%1)"/>
      <w:numFmt w:val="lowerLetter"/>
      <w:start w:val="1"/>
    </w:lvl>
  </w:abstractNum>
  <w:abstractNum w:abstractNumId="188">
    <w:nsid w:val="26F2D364"/>
    <w:multiLevelType w:val="hybridMultilevel"/>
    <w:lvl w:ilvl="0">
      <w:lvlJc w:val="left"/>
      <w:lvlText w:val="(%1)"/>
      <w:numFmt w:val="lowerLetter"/>
      <w:start w:val="1"/>
    </w:lvl>
  </w:abstractNum>
  <w:abstractNum w:abstractNumId="189">
    <w:nsid w:val="71C1AF98"/>
    <w:multiLevelType w:val="hybridMultilevel"/>
    <w:lvl w:ilvl="0">
      <w:lvlJc w:val="left"/>
      <w:lvlText w:val="(%1)"/>
      <w:numFmt w:val="lowerLetter"/>
      <w:start w:val="1"/>
    </w:lvl>
  </w:abstractNum>
  <w:abstractNum w:abstractNumId="190">
    <w:nsid w:val="3D00B9D9"/>
    <w:multiLevelType w:val="hybridMultilevel"/>
    <w:lvl w:ilvl="0">
      <w:lvlJc w:val="left"/>
      <w:lvlText w:val="(%1)"/>
      <w:numFmt w:val="lowerLetter"/>
      <w:start w:val="2"/>
    </w:lvl>
  </w:abstractNum>
  <w:abstractNum w:abstractNumId="191">
    <w:nsid w:val="15BCABA8"/>
    <w:multiLevelType w:val="hybridMultilevel"/>
    <w:lvl w:ilvl="0">
      <w:lvlJc w:val="left"/>
      <w:lvlText w:val="(%1)"/>
      <w:numFmt w:val="lowerLetter"/>
      <w:start w:val="1"/>
    </w:lvl>
  </w:abstractNum>
  <w:abstractNum w:abstractNumId="192">
    <w:nsid w:val="4E0B9A87"/>
    <w:multiLevelType w:val="hybridMultilevel"/>
    <w:lvl w:ilvl="0">
      <w:lvlJc w:val="left"/>
      <w:lvlText w:val="(%1)"/>
      <w:numFmt w:val="lowerLetter"/>
      <w:start w:val="1"/>
    </w:lvl>
  </w:abstractNum>
  <w:abstractNum w:abstractNumId="193">
    <w:nsid w:val="434BAE75"/>
    <w:multiLevelType w:val="hybridMultilevel"/>
    <w:lvl w:ilvl="0">
      <w:lvlJc w:val="left"/>
      <w:lvlText w:val="(%1)"/>
      <w:numFmt w:val="lowerLetter"/>
      <w:start w:val="2"/>
    </w:lvl>
  </w:abstractNum>
  <w:abstractNum w:abstractNumId="194">
    <w:nsid w:val="4F38F265"/>
    <w:multiLevelType w:val="hybridMultilevel"/>
    <w:lvl w:ilvl="0">
      <w:lvlJc w:val="left"/>
      <w:lvlText w:val="(%1)"/>
      <w:numFmt w:val="lowerLetter"/>
      <w:start w:val="1"/>
    </w:lvl>
  </w:abstractNum>
  <w:abstractNum w:abstractNumId="195">
    <w:nsid w:val="4C502870"/>
    <w:multiLevelType w:val="hybridMultilevel"/>
    <w:lvl w:ilvl="0">
      <w:lvlJc w:val="left"/>
      <w:lvlText w:val="(%1)"/>
      <w:numFmt w:val="lowerLetter"/>
      <w:start w:val="2"/>
    </w:lvl>
    <w:lvl w:ilvl="1">
      <w:lvlJc w:val="left"/>
      <w:lvlText w:val="(%2)"/>
      <w:numFmt w:val="lowerLetter"/>
      <w:start w:val="9"/>
    </w:lvl>
  </w:abstractNum>
  <w:abstractNum w:abstractNumId="196">
    <w:nsid w:val="1DE8725A"/>
    <w:multiLevelType w:val="hybridMultilevel"/>
    <w:lvl w:ilvl="0">
      <w:lvlJc w:val="left"/>
      <w:lvlText w:val="(%1)"/>
      <w:numFmt w:val="lowerLetter"/>
      <w:start w:val="1"/>
    </w:lvl>
  </w:abstractNum>
  <w:abstractNum w:abstractNumId="197">
    <w:nsid w:val="6A37288A"/>
    <w:multiLevelType w:val="hybridMultilevel"/>
    <w:lvl w:ilvl="0">
      <w:lvlJc w:val="left"/>
      <w:lvlText w:val="(%1)"/>
      <w:numFmt w:val="lowerLetter"/>
      <w:start w:val="2"/>
    </w:lvl>
    <w:lvl w:ilvl="1">
      <w:lvlJc w:val="left"/>
      <w:lvlText w:val="(%2)"/>
      <w:numFmt w:val="lowerRoman"/>
      <w:start w:val="1"/>
    </w:lvl>
  </w:abstractNum>
  <w:abstractNum w:abstractNumId="198">
    <w:nsid w:val="8F8B73F"/>
    <w:multiLevelType w:val="hybridMultilevel"/>
    <w:lvl w:ilvl="0">
      <w:lvlJc w:val="left"/>
      <w:lvlText w:val="(%1)"/>
      <w:numFmt w:val="lowerLetter"/>
      <w:start w:val="1"/>
    </w:lvl>
  </w:abstractNum>
  <w:abstractNum w:abstractNumId="199">
    <w:nsid w:val="CA6B462"/>
    <w:multiLevelType w:val="hybridMultilevel"/>
    <w:lvl w:ilvl="0">
      <w:lvlJc w:val="left"/>
      <w:lvlText w:val="(%1)"/>
      <w:numFmt w:val="lowerLetter"/>
      <w:start w:val="2"/>
    </w:lvl>
  </w:abstractNum>
  <w:abstractNum w:abstractNumId="200">
    <w:nsid w:val="763CB680"/>
    <w:multiLevelType w:val="hybridMultilevel"/>
    <w:lvl w:ilvl="0">
      <w:lvlJc w:val="left"/>
      <w:lvlText w:val="(%1)"/>
      <w:numFmt w:val="lowerLetter"/>
      <w:start w:val="3"/>
    </w:lvl>
  </w:abstractNum>
  <w:abstractNum w:abstractNumId="201">
    <w:nsid w:val="15B71329"/>
    <w:multiLevelType w:val="hybridMultilevel"/>
    <w:lvl w:ilvl="0">
      <w:lvlJc w:val="left"/>
      <w:lvlText w:val="(%1)"/>
      <w:numFmt w:val="lowerLetter"/>
      <w:start w:val="4"/>
    </w:lvl>
  </w:abstractNum>
  <w:abstractNum w:abstractNumId="202">
    <w:nsid w:val="3DA97044"/>
    <w:multiLevelType w:val="hybridMultilevel"/>
    <w:lvl w:ilvl="0">
      <w:lvlJc w:val="left"/>
      <w:lvlText w:val="(%1)"/>
      <w:numFmt w:val="lowerLetter"/>
      <w:start w:val="5"/>
    </w:lvl>
  </w:abstractNum>
  <w:abstractNum w:abstractNumId="203">
    <w:nsid w:val="1CDCE2DE"/>
    <w:multiLevelType w:val="hybridMultilevel"/>
    <w:lvl w:ilvl="0">
      <w:lvlJc w:val="left"/>
      <w:lvlText w:val="(%1)"/>
      <w:numFmt w:val="lowerLetter"/>
      <w:start w:val="6"/>
    </w:lvl>
  </w:abstractNum>
  <w:abstractNum w:abstractNumId="204">
    <w:nsid w:val="69D3947C"/>
    <w:multiLevelType w:val="hybridMultilevel"/>
    <w:lvl w:ilvl="0">
      <w:lvlJc w:val="left"/>
      <w:lvlText w:val="(%1)"/>
      <w:numFmt w:val="lowerLetter"/>
      <w:start w:val="7"/>
    </w:lvl>
  </w:abstractNum>
  <w:abstractNum w:abstractNumId="205">
    <w:nsid w:val="2539DFA5"/>
    <w:multiLevelType w:val="hybridMultilevel"/>
    <w:lvl w:ilvl="0">
      <w:lvlJc w:val="left"/>
      <w:lvlText w:val="(%1)"/>
      <w:numFmt w:val="lowerLetter"/>
      <w:start w:val="8"/>
    </w:lvl>
  </w:abstractNum>
  <w:abstractNum w:abstractNumId="206">
    <w:nsid w:val="2DB88089"/>
    <w:multiLevelType w:val="hybridMultilevel"/>
    <w:lvl w:ilvl="0">
      <w:lvlJc w:val="left"/>
      <w:lvlText w:val="(%1)"/>
      <w:numFmt w:val="lowerLetter"/>
      <w:start w:val="10"/>
    </w:lvl>
  </w:abstractNum>
  <w:abstractNum w:abstractNumId="207">
    <w:nsid w:val="706B674E"/>
    <w:multiLevelType w:val="hybridMultilevel"/>
    <w:lvl w:ilvl="0">
      <w:lvlJc w:val="left"/>
      <w:lvlText w:val="(%1)"/>
      <w:numFmt w:val="lowerLetter"/>
      <w:start w:val="1"/>
    </w:lvl>
  </w:abstractNum>
  <w:abstractNum w:abstractNumId="208">
    <w:nsid w:val="2C106A57"/>
    <w:multiLevelType w:val="hybridMultilevel"/>
    <w:lvl w:ilvl="0">
      <w:lvlJc w:val="left"/>
      <w:lvlText w:val="%1."/>
      <w:numFmt w:val="decimal"/>
      <w:start w:val="1"/>
    </w:lvl>
  </w:abstractNum>
  <w:abstractNum w:abstractNumId="209">
    <w:nsid w:val="684EED59"/>
    <w:multiLevelType w:val="hybridMultilevel"/>
    <w:lvl w:ilvl="0">
      <w:lvlJc w:val="left"/>
      <w:lvlText w:val="%1."/>
      <w:numFmt w:val="decimal"/>
      <w:start w:val="1"/>
    </w:lvl>
  </w:abstractNum>
  <w:abstractNum w:abstractNumId="210">
    <w:nsid w:val="545EE5D3"/>
    <w:multiLevelType w:val="hybridMultilevel"/>
    <w:lvl w:ilvl="0">
      <w:lvlJc w:val="left"/>
      <w:lvlText w:val="%1."/>
      <w:numFmt w:val="decimal"/>
      <w:start w:val="1"/>
    </w:lvl>
  </w:abstractNum>
  <w:abstractNum w:abstractNumId="211">
    <w:nsid w:val="4A66051"/>
    <w:multiLevelType w:val="hybridMultilevel"/>
    <w:lvl w:ilvl="0">
      <w:lvlJc w:val="left"/>
      <w:lvlText w:val="%1."/>
      <w:numFmt w:val="decimal"/>
      <w:start w:val="1"/>
    </w:lvl>
  </w:abstractNum>
  <w:abstractNum w:abstractNumId="212">
    <w:nsid w:val="20F4BDAD"/>
    <w:multiLevelType w:val="hybridMultilevel"/>
    <w:lvl w:ilvl="0">
      <w:lvlJc w:val="left"/>
      <w:lvlText w:val="%1."/>
      <w:numFmt w:val="decimal"/>
      <w:start w:val="1"/>
    </w:lvl>
    <w:lvl w:ilvl="1">
      <w:lvlJc w:val="left"/>
      <w:lvlText w:val="(%2)"/>
      <w:numFmt w:val="lowerLetter"/>
      <w:start w:val="1"/>
    </w:lvl>
  </w:abstractNum>
  <w:abstractNum w:abstractNumId="213">
    <w:nsid w:val="639DEFAC"/>
    <w:multiLevelType w:val="hybridMultilevel"/>
    <w:lvl w:ilvl="0">
      <w:lvlJc w:val="left"/>
      <w:lvlText w:val="%1."/>
      <w:numFmt w:val="decimal"/>
      <w:start w:val="5"/>
    </w:lvl>
    <w:lvl w:ilvl="1">
      <w:lvlJc w:val="left"/>
      <w:lvlText w:val="(%2)"/>
      <w:numFmt w:val="lowerLetter"/>
      <w:start w:val="1"/>
    </w:lvl>
  </w:abstractNum>
  <w:abstractNum w:abstractNumId="214">
    <w:nsid w:val="501F9786"/>
    <w:multiLevelType w:val="hybridMultilevel"/>
    <w:lvl w:ilvl="0">
      <w:lvlJc w:val="left"/>
      <w:lvlText w:val="%1."/>
      <w:numFmt w:val="decimal"/>
      <w:start w:val="1"/>
    </w:lvl>
    <w:lvl w:ilvl="1">
      <w:lvlJc w:val="left"/>
      <w:lvlText w:val="(%2)"/>
      <w:numFmt w:val="lowerLetter"/>
      <w:start w:val="1"/>
    </w:lvl>
  </w:abstractNum>
  <w:abstractNum w:abstractNumId="215">
    <w:nsid w:val="6B057295"/>
    <w:multiLevelType w:val="hybridMultilevel"/>
    <w:lvl w:ilvl="0">
      <w:lvlJc w:val="left"/>
      <w:lvlText w:val="%1."/>
      <w:numFmt w:val="decimal"/>
      <w:start w:val="5"/>
    </w:lvl>
    <w:lvl w:ilvl="1">
      <w:lvlJc w:val="left"/>
      <w:lvlText w:val="(%2)"/>
      <w:numFmt w:val="lowerLetter"/>
      <w:start w:val="1"/>
    </w:lvl>
  </w:abstractNum>
  <w:abstractNum w:abstractNumId="216">
    <w:nsid w:val="2771AC80"/>
    <w:multiLevelType w:val="hybridMultilevel"/>
    <w:lvl w:ilvl="0">
      <w:lvlJc w:val="left"/>
      <w:lvlText w:val="%1."/>
      <w:numFmt w:val="decimal"/>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447" Type="http://schemas.openxmlformats.org/officeDocument/2006/relationships/image" Target="media/image409.png"/><Relationship Id="rId448" Type="http://schemas.openxmlformats.org/officeDocument/2006/relationships/image" Target="media/image410.png"/><Relationship Id="rId449" Type="http://schemas.openxmlformats.org/officeDocument/2006/relationships/image" Target="media/image411.png"/><Relationship Id="rId450" Type="http://schemas.openxmlformats.org/officeDocument/2006/relationships/image" Target="media/image412.png"/><Relationship Id="rId451" Type="http://schemas.openxmlformats.org/officeDocument/2006/relationships/image" Target="media/image413.png"/><Relationship Id="rId452" Type="http://schemas.openxmlformats.org/officeDocument/2006/relationships/image" Target="media/image414.png"/><Relationship Id="rId453" Type="http://schemas.openxmlformats.org/officeDocument/2006/relationships/image" Target="media/image415.png"/><Relationship Id="rId454" Type="http://schemas.openxmlformats.org/officeDocument/2006/relationships/image" Target="media/image416.png"/><Relationship Id="rId455"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462" Type="http://schemas.openxmlformats.org/officeDocument/2006/relationships/image" Target="media/image424.png"/><Relationship Id="rId463" Type="http://schemas.openxmlformats.org/officeDocument/2006/relationships/image" Target="media/image425.png"/><Relationship Id="rId464" Type="http://schemas.openxmlformats.org/officeDocument/2006/relationships/image" Target="media/image426.png"/><Relationship Id="rId465" Type="http://schemas.openxmlformats.org/officeDocument/2006/relationships/image" Target="media/image427.png"/><Relationship Id="rId466" Type="http://schemas.openxmlformats.org/officeDocument/2006/relationships/image" Target="media/image428.png"/><Relationship Id="rId467" Type="http://schemas.openxmlformats.org/officeDocument/2006/relationships/image" Target="media/image429.png"/><Relationship Id="rId468" Type="http://schemas.openxmlformats.org/officeDocument/2006/relationships/image" Target="media/image430.png"/><Relationship Id="rId469" Type="http://schemas.openxmlformats.org/officeDocument/2006/relationships/image" Target="media/image431.png"/><Relationship Id="rId470" Type="http://schemas.openxmlformats.org/officeDocument/2006/relationships/image" Target="media/image432.png"/><Relationship Id="rId471"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4" Type="http://schemas.openxmlformats.org/officeDocument/2006/relationships/image" Target="media/image456.png"/><Relationship Id="rId495" Type="http://schemas.openxmlformats.org/officeDocument/2006/relationships/image" Target="media/image457.png"/><Relationship Id="rId496" Type="http://schemas.openxmlformats.org/officeDocument/2006/relationships/image" Target="media/image458.png"/><Relationship Id="rId497" Type="http://schemas.openxmlformats.org/officeDocument/2006/relationships/image" Target="media/image459.png"/><Relationship Id="rId498" Type="http://schemas.openxmlformats.org/officeDocument/2006/relationships/image" Target="media/image460.png"/><Relationship Id="rId499" Type="http://schemas.openxmlformats.org/officeDocument/2006/relationships/image" Target="media/image461.png"/><Relationship Id="rId500" Type="http://schemas.openxmlformats.org/officeDocument/2006/relationships/image" Target="media/image462.png"/><Relationship Id="rId501" Type="http://schemas.openxmlformats.org/officeDocument/2006/relationships/image" Target="media/image463.png"/><Relationship Id="rId502"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8" Type="http://schemas.openxmlformats.org/officeDocument/2006/relationships/image" Target="media/image470.png"/><Relationship Id="rId509"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2" Type="http://schemas.openxmlformats.org/officeDocument/2006/relationships/image" Target="media/image474.png"/><Relationship Id="rId513" Type="http://schemas.openxmlformats.org/officeDocument/2006/relationships/image" Target="media/image475.png"/><Relationship Id="rId514" Type="http://schemas.openxmlformats.org/officeDocument/2006/relationships/image" Target="media/image476.png"/><Relationship Id="rId515" Type="http://schemas.openxmlformats.org/officeDocument/2006/relationships/image" Target="media/image477.png"/><Relationship Id="rId516" Type="http://schemas.openxmlformats.org/officeDocument/2006/relationships/image" Target="media/image478.png"/><Relationship Id="rId517" Type="http://schemas.openxmlformats.org/officeDocument/2006/relationships/image" Target="media/image479.png"/><Relationship Id="rId518" Type="http://schemas.openxmlformats.org/officeDocument/2006/relationships/image" Target="media/image480.png"/><Relationship Id="rId519" Type="http://schemas.openxmlformats.org/officeDocument/2006/relationships/image" Target="media/image481.png"/><Relationship Id="rId520" Type="http://schemas.openxmlformats.org/officeDocument/2006/relationships/image" Target="media/image482.png"/><Relationship Id="rId521" Type="http://schemas.openxmlformats.org/officeDocument/2006/relationships/image" Target="media/image483.png"/><Relationship Id="rId522" Type="http://schemas.openxmlformats.org/officeDocument/2006/relationships/image" Target="media/image484.png"/><Relationship Id="rId523" Type="http://schemas.openxmlformats.org/officeDocument/2006/relationships/image" Target="media/image485.png"/><Relationship Id="rId524" Type="http://schemas.openxmlformats.org/officeDocument/2006/relationships/image" Target="media/image486.png"/><Relationship Id="rId525" Type="http://schemas.openxmlformats.org/officeDocument/2006/relationships/image" Target="media/image487.png"/><Relationship Id="rId526" Type="http://schemas.openxmlformats.org/officeDocument/2006/relationships/image" Target="media/image488.png"/><Relationship Id="rId527" Type="http://schemas.openxmlformats.org/officeDocument/2006/relationships/image" Target="media/image489.png"/><Relationship Id="rId528" Type="http://schemas.openxmlformats.org/officeDocument/2006/relationships/image" Target="media/image490.png"/><Relationship Id="rId529" Type="http://schemas.openxmlformats.org/officeDocument/2006/relationships/image" Target="media/image491.png"/><Relationship Id="rId530" Type="http://schemas.openxmlformats.org/officeDocument/2006/relationships/image" Target="media/image492.png"/><Relationship Id="rId531" Type="http://schemas.openxmlformats.org/officeDocument/2006/relationships/image" Target="media/image493.png"/><Relationship Id="rId532" Type="http://schemas.openxmlformats.org/officeDocument/2006/relationships/image" Target="media/image494.png"/><Relationship Id="rId533" Type="http://schemas.openxmlformats.org/officeDocument/2006/relationships/image" Target="media/image495.png"/><Relationship Id="rId534" Type="http://schemas.openxmlformats.org/officeDocument/2006/relationships/image" Target="media/image496.png"/><Relationship Id="rId535" Type="http://schemas.openxmlformats.org/officeDocument/2006/relationships/image" Target="media/image497.png"/><Relationship Id="rId536" Type="http://schemas.openxmlformats.org/officeDocument/2006/relationships/image" Target="media/image498.png"/><Relationship Id="rId537" Type="http://schemas.openxmlformats.org/officeDocument/2006/relationships/image" Target="media/image499.png"/><Relationship Id="rId538" Type="http://schemas.openxmlformats.org/officeDocument/2006/relationships/image" Target="media/image500.png"/><Relationship Id="rId539" Type="http://schemas.openxmlformats.org/officeDocument/2006/relationships/image" Target="media/image501.png"/><Relationship Id="rId540" Type="http://schemas.openxmlformats.org/officeDocument/2006/relationships/image" Target="media/image502.png"/><Relationship Id="rId174" Type="http://schemas.openxmlformats.org/officeDocument/2006/relationships/hyperlink" Target="https://www.sec.gov/Archives/edgar/data/0001841387/000119312521229437/d203496dex31.htm" TargetMode="External"/><Relationship Id="rId175" Type="http://schemas.openxmlformats.org/officeDocument/2006/relationships/hyperlink" Target="https://www.sec.gov/Archives/edgar/data/1841387/000119312521229437/d203496dex32.htm" TargetMode="External"/><Relationship Id="rId176" Type="http://schemas.openxmlformats.org/officeDocument/2006/relationships/hyperlink" Target="https://www.sec.gov/Archives/edgar/data/1841387/000095017024066608/cadl-ex3_1.htm" TargetMode="External"/><Relationship Id="rId177" Type="http://schemas.openxmlformats.org/officeDocument/2006/relationships/hyperlink" Target="https://www.sec.gov/Archives/edgar/data/1841387/000119312521216891/d120909dex41.htm" TargetMode="External"/><Relationship Id="rId178" Type="http://schemas.openxmlformats.org/officeDocument/2006/relationships/hyperlink" Target="https://www.sec.gov/Archives/edgar/data/1841387/000095017025038803/cadl-ex4_2.htm" TargetMode="External"/><Relationship Id="rId179" Type="http://schemas.openxmlformats.org/officeDocument/2006/relationships/hyperlink" Target="https://www.sec.gov/Archives/edgar/data/1841387/000119312521200639/d120909dex42.htm" TargetMode="External"/><Relationship Id="rId180" Type="http://schemas.openxmlformats.org/officeDocument/2006/relationships/hyperlink" Target="https://www.sec.gov/Archives/edgar/data/1841387/000119312521216891/d120909dex43.htm" TargetMode="External"/><Relationship Id="rId181" Type="http://schemas.openxmlformats.org/officeDocument/2006/relationships/hyperlink" Target="https://www.sec.gov/Archives/edgar/data/1841387/000119312521216891/d120909dex44.htm" TargetMode="External"/><Relationship Id="rId182" Type="http://schemas.openxmlformats.org/officeDocument/2006/relationships/hyperlink" Target="https://www.sec.gov/Archives/edgar/data/1841387/000119312521200639/d120909dex45.htm" TargetMode="External"/><Relationship Id="rId183" Type="http://schemas.openxmlformats.org/officeDocument/2006/relationships/hyperlink" Target="https://www.sec.gov/Archives/edgar/data/1841387/000119312525238254/cadl-ex4_1.htm" TargetMode="External"/><Relationship Id="rId184" Type="http://schemas.openxmlformats.org/officeDocument/2006/relationships/hyperlink" Target="https://www.sec.gov/Archives/edgar/data/1841387/000119312521216891/d120909dex101.htm" TargetMode="External"/><Relationship Id="rId185" Type="http://schemas.openxmlformats.org/officeDocument/2006/relationships/hyperlink" Target="https://www.sec.gov/Archives/edgar/data/1841387/000119312521216891/d120909dex102.htm" TargetMode="External"/><Relationship Id="rId186" Type="http://schemas.openxmlformats.org/officeDocument/2006/relationships/hyperlink" Target="https://www.sec.gov/Archives/edgar/data/1841387/000119312521216891/d120909dex103.htm" TargetMode="External"/><Relationship Id="rId187" Type="http://schemas.openxmlformats.org/officeDocument/2006/relationships/hyperlink" Target="https://www.sec.gov/Archives/edgar/data/1841387/000119312521216891/d120909dex104.htm" TargetMode="External"/><Relationship Id="rId188" Type="http://schemas.openxmlformats.org/officeDocument/2006/relationships/hyperlink" Target="https://www.sec.gov/Archives/edgar/data/1841387/000119312521216891/d120909dex1051.htm" TargetMode="External"/><Relationship Id="rId189" Type="http://schemas.openxmlformats.org/officeDocument/2006/relationships/hyperlink" Target="https://www.sec.gov/Archives/edgar/data/1841387/000119312521216891/d120909dex106.htm" TargetMode="External"/><Relationship Id="rId190" Type="http://schemas.openxmlformats.org/officeDocument/2006/relationships/hyperlink" Target="https://www.sec.gov/Archives/edgar/data/1841387/000119312521216891/d120909dex107.htm" TargetMode="External"/><Relationship Id="rId191" Type="http://schemas.openxmlformats.org/officeDocument/2006/relationships/hyperlink" Target="https://www.sec.gov/Archives/edgar/data/1841387/000119312521200639/d120909dex108.htm" TargetMode="External"/><Relationship Id="rId194" Type="http://schemas.openxmlformats.org/officeDocument/2006/relationships/hyperlink" Target="https://www.sec.gov/Archives/edgar/data/1841387/000119312521216891/d120909dex109.htm" TargetMode="External"/><Relationship Id="rId195" Type="http://schemas.openxmlformats.org/officeDocument/2006/relationships/hyperlink" Target="https://www.sec.gov/Archives/edgar/data/1841387/000119312521216891/d120909dex1010.htm" TargetMode="External"/><Relationship Id="rId196" Type="http://schemas.openxmlformats.org/officeDocument/2006/relationships/hyperlink" Target="https://www.sec.gov/Archives/edgar/data/1841387/000095017022004857/cadl-ex10_12.htm" TargetMode="External"/><Relationship Id="rId197" Type="http://schemas.openxmlformats.org/officeDocument/2006/relationships/hyperlink" Target="https://www.sec.gov/Archives/edgar/data/1841387/000095017022004857/cadl-ex10_13.htm" TargetMode="External"/><Relationship Id="rId198" Type="http://schemas.openxmlformats.org/officeDocument/2006/relationships/hyperlink" Target="https://www.sec.gov/Archives/edgar/data/1841387/000095017022009479/cadl-ex10_8.htm" TargetMode="External"/><Relationship Id="rId199" Type="http://schemas.openxmlformats.org/officeDocument/2006/relationships/hyperlink" Target="https://www.sec.gov/Archives/edgar/data/1841387/000095017023010760/cadl-ex10_16.htm" TargetMode="External"/><Relationship Id="rId200" Type="http://schemas.openxmlformats.org/officeDocument/2006/relationships/hyperlink" Target="https://www.sec.gov/Archives/edgar/data/1841387/000095017023040984/cadl-ex10_1.htm" TargetMode="External"/><Relationship Id="rId201" Type="http://schemas.openxmlformats.org/officeDocument/2006/relationships/hyperlink" Target="https://www.sec.gov/Archives/edgar/data/1841387/000095017025110682/cadl-ex10_1.htm" TargetMode="External"/><Relationship Id="rId202" Type="http://schemas.openxmlformats.org/officeDocument/2006/relationships/hyperlink" Target="https://www.sec.gov/Archives/edgar/data/1841387/000119312525238254/cadl-ex10_1.htm" TargetMode="External"/><Relationship Id="rId203" Type="http://schemas.openxmlformats.org/officeDocument/2006/relationships/hyperlink" Target="https://www.sec.gov/Archives/edgar/data/1841387/000119312525238254/cadl-ex10_2.htm" TargetMode="External"/><Relationship Id="rId204" Type="http://schemas.openxmlformats.org/officeDocument/2006/relationships/hyperlink" Target="https://www.sec.gov/Archives/edgar/data/1841387/000095017025038803/cadl-ex19_1.htm" TargetMode="External"/><Relationship Id="rId205" Type="http://schemas.openxmlformats.org/officeDocument/2006/relationships/hyperlink" Target="https://www.sec.gov/Archives/edgar/data/1841387/000095017022004857/cadl-ex21_1.htm" TargetMode="External"/><Relationship Id="rId206" Type="http://schemas.openxmlformats.org/officeDocument/2006/relationships/hyperlink" Target="https://www.sec.gov/Archives/edgar/data/1841387/000095017024037637/cadl-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2026-03-12T07:24:44Z</dcterms:created>
  <dcterms:modified xsi:type="dcterms:W3CDTF">2026-03-12T07:24:44Z</dcterms:modified>
</cp:coreProperties>
</file>