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460" w:right="1540" w:hanging="3439"/>
        <w:spacing w:after="0" w:line="320"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2780" w:right="1540" w:hanging="2759"/>
        <w:spacing w:after="0" w:line="328" w:lineRule="auto"/>
        <w:tabs>
          <w:tab w:leader="none" w:pos="48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CANDEL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Delaware</w:t>
      </w:r>
    </w:p>
    <w:p>
      <w:pPr>
        <w:spacing w:after="0" w:line="37"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52-2214851</w:t>
      </w:r>
    </w:p>
    <w:p>
      <w:pPr>
        <w:spacing w:after="0" w:line="3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70" w:lineRule="exact"/>
        <w:rPr>
          <w:sz w:val="24"/>
          <w:szCs w:val="24"/>
          <w:color w:val="auto"/>
        </w:rPr>
      </w:pPr>
    </w:p>
    <w:p>
      <w:pPr>
        <w:sectPr>
          <w:pgSz w:w="11900" w:h="16838" w:orient="portrait"/>
          <w:cols w:equalWidth="0" w:num="2">
            <w:col w:w="7180" w:space="720"/>
            <w:col w:w="3340"/>
          </w:cols>
          <w:pgMar w:left="320" w:top="1230" w:right="3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117 Kendrick St, Suite 450</w:t>
      </w:r>
    </w:p>
    <w:p>
      <w:pPr>
        <w:spacing w:after="0" w:line="21"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6"/>
          <w:szCs w:val="16"/>
          <w:b w:val="1"/>
          <w:bCs w:val="1"/>
          <w:color w:val="auto"/>
        </w:rPr>
        <w:t>Needham, MA</w:t>
      </w:r>
      <w:r>
        <w:rPr>
          <w:sz w:val="20"/>
          <w:szCs w:val="20"/>
          <w:color w:val="auto"/>
        </w:rPr>
        <w:tab/>
      </w:r>
      <w:r>
        <w:rPr>
          <w:rFonts w:ascii="Arial" w:cs="Arial" w:eastAsia="Arial" w:hAnsi="Arial"/>
          <w:sz w:val="16"/>
          <w:szCs w:val="16"/>
          <w:b w:val="1"/>
          <w:bCs w:val="1"/>
          <w:color w:val="auto"/>
        </w:rPr>
        <w:t>02494</w:t>
      </w:r>
    </w:p>
    <w:p>
      <w:pPr>
        <w:spacing w:after="0" w:line="23" w:lineRule="exact"/>
        <w:rPr>
          <w:sz w:val="24"/>
          <w:szCs w:val="24"/>
          <w:color w:val="auto"/>
        </w:r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60"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CADL</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55"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8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4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20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2024, the registrant had 32,475,537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74" w:lineRule="exact"/>
        <w:rPr>
          <w:sz w:val="20"/>
          <w:szCs w:val="20"/>
          <w:color w:val="auto"/>
        </w:rPr>
      </w:pPr>
    </w:p>
    <w:p>
      <w:pPr>
        <w:ind w:left="1020" w:right="4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(international non-proprietary name: aglatimagene besadenovec) and CAN-3110 and any other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14" w:lineRule="exact"/>
        <w:rPr>
          <w:rFonts w:ascii="Times New Roman" w:cs="Times New Roman" w:eastAsia="Times New Roman" w:hAnsi="Times New Roman"/>
          <w:sz w:val="17"/>
          <w:szCs w:val="17"/>
          <w:color w:val="auto"/>
        </w:rPr>
      </w:pPr>
    </w:p>
    <w:p>
      <w:pPr>
        <w:ind w:left="1020" w:right="7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II, Item 1A - Risk Factors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6" w:right="4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4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8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right="26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doubt exists about our ability to continue as a going concern. Our ability to continue as a going concern requires that we obtain sufficient additional funding to finance our operations. If we are unable to raise capital when needed, we would be forced to delay, reduce or eliminate some of our research, clinical trials, product development, or future commercialization efforts, or initiate steps to cease operations.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(SPA)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34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or ongoing geopolitical conflicts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1020" w:right="5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 w:name="page5"/>
    <w:bookmarkEnd w:id="4"/>
    <w:p>
      <w:pPr>
        <w:spacing w:after="0" w:line="267" w:lineRule="auto"/>
        <w:rPr>
          <w:sz w:val="20"/>
          <w:szCs w:val="20"/>
          <w:color w:val="auto"/>
        </w:rPr>
      </w:pPr>
      <w:r>
        <w:rPr>
          <w:rFonts w:ascii="Arial" w:cs="Arial" w:eastAsia="Arial" w:hAnsi="Arial"/>
          <w:sz w:val="17"/>
          <w:szCs w:val="17"/>
          <w:color w:val="auto"/>
        </w:rPr>
        <w:t>to our business relationships with our current or any future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856615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340" w:top="1116" w:right="4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NOTE REGARDING COMPANY REFERENCES</w:t>
      </w:r>
    </w:p>
    <w:p>
      <w:pPr>
        <w:spacing w:after="0" w:line="195"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Unless the context otherwise requires, the terms “Candel Therapeutics,” “the Company,” “we,” “us,” and “our” in this Form 10-Q refer to Candel Therapeutics, Inc. and its consolidated subsidiary.</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REGARDING TRADEMARKS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1"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1.</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26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7"/>
                <w:szCs w:val="17"/>
                <w:color w:val="auto"/>
              </w:rPr>
            </w:pPr>
          </w:p>
        </w:tc>
        <w:tc>
          <w:tcPr>
            <w:tcW w:w="6600" w:type="dxa"/>
            <w:vAlign w:val="bottom"/>
            <w:gridSpan w:val="10"/>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594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Condensed Consolidated Statements of Operations and Comprehensive Loss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18"/>
                <w:szCs w:val="18"/>
                <w:color w:val="0000FF"/>
              </w:rPr>
              <w:t>Condensed Consolidated Statements of Stockholders’ Equity (Deficit) (Unaudited)</w:t>
            </w:r>
          </w:p>
        </w:tc>
        <w:tc>
          <w:tcPr>
            <w:tcW w:w="2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2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Condensed Consolidated Statements of Cash Flows (Unaudited)</w:t>
            </w: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5"/>
          </w:tcPr>
          <w:p>
            <w:pPr>
              <w:spacing w:after="0"/>
              <w:rPr>
                <w:sz w:val="17"/>
                <w:szCs w:val="17"/>
                <w:color w:val="auto"/>
              </w:rPr>
            </w:pPr>
          </w:p>
        </w:tc>
        <w:tc>
          <w:tcPr>
            <w:tcW w:w="22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8"/>
              </w:rPr>
              <w:t>OTHER INFORMATION</w:t>
            </w:r>
          </w:p>
        </w:tc>
        <w:tc>
          <w:tcPr>
            <w:tcW w:w="736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86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6"/>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185"/>
        </w:trPr>
        <w:tc>
          <w:tcPr>
            <w:tcW w:w="7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16,558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35,413</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1,384</w:t>
            </w:r>
          </w:p>
        </w:tc>
      </w:tr>
      <w:tr>
        <w:trPr>
          <w:trHeight w:val="223"/>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18,085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36,797</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2,477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3,206</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Lease right of use assets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816</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266</w:t>
            </w:r>
          </w:p>
        </w:tc>
      </w:tr>
      <w:tr>
        <w:trPr>
          <w:trHeight w:val="230"/>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21,517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41,201</w:t>
            </w:r>
          </w:p>
        </w:tc>
      </w:tr>
      <w:tr>
        <w:trPr>
          <w:trHeight w:val="20"/>
        </w:trPr>
        <w:tc>
          <w:tcPr>
            <w:tcW w:w="7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296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422</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4,569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4,356</w:t>
            </w: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Current portion of term loan payable to a bank</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9,851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8,893</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513</w:t>
            </w:r>
          </w:p>
        </w:tc>
      </w:tr>
      <w:tr>
        <w:trPr>
          <w:trHeight w:val="223"/>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15,268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14,184</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Term loan payable to a bank</w:t>
            </w:r>
          </w:p>
        </w:tc>
        <w:tc>
          <w:tcPr>
            <w:tcW w:w="16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4,225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11,632</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long-term debt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751</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Lease liability, net of current portion</w:t>
            </w:r>
          </w:p>
        </w:tc>
        <w:tc>
          <w:tcPr>
            <w:tcW w:w="16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973</w:t>
            </w:r>
          </w:p>
        </w:tc>
      </w:tr>
      <w:tr>
        <w:trPr>
          <w:trHeight w:val="230"/>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Warrant liability</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15,886</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916</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36,774</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28,456</w:t>
            </w:r>
          </w:p>
        </w:tc>
      </w:tr>
      <w:tr>
        <w:trPr>
          <w:trHeight w:val="223"/>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Commitments and contingencies (Note 14)</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97"/>
        </w:trPr>
        <w:tc>
          <w:tcPr>
            <w:tcW w:w="7760" w:type="dxa"/>
            <w:vAlign w:val="bottom"/>
            <w:shd w:val="clear" w:color="auto" w:fill="CFF0FC"/>
          </w:tcPr>
          <w:p>
            <w:pPr>
              <w:ind w:left="520"/>
              <w:spacing w:after="0" w:line="197" w:lineRule="exact"/>
              <w:rPr>
                <w:sz w:val="20"/>
                <w:szCs w:val="20"/>
                <w:color w:val="auto"/>
              </w:rPr>
            </w:pPr>
            <w:r>
              <w:rPr>
                <w:rFonts w:ascii="Arial" w:cs="Arial" w:eastAsia="Arial" w:hAnsi="Arial"/>
                <w:sz w:val="18"/>
                <w:szCs w:val="18"/>
                <w:color w:val="auto"/>
              </w:rPr>
              <w:t>Preferred stock, $0.01 par value; 10,000,000 shares authorized at September 30, 2024</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and December 31, 2023; no shares issued or outstanding at September 30, 2024 and</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35"/>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December 31, 2023, respectively.</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60" w:type="dxa"/>
            <w:vAlign w:val="bottom"/>
          </w:tcPr>
          <w:p>
            <w:pPr>
              <w:ind w:left="520"/>
              <w:spacing w:after="0" w:line="197" w:lineRule="exact"/>
              <w:rPr>
                <w:sz w:val="20"/>
                <w:szCs w:val="20"/>
                <w:color w:val="auto"/>
              </w:rPr>
            </w:pPr>
            <w:r>
              <w:rPr>
                <w:rFonts w:ascii="Arial" w:cs="Arial" w:eastAsia="Arial" w:hAnsi="Arial"/>
                <w:sz w:val="18"/>
                <w:szCs w:val="18"/>
                <w:color w:val="auto"/>
              </w:rPr>
              <w:t>Common stock, $0.01 par value; 150,000,000 shares authorized at September 30, 2024</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and December 31, 2023; 32,247,744 and 29,213,627 shares issued at September 30,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2024 and December 31, 2023, respectively; 32,125,136 and 29,091,019 shares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5"/>
        </w:trPr>
        <w:tc>
          <w:tcPr>
            <w:tcW w:w="7760" w:type="dxa"/>
            <w:vAlign w:val="bottom"/>
          </w:tcPr>
          <w:p>
            <w:pPr>
              <w:ind w:left="520"/>
              <w:spacing w:after="0"/>
              <w:rPr>
                <w:sz w:val="20"/>
                <w:szCs w:val="20"/>
                <w:color w:val="auto"/>
              </w:rPr>
            </w:pPr>
            <w:r>
              <w:rPr>
                <w:rFonts w:ascii="Arial" w:cs="Arial" w:eastAsia="Arial" w:hAnsi="Arial"/>
                <w:sz w:val="18"/>
                <w:szCs w:val="18"/>
                <w:color w:val="auto"/>
              </w:rPr>
              <w:t>outstanding at September 30, 2024 and December 31, 2023, respectively.</w:t>
            </w:r>
          </w:p>
        </w:tc>
        <w:tc>
          <w:tcPr>
            <w:tcW w:w="160" w:type="dxa"/>
            <w:vAlign w:val="bottom"/>
          </w:tcPr>
          <w:p>
            <w:pPr>
              <w:spacing w:after="0"/>
              <w:rPr>
                <w:sz w:val="20"/>
                <w:szCs w:val="20"/>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290</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163,001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149,931</w:t>
            </w:r>
          </w:p>
        </w:tc>
      </w:tr>
      <w:tr>
        <w:trPr>
          <w:trHeight w:val="229"/>
        </w:trPr>
        <w:tc>
          <w:tcPr>
            <w:tcW w:w="77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(178,132 )</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(137,028 )</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stockholders’ equity (deficit)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(15,257 )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12,745</w:t>
            </w:r>
          </w:p>
        </w:tc>
      </w:tr>
      <w:tr>
        <w:trPr>
          <w:trHeight w:val="263"/>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21,517</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-3950970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-2159635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-334010</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w:t>
            </w:r>
          </w:p>
        </w:tc>
      </w:tr>
      <w:tr>
        <w:trPr>
          <w:trHeight w:val="217"/>
        </w:trPr>
        <w:tc>
          <w:tcPr>
            <w:tcW w:w="5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5"/>
        </w:trPr>
        <w:tc>
          <w:tcPr>
            <w:tcW w:w="58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5,416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5,845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14,497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17,248</w:t>
            </w:r>
          </w:p>
        </w:tc>
      </w:tr>
      <w:tr>
        <w:trPr>
          <w:trHeight w:val="216"/>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3,341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3,016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10,733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10,825</w:t>
            </w:r>
          </w:p>
        </w:tc>
      </w:tr>
      <w:tr>
        <w:trPr>
          <w:trHeight w:val="210"/>
        </w:trPr>
        <w:tc>
          <w:tcPr>
            <w:tcW w:w="5860" w:type="dxa"/>
            <w:vAlign w:val="bottom"/>
          </w:tcPr>
          <w:p>
            <w:pPr>
              <w:ind w:left="78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8,757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8,861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25,230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28,073</w:t>
            </w:r>
          </w:p>
        </w:tc>
      </w:tr>
      <w:tr>
        <w:trPr>
          <w:trHeight w:val="209"/>
        </w:trPr>
        <w:tc>
          <w:tcPr>
            <w:tcW w:w="58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6"/>
                <w:szCs w:val="16"/>
                <w:b w:val="1"/>
                <w:bCs w:val="1"/>
                <w:color w:val="auto"/>
              </w:rPr>
              <w:t>Loss from operations</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(8,757 )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(8,861 )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(25,230 )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(28,073 )</w:t>
            </w: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8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Grant income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w:t>
            </w:r>
          </w:p>
        </w:tc>
      </w:tr>
      <w:tr>
        <w:trPr>
          <w:trHeight w:val="215"/>
        </w:trPr>
        <w:tc>
          <w:tcPr>
            <w:tcW w:w="58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1,666</w:t>
            </w:r>
          </w:p>
        </w:tc>
      </w:tr>
      <w:tr>
        <w:trPr>
          <w:trHeight w:val="217"/>
        </w:trPr>
        <w:tc>
          <w:tcPr>
            <w:tcW w:w="58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(1,922 )</w:t>
            </w:r>
          </w:p>
        </w:tc>
      </w:tr>
      <w:tr>
        <w:trPr>
          <w:trHeight w:val="215"/>
        </w:trPr>
        <w:tc>
          <w:tcPr>
            <w:tcW w:w="5860" w:type="dxa"/>
            <w:vAlign w:val="bottom"/>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(14,970 )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1,449</w:t>
            </w:r>
          </w:p>
        </w:tc>
      </w:tr>
      <w:tr>
        <w:trPr>
          <w:trHeight w:val="210"/>
        </w:trPr>
        <w:tc>
          <w:tcPr>
            <w:tcW w:w="58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6"/>
                <w:szCs w:val="16"/>
                <w:b w:val="1"/>
                <w:bCs w:val="1"/>
                <w:color w:val="auto"/>
              </w:rPr>
              <w:t>Total other income (expense), net</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(1,889 )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(15,874 )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1,229</w:t>
            </w: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Net loss and comprehensive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(10,646 )</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(8,435 )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(41,104 )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(26,844 )</w:t>
            </w: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 per share, basic and diluted</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(0.33 )</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(0.29 )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(0.93 )</w:t>
            </w:r>
          </w:p>
        </w:tc>
      </w:tr>
      <w:tr>
        <w:trPr>
          <w:trHeight w:val="196"/>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Weighted-average common shares outstanding, basic and diluted</w:t>
            </w: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32,013,569</w:t>
            </w: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28,919,810</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30,369,129</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28,919,810</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-1628140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-1628140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-1628140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-1336675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-1336675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-1336675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-496570</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-496570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-496570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7"/>
            <w:vMerge w:val="restart"/>
          </w:tcPr>
          <w:p>
            <w:pPr>
              <w:ind w:left="72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60" w:type="dxa"/>
            <w:vAlign w:val="bottom"/>
            <w:gridSpan w:val="7"/>
            <w:vMerge w:val="restart"/>
          </w:tcPr>
          <w:p>
            <w:pPr>
              <w:ind w:left="660"/>
              <w:spacing w:after="0"/>
              <w:rPr>
                <w:sz w:val="20"/>
                <w:szCs w:val="20"/>
                <w:color w:val="auto"/>
              </w:rPr>
            </w:pPr>
            <w:r>
              <w:rPr>
                <w:rFonts w:ascii="Arial" w:cs="Arial" w:eastAsia="Arial" w:hAnsi="Arial"/>
                <w:sz w:val="10"/>
                <w:szCs w:val="10"/>
                <w:b w:val="1"/>
                <w:bCs w:val="1"/>
                <w:color w:val="auto"/>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2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6"/>
              </w:rPr>
              <w:t>CAPITAL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2023</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rPr>
              <w:t>29,213,627</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2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149,931</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(137,028 )</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Options exercised</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731,169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1,312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164"/>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3,212</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3,212</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Restricted stock unit vesting</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1,034,207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856</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856</w:t>
            </w:r>
          </w:p>
        </w:tc>
        <w:tc>
          <w:tcPr>
            <w:tcW w:w="0" w:type="dxa"/>
            <w:vAlign w:val="bottom"/>
          </w:tcPr>
          <w:p>
            <w:pPr>
              <w:spacing w:after="0"/>
              <w:rPr>
                <w:sz w:val="1"/>
                <w:szCs w:val="1"/>
                <w:color w:val="auto"/>
              </w:rPr>
            </w:pPr>
          </w:p>
        </w:tc>
      </w:tr>
      <w:tr>
        <w:trPr>
          <w:trHeight w:val="141"/>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Sale of common stock,</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gridSpan w:val="2"/>
          </w:tcPr>
          <w:p>
            <w:pPr>
              <w:ind w:left="120"/>
              <w:spacing w:after="0"/>
              <w:rPr>
                <w:sz w:val="20"/>
                <w:szCs w:val="20"/>
                <w:color w:val="auto"/>
              </w:rPr>
            </w:pPr>
            <w:r>
              <w:rPr>
                <w:rFonts w:ascii="Arial" w:cs="Arial" w:eastAsia="Arial" w:hAnsi="Arial"/>
                <w:sz w:val="12"/>
                <w:szCs w:val="12"/>
                <w:color w:val="auto"/>
              </w:rPr>
              <w:t>net of issuance costs</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1,268,741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13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7,702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7,715</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(41,104 )</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(41,104 )</w:t>
            </w:r>
          </w:p>
        </w:tc>
        <w:tc>
          <w:tcPr>
            <w:tcW w:w="0" w:type="dxa"/>
            <w:vAlign w:val="bottom"/>
          </w:tcPr>
          <w:p>
            <w:pPr>
              <w:spacing w:after="0"/>
              <w:rPr>
                <w:sz w:val="1"/>
                <w:szCs w:val="1"/>
                <w:color w:val="auto"/>
              </w:rPr>
            </w:pPr>
          </w:p>
        </w:tc>
      </w:tr>
      <w:tr>
        <w:trPr>
          <w:trHeight w:val="158"/>
        </w:trPr>
        <w:tc>
          <w:tcPr>
            <w:tcW w:w="262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September 30, 2024</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32,247,744</w:t>
            </w:r>
          </w:p>
        </w:tc>
        <w:tc>
          <w:tcPr>
            <w:tcW w:w="60" w:type="dxa"/>
            <w:vAlign w:val="bottom"/>
          </w:tcPr>
          <w:p>
            <w:pPr>
              <w:spacing w:after="0"/>
              <w:rPr>
                <w:sz w:val="13"/>
                <w:szCs w:val="13"/>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322</w:t>
            </w:r>
          </w:p>
        </w:tc>
        <w:tc>
          <w:tcPr>
            <w:tcW w:w="4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tcPr>
          <w:p>
            <w:pPr>
              <w:spacing w:after="0"/>
              <w:rPr>
                <w:sz w:val="13"/>
                <w:szCs w:val="13"/>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(448 )</w:t>
            </w:r>
          </w:p>
        </w:tc>
        <w:tc>
          <w:tcPr>
            <w:tcW w:w="40" w:type="dxa"/>
            <w:vAlign w:val="bottom"/>
          </w:tcPr>
          <w:p>
            <w:pPr>
              <w:spacing w:after="0"/>
              <w:rPr>
                <w:sz w:val="13"/>
                <w:szCs w:val="13"/>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163,001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(178,132 )</w:t>
            </w: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
              <w:spacing w:after="0"/>
              <w:rPr>
                <w:sz w:val="20"/>
                <w:szCs w:val="20"/>
                <w:color w:val="auto"/>
              </w:rPr>
            </w:pPr>
            <w:r>
              <w:rPr>
                <w:rFonts w:ascii="Arial" w:cs="Arial" w:eastAsia="Arial" w:hAnsi="Arial"/>
                <w:sz w:val="12"/>
                <w:szCs w:val="12"/>
                <w:color w:val="auto"/>
              </w:rPr>
              <w:t>(15,257 )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7"/>
            <w:vMerge w:val="restart"/>
          </w:tcPr>
          <w:p>
            <w:pPr>
              <w:ind w:left="72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7"/>
            <w:vMerge w:val="restart"/>
          </w:tcPr>
          <w:p>
            <w:pPr>
              <w:ind w:left="660"/>
              <w:spacing w:after="0"/>
              <w:rPr>
                <w:sz w:val="20"/>
                <w:szCs w:val="20"/>
                <w:color w:val="auto"/>
              </w:rPr>
            </w:pPr>
            <w:r>
              <w:rPr>
                <w:rFonts w:ascii="Arial" w:cs="Arial" w:eastAsia="Arial" w:hAnsi="Arial"/>
                <w:sz w:val="10"/>
                <w:szCs w:val="10"/>
                <w:b w:val="1"/>
                <w:bCs w:val="1"/>
                <w:color w:val="auto"/>
              </w:rPr>
              <w:t>TREASURY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2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6"/>
              </w:rPr>
              <w:t>CAPITAL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2024</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rPr>
              <w:t>31,186,817</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23"/>
              <w:spacing w:after="0"/>
              <w:rPr>
                <w:sz w:val="20"/>
                <w:szCs w:val="20"/>
                <w:color w:val="auto"/>
              </w:rPr>
            </w:pPr>
            <w:r>
              <w:rPr>
                <w:rFonts w:ascii="Arial" w:cs="Arial" w:eastAsia="Arial" w:hAnsi="Arial"/>
                <w:sz w:val="12"/>
                <w:szCs w:val="12"/>
                <w:color w:val="auto"/>
              </w:rPr>
              <w:t>303</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157,659</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(167,486 )</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(9,972 )</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Options exercised</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46,296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64"/>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1,074</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1,074</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Restricted stock unit vesting</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330,780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110</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1"/>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Sale of common stock,</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gridSpan w:val="2"/>
          </w:tcPr>
          <w:p>
            <w:pPr>
              <w:ind w:left="120"/>
              <w:spacing w:after="0"/>
              <w:rPr>
                <w:sz w:val="20"/>
                <w:szCs w:val="20"/>
                <w:color w:val="auto"/>
              </w:rPr>
            </w:pPr>
            <w:r>
              <w:rPr>
                <w:rFonts w:ascii="Arial" w:cs="Arial" w:eastAsia="Arial" w:hAnsi="Arial"/>
                <w:sz w:val="12"/>
                <w:szCs w:val="12"/>
                <w:color w:val="auto"/>
              </w:rPr>
              <w:t>net of issuance costs</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683,851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4,067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4,074</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(10,646 )</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(10,646 )</w:t>
            </w:r>
          </w:p>
        </w:tc>
        <w:tc>
          <w:tcPr>
            <w:tcW w:w="0" w:type="dxa"/>
            <w:vAlign w:val="bottom"/>
          </w:tcPr>
          <w:p>
            <w:pPr>
              <w:spacing w:after="0"/>
              <w:rPr>
                <w:sz w:val="1"/>
                <w:szCs w:val="1"/>
                <w:color w:val="auto"/>
              </w:rPr>
            </w:pPr>
          </w:p>
        </w:tc>
      </w:tr>
      <w:tr>
        <w:trPr>
          <w:trHeight w:val="158"/>
        </w:trPr>
        <w:tc>
          <w:tcPr>
            <w:tcW w:w="262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September 30, 2024</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32,247,744</w:t>
            </w:r>
          </w:p>
        </w:tc>
        <w:tc>
          <w:tcPr>
            <w:tcW w:w="60" w:type="dxa"/>
            <w:vAlign w:val="bottom"/>
          </w:tcPr>
          <w:p>
            <w:pPr>
              <w:spacing w:after="0"/>
              <w:rPr>
                <w:sz w:val="13"/>
                <w:szCs w:val="13"/>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322</w:t>
            </w:r>
          </w:p>
        </w:tc>
        <w:tc>
          <w:tcPr>
            <w:tcW w:w="4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tcPr>
          <w:p>
            <w:pPr>
              <w:spacing w:after="0"/>
              <w:rPr>
                <w:sz w:val="13"/>
                <w:szCs w:val="13"/>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(448 )</w:t>
            </w:r>
          </w:p>
        </w:tc>
        <w:tc>
          <w:tcPr>
            <w:tcW w:w="40" w:type="dxa"/>
            <w:vAlign w:val="bottom"/>
          </w:tcPr>
          <w:p>
            <w:pPr>
              <w:spacing w:after="0"/>
              <w:rPr>
                <w:sz w:val="13"/>
                <w:szCs w:val="13"/>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163,001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(178,132 )</w:t>
            </w: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
              <w:spacing w:after="0"/>
              <w:rPr>
                <w:sz w:val="20"/>
                <w:szCs w:val="20"/>
                <w:color w:val="auto"/>
              </w:rPr>
            </w:pPr>
            <w:r>
              <w:rPr>
                <w:rFonts w:ascii="Arial" w:cs="Arial" w:eastAsia="Arial" w:hAnsi="Arial"/>
                <w:sz w:val="12"/>
                <w:szCs w:val="12"/>
                <w:color w:val="auto"/>
              </w:rPr>
              <w:t>(15,257 )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vMerge w:val="restart"/>
          </w:tcPr>
          <w:p>
            <w:pPr>
              <w:jc w:val="right"/>
              <w:ind w:right="743"/>
              <w:spacing w:after="0"/>
              <w:rPr>
                <w:sz w:val="20"/>
                <w:szCs w:val="20"/>
                <w:color w:val="auto"/>
              </w:rPr>
            </w:pPr>
            <w:r>
              <w:rPr>
                <w:rFonts w:ascii="Arial" w:cs="Arial" w:eastAsia="Arial" w:hAnsi="Arial"/>
                <w:sz w:val="10"/>
                <w:szCs w:val="10"/>
                <w:b w:val="1"/>
                <w:bCs w:val="1"/>
                <w:color w:val="auto"/>
              </w:rPr>
              <w:t>TREASURY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6"/>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6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6"/>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6"/>
              </w:rPr>
              <w:t>EQUITY</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2022</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146,961</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(99,089 )</w:t>
            </w:r>
          </w:p>
        </w:tc>
        <w:tc>
          <w:tcPr>
            <w:tcW w:w="20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47,714</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4"/>
              <w:spacing w:after="0"/>
              <w:rPr>
                <w:sz w:val="20"/>
                <w:szCs w:val="20"/>
                <w:color w:val="auto"/>
              </w:rPr>
            </w:pPr>
            <w:r>
              <w:rPr>
                <w:rFonts w:ascii="Arial" w:cs="Arial" w:eastAsia="Arial" w:hAnsi="Arial"/>
                <w:sz w:val="12"/>
                <w:szCs w:val="12"/>
                <w:color w:val="auto"/>
              </w:rPr>
              <w:t>2,278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2,278</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(126 )</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(126 )</w:t>
            </w: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(26,844 )</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(26,844 )</w:t>
            </w:r>
          </w:p>
        </w:tc>
        <w:tc>
          <w:tcPr>
            <w:tcW w:w="0" w:type="dxa"/>
            <w:vAlign w:val="bottom"/>
          </w:tcPr>
          <w:p>
            <w:pPr>
              <w:spacing w:after="0"/>
              <w:rPr>
                <w:sz w:val="1"/>
                <w:szCs w:val="1"/>
                <w:color w:val="auto"/>
              </w:rPr>
            </w:pPr>
          </w:p>
        </w:tc>
      </w:tr>
      <w:tr>
        <w:trPr>
          <w:trHeight w:val="198"/>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September 30, 2023</w:t>
            </w: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149,113</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(125,933 )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23,022</w:t>
            </w:r>
          </w:p>
        </w:tc>
        <w:tc>
          <w:tcPr>
            <w:tcW w:w="0" w:type="dxa"/>
            <w:vAlign w:val="bottom"/>
          </w:tcPr>
          <w:p>
            <w:pPr>
              <w:spacing w:after="0"/>
              <w:rPr>
                <w:sz w:val="1"/>
                <w:szCs w:val="1"/>
                <w:color w:val="auto"/>
              </w:rPr>
            </w:pPr>
          </w:p>
        </w:tc>
      </w:tr>
      <w:tr>
        <w:trPr>
          <w:trHeight w:val="407"/>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vMerge w:val="restart"/>
          </w:tcPr>
          <w:p>
            <w:pPr>
              <w:jc w:val="right"/>
              <w:ind w:right="743"/>
              <w:spacing w:after="0"/>
              <w:rPr>
                <w:sz w:val="20"/>
                <w:szCs w:val="20"/>
                <w:color w:val="auto"/>
              </w:rPr>
            </w:pPr>
            <w:r>
              <w:rPr>
                <w:rFonts w:ascii="Arial" w:cs="Arial" w:eastAsia="Arial" w:hAnsi="Arial"/>
                <w:sz w:val="10"/>
                <w:szCs w:val="10"/>
                <w:b w:val="1"/>
                <w:bCs w:val="1"/>
                <w:color w:val="auto"/>
              </w:rPr>
              <w:t>TREASURY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6"/>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6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6"/>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6"/>
              </w:rPr>
              <w:t>EQUITY</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2023</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148,427</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(117,498 )</w:t>
            </w:r>
          </w:p>
        </w:tc>
        <w:tc>
          <w:tcPr>
            <w:tcW w:w="20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30,771</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4"/>
              <w:spacing w:after="0"/>
              <w:rPr>
                <w:sz w:val="20"/>
                <w:szCs w:val="20"/>
                <w:color w:val="auto"/>
              </w:rPr>
            </w:pPr>
            <w:r>
              <w:rPr>
                <w:rFonts w:ascii="Arial" w:cs="Arial" w:eastAsia="Arial" w:hAnsi="Arial"/>
                <w:sz w:val="12"/>
                <w:szCs w:val="12"/>
                <w:color w:val="auto"/>
              </w:rPr>
              <w:t>735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735</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(49 )</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(49 )</w:t>
            </w: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(8,435 )</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(8,435 )</w:t>
            </w:r>
          </w:p>
        </w:tc>
        <w:tc>
          <w:tcPr>
            <w:tcW w:w="0" w:type="dxa"/>
            <w:vAlign w:val="bottom"/>
          </w:tcPr>
          <w:p>
            <w:pPr>
              <w:spacing w:after="0"/>
              <w:rPr>
                <w:sz w:val="1"/>
                <w:szCs w:val="1"/>
                <w:color w:val="auto"/>
              </w:rPr>
            </w:pPr>
          </w:p>
        </w:tc>
      </w:tr>
      <w:tr>
        <w:trPr>
          <w:trHeight w:val="198"/>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September 30, 2023</w:t>
            </w: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149,113</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(125,933 )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23,022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-3788410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-3788410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-3788410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-3788410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-3788410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-3788410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-2296795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-2296795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-2296795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-2296795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-2296795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-2296795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-1122045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-1104900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-1122045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-1104900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-1122045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-1104900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-1122045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-1104900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-1122045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-1104900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-1122045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-1104900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jc w:val="center"/>
        <w:ind w:right="4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(41,104 )</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(26,844 )</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Depreciation expense</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711</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Impairment of fixed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Loss on the sale of fixed assets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Non-cash stock compensation expense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4,068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2,152</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Non-cash lease expense</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177</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Non-cash interest expense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w:t>
            </w: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Change in fair value of warrant liability</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14,970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(1,449 )</w:t>
            </w:r>
          </w:p>
        </w:tc>
      </w:tr>
      <w:tr>
        <w:trPr>
          <w:trHeight w:val="230"/>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Accretion of debt discount</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w:t>
            </w:r>
          </w:p>
        </w:tc>
      </w:tr>
      <w:tr>
        <w:trPr>
          <w:trHeight w:val="229"/>
        </w:trPr>
        <w:tc>
          <w:tcPr>
            <w:tcW w:w="776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(230 )</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(1,247 )</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Deferred income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Lease liability</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(343 )</w:t>
            </w:r>
          </w:p>
        </w:tc>
      </w:tr>
      <w:tr>
        <w:trPr>
          <w:trHeight w:val="223"/>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(21,209 )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(26,822 )</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Purchase of fixed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(410 )</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Proceeds from the sale of fixed assets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w:t>
            </w:r>
          </w:p>
        </w:tc>
      </w:tr>
      <w:tr>
        <w:trPr>
          <w:trHeight w:val="223"/>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(253 )</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Proceeds from option exercises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60" w:type="dxa"/>
            <w:vAlign w:val="bottom"/>
          </w:tcPr>
          <w:p>
            <w:pPr>
              <w:ind w:left="780"/>
              <w:spacing w:after="0" w:line="197" w:lineRule="exact"/>
              <w:rPr>
                <w:sz w:val="20"/>
                <w:szCs w:val="20"/>
                <w:color w:val="auto"/>
              </w:rPr>
            </w:pPr>
            <w:r>
              <w:rPr>
                <w:rFonts w:ascii="Arial" w:cs="Arial" w:eastAsia="Arial" w:hAnsi="Arial"/>
                <w:sz w:val="18"/>
                <w:szCs w:val="18"/>
                <w:color w:val="auto"/>
              </w:rPr>
              <w:t>Proceeds from sale of common stock,</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7760" w:type="dxa"/>
            <w:vAlign w:val="bottom"/>
          </w:tcPr>
          <w:p>
            <w:pPr>
              <w:ind w:left="920"/>
              <w:spacing w:after="0"/>
              <w:rPr>
                <w:sz w:val="20"/>
                <w:szCs w:val="20"/>
                <w:color w:val="auto"/>
              </w:rPr>
            </w:pPr>
            <w:r>
              <w:rPr>
                <w:rFonts w:ascii="Arial" w:cs="Arial" w:eastAsia="Arial" w:hAnsi="Arial"/>
                <w:sz w:val="18"/>
                <w:szCs w:val="18"/>
                <w:color w:val="auto"/>
              </w:rPr>
              <w:t>net of issuance costs</w:t>
            </w:r>
          </w:p>
        </w:tc>
        <w:tc>
          <w:tcPr>
            <w:tcW w:w="9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7,715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Principal payments on term loan</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(6,667 )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2,367</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(18,855 )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(27,075 )</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35,679</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70,324</w:t>
            </w:r>
          </w:p>
        </w:tc>
      </w:tr>
      <w:tr>
        <w:trPr>
          <w:trHeight w:val="26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shd w:val="clear" w:color="auto" w:fill="CFF0FC"/>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16,824</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43,249</w:t>
            </w:r>
          </w:p>
        </w:tc>
      </w:tr>
      <w:tr>
        <w:trPr>
          <w:trHeight w:val="210"/>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FF0FC"/>
          </w:tcPr>
          <w:p>
            <w:pPr>
              <w:jc w:val="right"/>
              <w:ind w:right="73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1,462</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1,592</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Capital expenditures in accounts payable and accrued expenses</w:t>
            </w:r>
          </w:p>
        </w:tc>
        <w:tc>
          <w:tcPr>
            <w:tcW w:w="940" w:type="dxa"/>
            <w:vAlign w:val="bottom"/>
            <w:shd w:val="clear" w:color="auto" w:fill="CFF0FC"/>
          </w:tcPr>
          <w:p>
            <w:pPr>
              <w:jc w:val="right"/>
              <w:ind w:right="73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-2536825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-1936750</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-1216660</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-608330</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-591185</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 w:name="page12"/>
    <w:bookmarkEnd w:id="11"/>
    <w:p>
      <w:pPr>
        <w:ind w:left="430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7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borrowings. The Company has incurred recurring losses since its inception, including a net loss of $41.1 million and $26.8 million for the nine</w:t>
      </w:r>
    </w:p>
    <w:p>
      <w:pPr>
        <w:spacing w:after="0" w:line="232" w:lineRule="auto"/>
        <w:rPr>
          <w:sz w:val="20"/>
          <w:szCs w:val="20"/>
          <w:color w:val="auto"/>
        </w:rPr>
      </w:pPr>
      <w:r>
        <w:rPr>
          <w:rFonts w:ascii="Arial" w:cs="Arial" w:eastAsia="Arial" w:hAnsi="Arial"/>
          <w:sz w:val="17"/>
          <w:szCs w:val="17"/>
          <w:color w:val="auto"/>
        </w:rPr>
        <w:t>months ended September 30, 2024 and 2023, respectively. In addition, as of September 30, 2024, the Company had an accumulated deficit of</w:t>
      </w:r>
    </w:p>
    <w:p>
      <w:pPr>
        <w:spacing w:after="0"/>
        <w:rPr>
          <w:sz w:val="20"/>
          <w:szCs w:val="20"/>
          <w:color w:val="auto"/>
        </w:rPr>
      </w:pPr>
      <w:r>
        <w:rPr>
          <w:rFonts w:ascii="Arial" w:cs="Arial" w:eastAsia="Arial" w:hAnsi="Arial"/>
          <w:sz w:val="17"/>
          <w:szCs w:val="17"/>
          <w:color w:val="auto"/>
        </w:rPr>
        <w:t>$178.1 million. The Company expects to continue to generate operating losses and negative cash flows from operations for the foreseeable future.</w:t>
      </w:r>
    </w:p>
    <w:p>
      <w:pPr>
        <w:spacing w:after="0" w:line="86"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Shelf) with the U.S. Securities and Exchange Commission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September 30, 2024, the Company has sold and issued 1,268,741 shares of common stock under the ATM Program, with total net proceeds of $7.7 million. Subsequent to September 30, 2024 and through November 4, 2024, the Company has sold and issued 350,401 additional shares of common stock under the ATM Program, with total net proceeds of $2.0 million.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Company’s cash and cash equivalents were $16.6 million as of September 30, 2024. In accordance with the Financial Accounting Standards Board (FASB) Accounting Standards Codification (ASC), 205-40, Presentation of Financial Statements - Going Concern, management is required to assess the Company’s ability to continue as a going concern for the one-year look forward period following the date that the condensed consolidated financial statements are issued. The Company expects to continue to generate operating losses and negative cash flows from operations. Based on these conditions, the Company has determined that substantial doubt exists regarding its ability to continue as a going concern for the one-year period following the date these condensed consolidated financial statements are issued. To sustain its future operations beyond such one-year period, the Company will require additional funding. The Company expects to finance its cash needs through a combination of public or private equity or debt financings, government grants, and other sources, which may include collaborations, strategic alliances and licensing arrangements with third parties. There is no assurance that the Company will be successful in obtaining sufficient funding on acceptable terms, if at all, and the Company could be forced to delay, reduce, or eliminate some or all of its research, clinical trials, product development or future commercialization efforts, which could materially adversely affect its business prospects or its ability to continue as a going concern.</w:t>
      </w:r>
    </w:p>
    <w:p>
      <w:pPr>
        <w:spacing w:after="0" w:line="7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accompanying condensed consolidated financial statements have been prepared in accordance with accounting standards set by the FASB.</w:t>
      </w:r>
      <w:r>
        <w:rPr>
          <w:rFonts w:ascii="Arial" w:cs="Arial" w:eastAsia="Arial" w:hAnsi="Arial"/>
          <w:sz w:val="18"/>
          <w:szCs w:val="18"/>
          <w:color w:val="auto"/>
        </w:rPr>
        <w:t xml:space="preserve"> </w:t>
      </w:r>
      <w:r>
        <w:rPr>
          <w:rFonts w:ascii="Arial" w:cs="Arial" w:eastAsia="Arial" w:hAnsi="Arial"/>
          <w:sz w:val="17"/>
          <w:szCs w:val="17"/>
          <w:color w:val="auto"/>
        </w:rPr>
        <w:t>The FASB sets generally accepted accounting principles (GAAP) that the Company follows to ensure its financial condition, results of operations, and cash flows are consistently reported. References to GAAP issued by the FASB in these notes to the condensed consolidated financial</w:t>
      </w:r>
    </w:p>
    <w:p>
      <w:pPr>
        <w:spacing w:after="0" w:line="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statements are to the FASB ASC. The Company has reclassified certain amounts relating to its prior period results to conform to its current period presentation.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8"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condensed consolidated financial statements include the accounts of Candel Therapeutics, Inc. and its wholly owned subsidiary Candel Therapeutics Securities Corporation. All intercompany transactions and balances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accompanying condensed consolidated balance sheet as of September 30, 2024, the condensed consolidated statements of operations for the three and nine months ended September 30, 2024 and 2023, the condensed consolidated statements of stockholders’ equity (deficit) for the three and nine months ended September 30, 2024 and 2023, the condensed consolidated statements of cash flows for the nine months ended September 30, 2024 and 2023,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unaudited condensed consolidated financial statements should be read in conjunction with the Company’s audited consolidated financial statements and notes thereto for the year ended December 31, 2023 included in the Company’s Annual Report on Form 10-K on file with the SEC.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preparation of the Company’s condensed consolidated financial statements in conformity with GAAP requires management to make estimates</w:t>
      </w:r>
      <w:r>
        <w:rPr>
          <w:rFonts w:ascii="Arial" w:cs="Arial" w:eastAsia="Arial" w:hAnsi="Arial"/>
          <w:sz w:val="18"/>
          <w:szCs w:val="18"/>
          <w:color w:val="auto"/>
        </w:rPr>
        <w:t xml:space="preserve"> </w:t>
      </w:r>
      <w:r>
        <w:rPr>
          <w:rFonts w:ascii="Arial" w:cs="Arial" w:eastAsia="Arial" w:hAnsi="Arial"/>
          <w:sz w:val="17"/>
          <w:szCs w:val="17"/>
          <w:color w:val="auto"/>
        </w:rPr>
        <w:t>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 had $0.3 million of restricted cash as of both September 30, 2024 and December 31, 2023, which represents cash held as a security deposit under the terms of the Company’s Needham, Massachusetts facility lease.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ind w:right="120"/>
        <w:spacing w:after="0" w:line="249" w:lineRule="auto"/>
        <w:rPr>
          <w:sz w:val="20"/>
          <w:szCs w:val="20"/>
          <w:color w:val="auto"/>
        </w:rPr>
      </w:pPr>
      <w:r>
        <w:rPr>
          <w:rFonts w:ascii="Arial" w:cs="Arial" w:eastAsia="Arial" w:hAnsi="Arial"/>
          <w:sz w:val="17"/>
          <w:szCs w:val="17"/>
          <w:color w:val="auto"/>
        </w:rPr>
        <w:t>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condensed consolidated financial statements and related disclosures.</w:t>
      </w:r>
    </w:p>
    <w:p>
      <w:pPr>
        <w:spacing w:after="0" w:line="6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November 2023, the FASB issued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 periods beginning after December 15, 2023. Early adoption is permitted. The Company is currently evaluating the potential impact that the adoption of ASU 2023-07 may have on its condensed consolidated financial statements and related disclosures.</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condensed consolidated financial statements and related disclosures.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SEPTEMBER 30, 2024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15,886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15,886</w:t>
            </w:r>
          </w:p>
        </w:tc>
      </w:tr>
      <w:tr>
        <w:trPr>
          <w:trHeight w:val="263"/>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15,886</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15,886</w:t>
            </w:r>
          </w:p>
        </w:tc>
      </w:tr>
      <w:tr>
        <w:trPr>
          <w:trHeight w:val="349"/>
        </w:trPr>
        <w:tc>
          <w:tcPr>
            <w:tcW w:w="5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DECEMBER 31, 2023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916</w:t>
            </w:r>
          </w:p>
        </w:tc>
      </w:tr>
      <w:tr>
        <w:trPr>
          <w:trHeight w:val="263"/>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916</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-984885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-967740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-984885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-967740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-984885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-967740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79"/>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9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79"/>
              <w:spacing w:after="0"/>
              <w:rPr>
                <w:sz w:val="20"/>
                <w:szCs w:val="20"/>
                <w:color w:val="auto"/>
              </w:rPr>
            </w:pPr>
            <w:r>
              <w:rPr>
                <w:rFonts w:ascii="Arial" w:cs="Arial" w:eastAsia="Arial" w:hAnsi="Arial"/>
                <w:sz w:val="14"/>
                <w:szCs w:val="14"/>
                <w:b w:val="1"/>
                <w:bCs w:val="1"/>
                <w:color w:val="auto"/>
              </w:rPr>
              <w:t>WARRANT</w:t>
            </w:r>
          </w:p>
        </w:tc>
      </w:tr>
      <w:tr>
        <w:trPr>
          <w:trHeight w:val="185"/>
        </w:trPr>
        <w:tc>
          <w:tcPr>
            <w:tcW w:w="9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916</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14,970</w:t>
            </w:r>
          </w:p>
        </w:tc>
      </w:tr>
      <w:tr>
        <w:trPr>
          <w:trHeight w:val="263"/>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2024</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15,886</w:t>
            </w:r>
          </w:p>
        </w:tc>
      </w:tr>
    </w:tbl>
    <w:p>
      <w:pPr>
        <w:spacing w:after="0" w:line="86"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The carrying value of cash equivalents (considered as Level 1 measurements) approximates the fair value due to the short-term nature of these assets.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Fixed Assets,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Fixed assets, net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1,219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18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730</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Networking and computer equipment</w:t>
            </w:r>
          </w:p>
        </w:tc>
        <w:tc>
          <w:tcPr>
            <w:tcW w:w="18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88</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3,109</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3,109</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fixed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5,311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5,295</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(2,089 )</w:t>
            </w:r>
          </w:p>
        </w:tc>
      </w:tr>
      <w:tr>
        <w:trPr>
          <w:trHeight w:val="223"/>
        </w:trPr>
        <w:tc>
          <w:tcPr>
            <w:tcW w:w="7720" w:type="dxa"/>
            <w:vAlign w:val="bottom"/>
          </w:tcPr>
          <w:p>
            <w:pPr>
              <w:ind w:left="280"/>
              <w:spacing w:after="0"/>
              <w:rPr>
                <w:sz w:val="20"/>
                <w:szCs w:val="20"/>
                <w:color w:val="auto"/>
              </w:rPr>
            </w:pPr>
            <w:r>
              <w:rPr>
                <w:rFonts w:ascii="Arial" w:cs="Arial" w:eastAsia="Arial" w:hAnsi="Arial"/>
                <w:sz w:val="18"/>
                <w:szCs w:val="18"/>
                <w:b w:val="1"/>
                <w:bCs w:val="1"/>
                <w:color w:val="auto"/>
              </w:rPr>
              <w:t>Fixed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2,477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3,206</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-479425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$0.2 million and $0.7 million for each of the three and nine months ended September 30, 2024 and 2023,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 related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2,338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2,017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Third-party research and development expenses</w:t>
            </w:r>
          </w:p>
        </w:tc>
        <w:tc>
          <w:tcPr>
            <w:tcW w:w="16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1,501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1,811</w:t>
            </w: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730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528</w:t>
            </w:r>
          </w:p>
        </w:tc>
      </w:tr>
      <w:tr>
        <w:trPr>
          <w:trHeight w:val="223"/>
        </w:trPr>
        <w:tc>
          <w:tcPr>
            <w:tcW w:w="77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4,569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4,356</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-179705</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7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During the three and nine months ended September 30, 2024, the Company recorded interest expense relating to the Loan Agreement of $0.5 million and $1.6 million, respectively. During the three and nine months ended September 30, 2023, the Company recorded interest expense relating to the Loan Agreement of $0.6 million and $1.8 million, respectively. The weighted average effective interest rate as of September 30, 2024 was 11.69%.</w:t>
      </w:r>
    </w:p>
    <w:p>
      <w:pPr>
        <w:spacing w:after="0" w:line="69"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 (remaining three months)</w:t>
            </w:r>
          </w:p>
        </w:tc>
        <w:tc>
          <w:tcPr>
            <w:tcW w:w="138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2025</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2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3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00" w:type="dxa"/>
            <w:vAlign w:val="bottom"/>
          </w:tcPr>
          <w:p>
            <w:pPr>
              <w:ind w:left="280"/>
              <w:spacing w:after="0"/>
              <w:rPr>
                <w:sz w:val="20"/>
                <w:szCs w:val="20"/>
                <w:color w:val="auto"/>
              </w:rPr>
            </w:pPr>
            <w:r>
              <w:rPr>
                <w:rFonts w:ascii="Arial" w:cs="Arial" w:eastAsia="Arial" w:hAnsi="Arial"/>
                <w:sz w:val="18"/>
                <w:szCs w:val="18"/>
                <w:color w:val="auto"/>
              </w:rPr>
              <w:t>Total principal</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19"/>
                <w:szCs w:val="19"/>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Final payment fee</w:t>
            </w:r>
          </w:p>
        </w:tc>
        <w:tc>
          <w:tcPr>
            <w:tcW w:w="13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Less: debt discount</w:t>
            </w:r>
          </w:p>
        </w:tc>
        <w:tc>
          <w:tcPr>
            <w:tcW w:w="138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(989 )</w:t>
            </w:r>
          </w:p>
        </w:tc>
      </w:tr>
      <w:tr>
        <w:trPr>
          <w:trHeight w:val="23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Accretion of debt discount</w:t>
            </w:r>
          </w:p>
        </w:tc>
        <w:tc>
          <w:tcPr>
            <w:tcW w:w="13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tcPr>
          <w:p>
            <w:pPr>
              <w:spacing w:after="0"/>
              <w:rPr>
                <w:sz w:val="19"/>
                <w:szCs w:val="19"/>
                <w:color w:val="auto"/>
              </w:rPr>
            </w:pPr>
          </w:p>
        </w:tc>
      </w:tr>
      <w:tr>
        <w:trPr>
          <w:trHeight w:val="230"/>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13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(9,851 )</w:t>
            </w:r>
          </w:p>
        </w:tc>
      </w:tr>
      <w:tr>
        <w:trPr>
          <w:trHeight w:val="223"/>
        </w:trPr>
        <w:tc>
          <w:tcPr>
            <w:tcW w:w="7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portion</w:t>
            </w: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Borders>
              <w:top w:val="single" w:sz="8" w:color="CFF0FC"/>
            </w:tcBorders>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Periphagen Note</w:t>
      </w:r>
    </w:p>
    <w:p>
      <w:pPr>
        <w:spacing w:after="0" w:line="10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December 9, 2019, the Company entered into a series of asset purchase agreements with Periphagen, Inc. (Periphagen), a biopharmaceutical</w:t>
      </w:r>
      <w:r>
        <w:rPr>
          <w:rFonts w:ascii="Arial" w:cs="Arial" w:eastAsia="Arial" w:hAnsi="Arial"/>
          <w:sz w:val="18"/>
          <w:szCs w:val="18"/>
          <w:color w:val="auto"/>
        </w:rPr>
        <w:t xml:space="preserve"> </w:t>
      </w:r>
      <w:r>
        <w:rPr>
          <w:rFonts w:ascii="Arial" w:cs="Arial" w:eastAsia="Arial" w:hAnsi="Arial"/>
          <w:sz w:val="17"/>
          <w:szCs w:val="17"/>
          <w:color w:val="auto"/>
        </w:rPr>
        <w:t>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September 30, 2024, the carrying value of the note is $0.8 million. The carrying value of the note approximates fair value. Upon maturity, the Company will pay Periphagen $1.4 million for the outstanding balance and accrued interest due.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Lease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rPr>
          <w:sz w:val="20"/>
          <w:szCs w:val="20"/>
          <w:color w:val="auto"/>
        </w:rPr>
      </w:pPr>
      <w:r>
        <w:rPr>
          <w:rFonts w:ascii="Arial" w:cs="Arial" w:eastAsia="Arial" w:hAnsi="Arial"/>
          <w:sz w:val="17"/>
          <w:szCs w:val="17"/>
          <w:color w:val="auto"/>
        </w:rPr>
        <w:t>The lease term ends on August 31, 2026.</w:t>
      </w:r>
    </w:p>
    <w:p>
      <w:pPr>
        <w:spacing w:after="0" w:line="8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For the three and nine months ended September 30, 2024, the Company recorded $90,000 and $0.3 million, respectively, of operating lease cost, and for the three and nine months ended September 30, 2024, the Company recorded $44,000 and $0.1 million, respectively, of variable lease cost. The total lease expense for each of the three and nine months ended September 30, 2024 was $0.1 million and $0.4 million, respectively.</w:t>
      </w:r>
    </w:p>
    <w:p>
      <w:pPr>
        <w:spacing w:after="0" w:line="6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For the three and nine months ended September 30, 2023, the Company recorded $90,000 and $0.3 million, respectively, of operating lease cost, and for the three and nine months ended September 30, 2023, the Company recorded $35,000 and $0.1 million, respectively, of variable lease cost. The total lease expense for the three and nine months ended September 30, 2023 was $0.1 million and $0.4 million, respectively.</w:t>
      </w:r>
    </w:p>
    <w:p>
      <w:pPr>
        <w:spacing w:after="0" w:line="67"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Cash paid for amounts included in the lease liability for each of the three and nine months ended September 30, 2024 and 2023 was $0.1 million and $0.4 million, respectively.</w:t>
      </w:r>
    </w:p>
    <w:p>
      <w:pPr>
        <w:spacing w:after="0" w:line="186" w:lineRule="exact"/>
        <w:rPr>
          <w:sz w:val="20"/>
          <w:szCs w:val="20"/>
          <w:color w:val="auto"/>
        </w:rPr>
      </w:pPr>
    </w:p>
    <w:tbl>
      <w:tblPr>
        <w:tblLayout w:type="fixed"/>
        <w:tblInd w:w="12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3"/>
          </w:tcPr>
          <w:p>
            <w:pPr>
              <w:jc w:val="center"/>
              <w:ind w:left="661"/>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44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Other Information</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cash flows used for operating leases</w:t>
            </w: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gridSpan w:val="2"/>
          </w:tcPr>
          <w:p>
            <w:pPr>
              <w:ind w:left="60"/>
              <w:spacing w:after="0"/>
              <w:rPr>
                <w:sz w:val="20"/>
                <w:szCs w:val="20"/>
                <w:color w:val="auto"/>
              </w:rPr>
            </w:pPr>
            <w:r>
              <w:rPr>
                <w:rFonts w:ascii="Arial" w:cs="Arial" w:eastAsia="Arial" w:hAnsi="Arial"/>
                <w:sz w:val="17"/>
                <w:szCs w:val="17"/>
                <w:color w:val="auto"/>
              </w:rPr>
              <w:t>Weighted-average remaining lease term (years)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gridSpan w:val="2"/>
          </w:tcPr>
          <w:p>
            <w:pPr>
              <w:ind w:left="60"/>
              <w:spacing w:after="0"/>
              <w:rPr>
                <w:sz w:val="20"/>
                <w:szCs w:val="20"/>
                <w:color w:val="auto"/>
              </w:rPr>
            </w:pPr>
            <w:r>
              <w:rPr>
                <w:rFonts w:ascii="Arial" w:cs="Arial" w:eastAsia="Arial" w:hAnsi="Arial"/>
                <w:sz w:val="17"/>
                <w:szCs w:val="17"/>
                <w:color w:val="auto"/>
              </w:rPr>
              <w:t>Weighted-average incremental borrowing rate</w:t>
            </w:r>
          </w:p>
        </w:tc>
        <w:tc>
          <w:tcPr>
            <w:tcW w:w="44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7.02 %</w:t>
            </w:r>
          </w:p>
        </w:tc>
        <w:tc>
          <w:tcPr>
            <w:tcW w:w="6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7.02 %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-136525</wp:posOffset>
            </wp:positionV>
            <wp:extent cx="563181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31815" cy="13716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future lease payments under non-cancelable leases at September 30, 2024,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FF0FC"/>
          </w:tcPr>
          <w:p>
            <w:pPr>
              <w:jc w:val="right"/>
              <w:ind w:right="7775"/>
              <w:spacing w:after="0"/>
              <w:rPr>
                <w:sz w:val="20"/>
                <w:szCs w:val="20"/>
                <w:color w:val="auto"/>
              </w:rPr>
            </w:pPr>
            <w:r>
              <w:rPr>
                <w:rFonts w:ascii="Arial" w:cs="Arial" w:eastAsia="Arial" w:hAnsi="Arial"/>
                <w:sz w:val="17"/>
                <w:szCs w:val="17"/>
                <w:color w:val="auto"/>
              </w:rPr>
              <w:t>2024</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jc w:val="right"/>
              <w:ind w:right="7775"/>
              <w:spacing w:after="0"/>
              <w:rPr>
                <w:sz w:val="20"/>
                <w:szCs w:val="20"/>
                <w:color w:val="auto"/>
              </w:rPr>
            </w:pPr>
            <w:r>
              <w:rPr>
                <w:rFonts w:ascii="Arial" w:cs="Arial" w:eastAsia="Arial" w:hAnsi="Arial"/>
                <w:sz w:val="17"/>
                <w:szCs w:val="17"/>
                <w:color w:val="auto"/>
              </w:rPr>
              <w:t>2025</w:t>
            </w:r>
          </w:p>
        </w:tc>
        <w:tc>
          <w:tcPr>
            <w:tcW w:w="1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18"/>
                <w:szCs w:val="18"/>
                <w:color w:val="auto"/>
              </w:rPr>
            </w:pPr>
          </w:p>
        </w:tc>
      </w:tr>
      <w:tr>
        <w:trPr>
          <w:trHeight w:val="216"/>
        </w:trPr>
        <w:tc>
          <w:tcPr>
            <w:tcW w:w="8300" w:type="dxa"/>
            <w:vAlign w:val="bottom"/>
            <w:tcBorders>
              <w:bottom w:val="single" w:sz="8" w:color="CFF0FC"/>
            </w:tcBorders>
            <w:shd w:val="clear" w:color="auto" w:fill="CFF0FC"/>
          </w:tcPr>
          <w:p>
            <w:pPr>
              <w:jc w:val="right"/>
              <w:ind w:right="7775"/>
              <w:spacing w:after="0"/>
              <w:rPr>
                <w:sz w:val="20"/>
                <w:szCs w:val="20"/>
                <w:color w:val="auto"/>
              </w:rPr>
            </w:pPr>
            <w:r>
              <w:rPr>
                <w:rFonts w:ascii="Arial" w:cs="Arial" w:eastAsia="Arial" w:hAnsi="Arial"/>
                <w:sz w:val="17"/>
                <w:szCs w:val="17"/>
                <w:color w:val="auto"/>
              </w:rPr>
              <w:t>2026</w:t>
            </w:r>
          </w:p>
        </w:tc>
        <w:tc>
          <w:tcPr>
            <w:tcW w:w="1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300" w:type="dxa"/>
            <w:vAlign w:val="bottom"/>
          </w:tcPr>
          <w:p>
            <w:pPr>
              <w:jc w:val="right"/>
              <w:ind w:right="5815"/>
              <w:spacing w:after="0"/>
              <w:rPr>
                <w:sz w:val="20"/>
                <w:szCs w:val="20"/>
                <w:color w:val="auto"/>
              </w:rPr>
            </w:pPr>
            <w:r>
              <w:rPr>
                <w:rFonts w:ascii="Arial" w:cs="Arial" w:eastAsia="Arial" w:hAnsi="Arial"/>
                <w:sz w:val="17"/>
                <w:szCs w:val="17"/>
                <w:color w:val="auto"/>
              </w:rPr>
              <w:t>Total future lease payments</w:t>
            </w:r>
          </w:p>
        </w:tc>
        <w:tc>
          <w:tcPr>
            <w:tcW w:w="1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1,180</w:t>
            </w:r>
          </w:p>
        </w:tc>
        <w:tc>
          <w:tcPr>
            <w:tcW w:w="100" w:type="dxa"/>
            <w:vAlign w:val="bottom"/>
          </w:tcPr>
          <w:p>
            <w:pPr>
              <w:spacing w:after="0"/>
              <w:rPr>
                <w:sz w:val="18"/>
                <w:szCs w:val="18"/>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imputed interest</w:t>
            </w:r>
          </w:p>
        </w:tc>
        <w:tc>
          <w:tcPr>
            <w:tcW w:w="1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(73 )</w:t>
            </w:r>
          </w:p>
        </w:tc>
      </w:tr>
      <w:tr>
        <w:trPr>
          <w:trHeight w:val="209"/>
        </w:trPr>
        <w:tc>
          <w:tcPr>
            <w:tcW w:w="830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Total lease liability</w:t>
            </w:r>
          </w:p>
        </w:tc>
        <w:tc>
          <w:tcPr>
            <w:tcW w:w="1240" w:type="dxa"/>
            <w:vAlign w:val="bottom"/>
            <w:tcBorders>
              <w:top w:val="single" w:sz="8" w:color="auto"/>
              <w:bottom w:val="single" w:sz="8" w:color="auto"/>
            </w:tcBorders>
          </w:tcPr>
          <w:p>
            <w:pPr>
              <w:jc w:val="right"/>
              <w:ind w:right="1055"/>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1,107</w:t>
            </w:r>
          </w:p>
        </w:tc>
        <w:tc>
          <w:tcPr>
            <w:tcW w:w="100" w:type="dxa"/>
            <w:vAlign w:val="bottom"/>
            <w:tcBorders>
              <w:top w:val="single" w:sz="8" w:color="CFF0FC"/>
            </w:tcBorders>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are voting and dividends may be paid when, as and if declared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120" w:type="dxa"/>
            <w:vAlign w:val="bottom"/>
          </w:tcPr>
          <w:p>
            <w:pPr>
              <w:jc w:val="right"/>
              <w:ind w:right="41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780" w:type="dxa"/>
            <w:vAlign w:val="bottom"/>
          </w:tcPr>
          <w:p>
            <w:pPr>
              <w:spacing w:after="0"/>
              <w:rPr>
                <w:sz w:val="17"/>
                <w:szCs w:val="17"/>
                <w:color w:val="auto"/>
              </w:rPr>
            </w:pPr>
          </w:p>
        </w:tc>
        <w:tc>
          <w:tcPr>
            <w:tcW w:w="2120" w:type="dxa"/>
            <w:vAlign w:val="bottom"/>
          </w:tcPr>
          <w:p>
            <w:pPr>
              <w:jc w:val="right"/>
              <w:ind w:right="818"/>
              <w:spacing w:after="0"/>
              <w:rPr>
                <w:sz w:val="20"/>
                <w:szCs w:val="20"/>
                <w:color w:val="auto"/>
              </w:rPr>
            </w:pPr>
            <w:r>
              <w:rPr>
                <w:rFonts w:ascii="Arial" w:cs="Arial" w:eastAsia="Arial" w:hAnsi="Arial"/>
                <w:sz w:val="14"/>
                <w:szCs w:val="14"/>
                <w:b w:val="1"/>
                <w:bCs w:val="1"/>
                <w:color w:val="auto"/>
              </w:rPr>
              <w:t>2024</w:t>
            </w:r>
          </w:p>
        </w:tc>
        <w:tc>
          <w:tcPr>
            <w:tcW w:w="224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r>
      <w:tr>
        <w:trPr>
          <w:trHeight w:val="178"/>
        </w:trPr>
        <w:tc>
          <w:tcPr>
            <w:tcW w:w="678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 options outstanding</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4,601,955</w:t>
            </w:r>
          </w:p>
        </w:tc>
        <w:tc>
          <w:tcPr>
            <w:tcW w:w="2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5,666,621</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Unvested restricted stock</w:t>
            </w:r>
          </w:p>
        </w:tc>
        <w:tc>
          <w:tcPr>
            <w:tcW w:w="2120" w:type="dxa"/>
            <w:vAlign w:val="bottom"/>
          </w:tcPr>
          <w:p>
            <w:pPr>
              <w:jc w:val="right"/>
              <w:spacing w:after="0"/>
              <w:rPr>
                <w:sz w:val="20"/>
                <w:szCs w:val="20"/>
                <w:color w:val="auto"/>
              </w:rPr>
            </w:pPr>
            <w:r>
              <w:rPr>
                <w:rFonts w:ascii="Arial" w:cs="Arial" w:eastAsia="Arial" w:hAnsi="Arial"/>
                <w:sz w:val="17"/>
                <w:szCs w:val="17"/>
                <w:color w:val="auto"/>
              </w:rPr>
              <w:t>1,233,032</w:t>
            </w:r>
          </w:p>
        </w:tc>
        <w:tc>
          <w:tcPr>
            <w:tcW w:w="2240" w:type="dxa"/>
            <w:vAlign w:val="bottom"/>
            <w:gridSpan w:val="3"/>
          </w:tcPr>
          <w:p>
            <w:pPr>
              <w:jc w:val="right"/>
              <w:spacing w:after="0"/>
              <w:rPr>
                <w:sz w:val="20"/>
                <w:szCs w:val="20"/>
                <w:color w:val="auto"/>
              </w:rPr>
            </w:pPr>
            <w:r>
              <w:rPr>
                <w:rFonts w:ascii="Arial" w:cs="Arial" w:eastAsia="Arial" w:hAnsi="Arial"/>
                <w:sz w:val="17"/>
                <w:szCs w:val="17"/>
                <w:color w:val="auto"/>
              </w:rPr>
              <w:t>2,526,432</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Shares available for future grant under stock option plan</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2,008,379</w:t>
            </w:r>
          </w:p>
        </w:tc>
        <w:tc>
          <w:tcPr>
            <w:tcW w:w="2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252,053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Warrants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200" w:type="dxa"/>
            <w:vAlign w:val="bottom"/>
            <w:gridSpan w:val="2"/>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15,351,074</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15,952,814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As of September 30, 2024, the Company has sold and issued 1,268,741 shares of common stock under the ATM Program, with total net proceeds of $7.7 million. Subsequent to September 30, 2024 and through November 4, 2024, the Company has sold and issued 350,401 additional shares of common stock under the ATM Program, with total net proceeds of $2.0 million.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Warrants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September 30, 2024 and December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259"/>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SUBJECT TO</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259"/>
              <w:spacing w:after="0"/>
              <w:rPr>
                <w:sz w:val="20"/>
                <w:szCs w:val="20"/>
                <w:color w:val="auto"/>
              </w:rPr>
            </w:pPr>
            <w:r>
              <w:rPr>
                <w:rFonts w:ascii="Arial" w:cs="Arial" w:eastAsia="Arial" w:hAnsi="Arial"/>
                <w:sz w:val="14"/>
                <w:szCs w:val="14"/>
                <w:b w:val="1"/>
                <w:bCs w:val="1"/>
                <w:color w:val="auto"/>
              </w:rPr>
              <w:t>PRICE PER</w:t>
            </w:r>
          </w:p>
        </w:tc>
        <w:tc>
          <w:tcPr>
            <w:tcW w:w="120" w:type="dxa"/>
            <w:vAlign w:val="bottom"/>
          </w:tcPr>
          <w:p>
            <w:pPr>
              <w:spacing w:after="0"/>
              <w:rPr>
                <w:sz w:val="14"/>
                <w:szCs w:val="14"/>
                <w:color w:val="auto"/>
              </w:rPr>
            </w:pPr>
          </w:p>
        </w:tc>
        <w:tc>
          <w:tcPr>
            <w:tcW w:w="1520" w:type="dxa"/>
            <w:vAlign w:val="bottom"/>
          </w:tcPr>
          <w:p>
            <w:pPr>
              <w:jc w:val="right"/>
              <w:ind w:right="237"/>
              <w:spacing w:after="0"/>
              <w:rPr>
                <w:sz w:val="20"/>
                <w:szCs w:val="20"/>
                <w:color w:val="auto"/>
              </w:rPr>
            </w:pPr>
            <w:r>
              <w:rPr>
                <w:rFonts w:ascii="Arial" w:cs="Arial" w:eastAsia="Arial" w:hAnsi="Arial"/>
                <w:sz w:val="14"/>
                <w:szCs w:val="14"/>
                <w:b w:val="1"/>
                <w:bCs w:val="1"/>
                <w:color w:val="auto"/>
              </w:rPr>
              <w:t>EXPIRATION</w:t>
            </w:r>
          </w:p>
        </w:tc>
      </w:tr>
      <w:tr>
        <w:trPr>
          <w:trHeight w:val="18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DATES</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Warrants</w:t>
            </w:r>
          </w:p>
        </w:tc>
        <w:tc>
          <w:tcPr>
            <w:tcW w:w="20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2025</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Conditional Series B Warrants</w:t>
            </w:r>
          </w:p>
        </w:tc>
        <w:tc>
          <w:tcPr>
            <w:tcW w:w="2000" w:type="dxa"/>
            <w:vAlign w:val="bottom"/>
            <w:gridSpan w:val="2"/>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November 2025</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NC Ohio Trust</w:t>
            </w:r>
          </w:p>
        </w:tc>
        <w:tc>
          <w:tcPr>
            <w:tcW w:w="20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162,740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2029</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02" w:lineRule="exact"/>
        <w:rPr>
          <w:sz w:val="20"/>
          <w:szCs w:val="20"/>
          <w:color w:val="auto"/>
        </w:rPr>
      </w:pPr>
    </w:p>
    <w:p>
      <w:pPr>
        <w:jc w:val="both"/>
        <w:ind w:right="340"/>
        <w:spacing w:after="0" w:line="24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the Company issued to the</w:t>
      </w:r>
      <w:r>
        <w:rPr>
          <w:rFonts w:ascii="Arial" w:cs="Arial" w:eastAsia="Arial" w:hAnsi="Arial"/>
          <w:sz w:val="18"/>
          <w:szCs w:val="18"/>
          <w:color w:val="auto"/>
        </w:rPr>
        <w:t xml:space="preserve"> </w:t>
      </w:r>
      <w:r>
        <w:rPr>
          <w:rFonts w:ascii="Arial" w:cs="Arial" w:eastAsia="Arial" w:hAnsi="Arial"/>
          <w:sz w:val="17"/>
          <w:szCs w:val="17"/>
          <w:color w:val="auto"/>
        </w:rPr>
        <w:t>purchaser of the Series B Preferred warrants to purchase 3,672,484 shares of common stock for $6.81 per share (the Series B Warrants), which became fully exercisable upon issuance. The Series B Warrants contain provisions allowing cashless exercise.</w:t>
      </w:r>
    </w:p>
    <w:p>
      <w:pPr>
        <w:spacing w:after="0" w:line="71"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right="260" w:hanging="503"/>
        <w:spacing w:after="0" w:line="249"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65"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cashless exercise.</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loss. The Company will continue to recognize changes in the fair value of the Conditional Series B Warrants until each Conditional Series B Warrant is exercised, expires or qualifies for equity classification. The warrant liability fair value was $15.9 million and $0.9 million as of September 30, 2024 and December 31, 2023,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 Ohio Trust Warrants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March 20, 2019, the Company established the NC Incorporated Ohio Trust, an irrevocable trust funded by the Company. The beneficiary in the</w:t>
      </w:r>
      <w:r>
        <w:rPr>
          <w:rFonts w:ascii="Arial" w:cs="Arial" w:eastAsia="Arial" w:hAnsi="Arial"/>
          <w:sz w:val="18"/>
          <w:szCs w:val="18"/>
          <w:color w:val="auto"/>
        </w:rPr>
        <w:t xml:space="preserve"> </w:t>
      </w:r>
      <w:r>
        <w:rPr>
          <w:rFonts w:ascii="Arial" w:cs="Arial" w:eastAsia="Arial" w:hAnsi="Arial"/>
          <w:sz w:val="17"/>
          <w:szCs w:val="17"/>
          <w:color w:val="auto"/>
        </w:rPr>
        <w:t>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condensed consolidated statement of operations and comprehensive loss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September 30, 2024 and December 31, 2023, a grant date was not established as there was not a mutual understanding of key terms. The Company remeasures the fair value of the award at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80"/>
        <w:spacing w:after="0" w:line="260" w:lineRule="auto"/>
        <w:rPr>
          <w:sz w:val="20"/>
          <w:szCs w:val="20"/>
          <w:color w:val="auto"/>
        </w:rPr>
      </w:pPr>
      <w:r>
        <w:rPr>
          <w:rFonts w:ascii="Arial" w:cs="Arial" w:eastAsia="Arial" w:hAnsi="Arial"/>
          <w:sz w:val="17"/>
          <w:szCs w:val="17"/>
          <w:color w:val="auto"/>
        </w:rPr>
        <w:t>each reporting date, as the service date preceded the grant date. The value of the warrants for 162,740 shares of common stock was $1.0 million and $0.2 million as of September 30, 2024 and December 31, 2023, respectively, and was recorded as stock compensation expense within research and development expense and as a credit to stockholders’ equity in the condensed consolidated financial statements.</w:t>
      </w:r>
    </w:p>
    <w:p>
      <w:pPr>
        <w:spacing w:after="0" w:line="97" w:lineRule="exact"/>
        <w:rPr>
          <w:sz w:val="20"/>
          <w:szCs w:val="20"/>
          <w:color w:val="auto"/>
        </w:rPr>
      </w:pPr>
    </w:p>
    <w:p>
      <w:pPr>
        <w:ind w:right="5460" w:firstLine="8"/>
        <w:spacing w:after="0" w:line="360" w:lineRule="auto"/>
        <w:tabs>
          <w:tab w:leader="none" w:pos="29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Restricted Stock and Stock-Based Compensation </w:t>
      </w:r>
      <w:r>
        <w:rPr>
          <w:rFonts w:ascii="Arial" w:cs="Arial" w:eastAsia="Arial" w:hAnsi="Arial"/>
          <w:sz w:val="18"/>
          <w:szCs w:val="18"/>
          <w:b w:val="1"/>
          <w:bCs w:val="1"/>
          <w:i w:val="1"/>
          <w:iCs w:val="1"/>
          <w:color w:val="auto"/>
        </w:rPr>
        <w:t>Equity Incentive Plans</w:t>
      </w:r>
    </w:p>
    <w:p>
      <w:pPr>
        <w:ind w:right="60"/>
        <w:spacing w:after="0" w:line="23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Company’s 2015 Stock Plan, as amended, (the 2015 Plan) provides for the Company to sell or issue common shares or restricted common</w:t>
      </w:r>
      <w:r>
        <w:rPr>
          <w:rFonts w:ascii="Arial" w:cs="Arial" w:eastAsia="Arial" w:hAnsi="Arial"/>
          <w:sz w:val="18"/>
          <w:szCs w:val="18"/>
          <w:color w:val="auto"/>
        </w:rPr>
        <w:t xml:space="preserve"> </w:t>
      </w:r>
      <w:r>
        <w:rPr>
          <w:rFonts w:ascii="Arial" w:cs="Arial" w:eastAsia="Arial" w:hAnsi="Arial"/>
          <w:sz w:val="17"/>
          <w:szCs w:val="17"/>
          <w:color w:val="auto"/>
        </w:rPr>
        <w:t>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September 30, 2024, there are no shares available for grants under the 2015 Plan and the 2015 Plan continues to govern the terms and conditions of the outstanding awards under the 2015 Plan.</w:t>
      </w:r>
    </w:p>
    <w:p>
      <w:pPr>
        <w:spacing w:after="0" w:line="8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6,669,993 shares of common stock are reserved under the 2021 Plan, of which 2,008,379 shares remain available for future grants as of September 30, 2024.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40" w:type="dxa"/>
            <w:vAlign w:val="bottom"/>
          </w:tcPr>
          <w:p>
            <w:pPr>
              <w:spacing w:after="0"/>
              <w:rPr>
                <w:sz w:val="14"/>
                <w:szCs w:val="14"/>
                <w:color w:val="auto"/>
              </w:rPr>
            </w:pPr>
          </w:p>
        </w:tc>
        <w:tc>
          <w:tcPr>
            <w:tcW w:w="1700" w:type="dxa"/>
            <w:vAlign w:val="bottom"/>
          </w:tcPr>
          <w:p>
            <w:pPr>
              <w:jc w:val="center"/>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240" w:type="dxa"/>
            <w:vAlign w:val="bottom"/>
          </w:tcPr>
          <w:p>
            <w:pPr>
              <w:spacing w:after="0"/>
              <w:rPr>
                <w:sz w:val="14"/>
                <w:szCs w:val="14"/>
                <w:color w:val="auto"/>
              </w:rPr>
            </w:pPr>
          </w:p>
        </w:tc>
        <w:tc>
          <w:tcPr>
            <w:tcW w:w="1700" w:type="dxa"/>
            <w:vAlign w:val="bottom"/>
          </w:tcPr>
          <w:p>
            <w:pPr>
              <w:jc w:val="center"/>
              <w:ind w:right="35"/>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185"/>
        </w:trPr>
        <w:tc>
          <w:tcPr>
            <w:tcW w:w="4240" w:type="dxa"/>
            <w:vAlign w:val="bottom"/>
          </w:tcPr>
          <w:p>
            <w:pPr>
              <w:spacing w:after="0"/>
              <w:rPr>
                <w:sz w:val="16"/>
                <w:szCs w:val="16"/>
                <w:color w:val="auto"/>
              </w:rPr>
            </w:pPr>
          </w:p>
        </w:tc>
        <w:tc>
          <w:tcPr>
            <w:tcW w:w="1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TERM (IN YEARS)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2023</w:t>
            </w:r>
          </w:p>
        </w:tc>
        <w:tc>
          <w:tcPr>
            <w:tcW w:w="17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5,666,621</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2.47</w:t>
            </w:r>
          </w:p>
        </w:tc>
        <w:tc>
          <w:tcPr>
            <w:tcW w:w="176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202,420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(731,169 )</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Cancelled, forfeited or expired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(535,917 )</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63"/>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2024</w:t>
            </w:r>
          </w:p>
        </w:tc>
        <w:tc>
          <w:tcPr>
            <w:tcW w:w="17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4,601,955</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6.86</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20,296</w:t>
            </w: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rPr>
              <w:t>Exercisable as of September 30, 2024</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3,519,140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2.40</w:t>
            </w:r>
          </w:p>
        </w:tc>
        <w:tc>
          <w:tcPr>
            <w:tcW w:w="1760" w:type="dxa"/>
            <w:vAlign w:val="bottom"/>
            <w:gridSpan w:val="2"/>
          </w:tcPr>
          <w:p>
            <w:pPr>
              <w:jc w:val="right"/>
              <w:ind w:right="43"/>
              <w:spacing w:after="0"/>
              <w:rPr>
                <w:sz w:val="20"/>
                <w:szCs w:val="20"/>
                <w:color w:val="auto"/>
              </w:rPr>
            </w:pPr>
            <w:r>
              <w:rPr>
                <w:rFonts w:ascii="Arial" w:cs="Arial" w:eastAsia="Arial" w:hAnsi="Arial"/>
                <w:sz w:val="18"/>
                <w:szCs w:val="18"/>
                <w:color w:val="auto"/>
              </w:rPr>
              <w:t>6.39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16,049</w:t>
            </w:r>
          </w:p>
        </w:tc>
      </w:tr>
      <w:tr>
        <w:trPr>
          <w:trHeight w:val="20"/>
        </w:trPr>
        <w:tc>
          <w:tcPr>
            <w:tcW w:w="4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September 30, 2024</w:t>
            </w:r>
          </w:p>
        </w:tc>
        <w:tc>
          <w:tcPr>
            <w:tcW w:w="17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1,082,815</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8.39</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4,247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-367665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-351155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-367665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-351155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-367665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-351155</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111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condensed consolidated financial statements at September 30, 2024.</w:t>
      </w:r>
    </w:p>
    <w:p>
      <w:pPr>
        <w:spacing w:after="0" w:line="72"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assumptions:</w:t>
      </w:r>
    </w:p>
    <w:p>
      <w:pPr>
        <w:spacing w:after="0" w:line="172"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250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15"/>
                <w:szCs w:val="15"/>
                <w:color w:val="auto"/>
              </w:rPr>
            </w:pPr>
          </w:p>
        </w:tc>
        <w:tc>
          <w:tcPr>
            <w:tcW w:w="246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r>
      <w:tr>
        <w:trPr>
          <w:trHeight w:val="223"/>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option life (years)</w:t>
            </w:r>
          </w:p>
        </w:tc>
        <w:tc>
          <w:tcPr>
            <w:tcW w:w="2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5.50 - 6.08</w:t>
            </w:r>
          </w:p>
        </w:tc>
        <w:tc>
          <w:tcPr>
            <w:tcW w:w="14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5.48 - 6.08</w:t>
            </w:r>
          </w:p>
        </w:tc>
        <w:tc>
          <w:tcPr>
            <w:tcW w:w="60" w:type="dxa"/>
            <w:vAlign w:val="bottom"/>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00" w:type="dxa"/>
            <w:vAlign w:val="bottom"/>
          </w:tcPr>
          <w:p>
            <w:pPr>
              <w:jc w:val="right"/>
              <w:ind w:right="54"/>
              <w:spacing w:after="0"/>
              <w:rPr>
                <w:sz w:val="20"/>
                <w:szCs w:val="20"/>
                <w:color w:val="auto"/>
              </w:rPr>
            </w:pPr>
            <w:r>
              <w:rPr>
                <w:rFonts w:ascii="Arial" w:cs="Arial" w:eastAsia="Arial" w:hAnsi="Arial"/>
                <w:sz w:val="18"/>
                <w:szCs w:val="18"/>
                <w:color w:val="auto"/>
              </w:rPr>
              <w:t>3.98% - 4.32%</w:t>
            </w:r>
          </w:p>
        </w:tc>
        <w:tc>
          <w:tcPr>
            <w:tcW w:w="140" w:type="dxa"/>
            <w:vAlign w:val="bottom"/>
          </w:tcPr>
          <w:p>
            <w:pPr>
              <w:spacing w:after="0"/>
              <w:rPr>
                <w:sz w:val="19"/>
                <w:szCs w:val="19"/>
                <w:color w:val="auto"/>
              </w:rPr>
            </w:pPr>
          </w:p>
        </w:tc>
        <w:tc>
          <w:tcPr>
            <w:tcW w:w="2460" w:type="dxa"/>
            <w:vAlign w:val="bottom"/>
          </w:tcPr>
          <w:p>
            <w:pPr>
              <w:jc w:val="right"/>
              <w:ind w:right="34"/>
              <w:spacing w:after="0"/>
              <w:rPr>
                <w:sz w:val="20"/>
                <w:szCs w:val="20"/>
                <w:color w:val="auto"/>
              </w:rPr>
            </w:pPr>
            <w:r>
              <w:rPr>
                <w:rFonts w:ascii="Arial" w:cs="Arial" w:eastAsia="Arial" w:hAnsi="Arial"/>
                <w:sz w:val="18"/>
                <w:szCs w:val="18"/>
                <w:color w:val="auto"/>
              </w:rPr>
              <w:t>3.50% - 4.61%</w:t>
            </w:r>
          </w:p>
        </w:tc>
        <w:tc>
          <w:tcPr>
            <w:tcW w:w="60" w:type="dxa"/>
            <w:vAlign w:val="bottom"/>
          </w:tcPr>
          <w:p>
            <w:pPr>
              <w:spacing w:after="0"/>
              <w:rPr>
                <w:sz w:val="19"/>
                <w:szCs w:val="19"/>
                <w:color w:val="auto"/>
              </w:rPr>
            </w:pPr>
          </w:p>
        </w:tc>
      </w:tr>
      <w:tr>
        <w:trPr>
          <w:trHeight w:val="230"/>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99.30% - 114.68%</w:t>
            </w:r>
          </w:p>
        </w:tc>
        <w:tc>
          <w:tcPr>
            <w:tcW w:w="14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91.33% - 94.51%</w:t>
            </w:r>
          </w:p>
        </w:tc>
        <w:tc>
          <w:tcPr>
            <w:tcW w:w="60" w:type="dxa"/>
            <w:vAlign w:val="bottom"/>
          </w:tcPr>
          <w:p>
            <w:pPr>
              <w:spacing w:after="0"/>
              <w:rPr>
                <w:sz w:val="19"/>
                <w:szCs w:val="19"/>
                <w:color w:val="auto"/>
              </w:rPr>
            </w:pPr>
          </w:p>
        </w:tc>
      </w:tr>
      <w:tr>
        <w:trPr>
          <w:trHeight w:val="239"/>
        </w:trPr>
        <w:tc>
          <w:tcPr>
            <w:tcW w:w="6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0 %</w:t>
            </w:r>
          </w:p>
        </w:tc>
      </w:tr>
    </w:tbl>
    <w:p>
      <w:pPr>
        <w:spacing w:after="0" w:line="157"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76" w:right="279" w:bottom="1440" w:gutter="0" w:footer="0" w:header="0"/>
        </w:sectPr>
      </w:pPr>
    </w:p>
    <w:bookmarkStart w:id="19" w:name="page20"/>
    <w:bookmarkEnd w:id="19"/>
    <w:p>
      <w:pPr>
        <w:spacing w:after="0" w:line="267" w:lineRule="auto"/>
        <w:rPr>
          <w:sz w:val="20"/>
          <w:szCs w:val="20"/>
          <w:color w:val="auto"/>
        </w:rPr>
      </w:pPr>
      <w:r>
        <w:rPr>
          <w:rFonts w:ascii="Arial" w:cs="Arial" w:eastAsia="Arial" w:hAnsi="Arial"/>
          <w:sz w:val="17"/>
          <w:szCs w:val="17"/>
          <w:color w:val="auto"/>
        </w:rPr>
        <w:t>common stock as of the end of the period. The total intrinsic value of stock options exercised during the nine months ended September 30, 2024 and 2023 was $3.7 million and zero,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02"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60" w:type="dxa"/>
            <w:vAlign w:val="bottom"/>
          </w:tcPr>
          <w:p>
            <w:pPr>
              <w:spacing w:after="0"/>
              <w:rPr>
                <w:sz w:val="14"/>
                <w:szCs w:val="1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GRANT</w:t>
            </w:r>
          </w:p>
        </w:tc>
      </w:tr>
      <w:tr>
        <w:trPr>
          <w:trHeight w:val="185"/>
        </w:trPr>
        <w:tc>
          <w:tcPr>
            <w:tcW w:w="6660" w:type="dxa"/>
            <w:vAlign w:val="bottom"/>
          </w:tcPr>
          <w:p>
            <w:pPr>
              <w:spacing w:after="0"/>
              <w:rPr>
                <w:sz w:val="16"/>
                <w:szCs w:val="16"/>
                <w:color w:val="auto"/>
              </w:rPr>
            </w:pPr>
          </w:p>
        </w:tc>
        <w:tc>
          <w:tcPr>
            <w:tcW w:w="272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DATE FAIR VALUE</w:t>
            </w: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at December 31, 2023</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2,526,432</w:t>
            </w:r>
          </w:p>
        </w:tc>
        <w:tc>
          <w:tcPr>
            <w:tcW w:w="4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7"/>
                <w:szCs w:val="17"/>
                <w:color w:val="auto"/>
              </w:rPr>
              <w:t>Granted</w:t>
            </w:r>
          </w:p>
        </w:tc>
        <w:tc>
          <w:tcPr>
            <w:tcW w:w="2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Vested</w:t>
            </w:r>
          </w:p>
        </w:tc>
        <w:tc>
          <w:tcPr>
            <w:tcW w:w="272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(1,034,207 )</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0.98</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720" w:type="dxa"/>
            <w:vAlign w:val="bottom"/>
            <w:gridSpan w:val="2"/>
          </w:tcPr>
          <w:p>
            <w:pPr>
              <w:jc w:val="right"/>
              <w:ind w:right="380"/>
              <w:spacing w:after="0"/>
              <w:rPr>
                <w:sz w:val="20"/>
                <w:szCs w:val="20"/>
                <w:color w:val="auto"/>
              </w:rPr>
            </w:pPr>
            <w:r>
              <w:rPr>
                <w:rFonts w:ascii="Arial" w:cs="Arial" w:eastAsia="Arial" w:hAnsi="Arial"/>
                <w:sz w:val="17"/>
                <w:szCs w:val="17"/>
                <w:color w:val="auto"/>
              </w:rPr>
              <w:t>(259,193 )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r>
      <w:tr>
        <w:trPr>
          <w:trHeight w:val="25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at September 30, 2024</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1,233,032</w:t>
            </w:r>
          </w:p>
        </w:tc>
        <w:tc>
          <w:tcPr>
            <w:tcW w:w="4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aggregate fair value of restricted stock units that vested during the nine months ended September 30, 2024 and 2023 was $7.2 million and zero,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2"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Stock-based compensation expense for the three and nine months ended September 30, 2024 and 2023 was classified in the condensed consolidated statements of operations and comprehensive loss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5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646</w:t>
            </w:r>
          </w:p>
        </w:tc>
        <w:tc>
          <w:tcPr>
            <w:tcW w:w="90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270</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2,468</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883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1,269</w:t>
            </w:r>
          </w:p>
        </w:tc>
      </w:tr>
      <w:tr>
        <w:trPr>
          <w:trHeight w:val="26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1,184</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rPr>
              <w:t>4,068</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As of September 30, 2024, total unrecognized compensation cost related to unvested stock-based awards was $2.8 million, which is expected to be recognized over a weighted average period of 2.03 years.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Exclusive Licensing Agreement with a Related Party</w:t>
      </w:r>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73"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 Company had completely recognized the $1.0 million upfront license fee as research and development service revenue as of December 31,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Technology License Agreement</w:t>
      </w:r>
    </w:p>
    <w:p>
      <w:pPr>
        <w:spacing w:after="0" w:line="100"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0" w:name="page21"/>
    <w:bookmarkEnd w:id="20"/>
    <w:p>
      <w:pPr>
        <w:ind w:right="480"/>
        <w:spacing w:after="0" w:line="267" w:lineRule="auto"/>
        <w:rPr>
          <w:sz w:val="20"/>
          <w:szCs w:val="20"/>
          <w:color w:val="auto"/>
        </w:rPr>
      </w:pPr>
      <w:r>
        <w:rPr>
          <w:rFonts w:ascii="Arial" w:cs="Arial" w:eastAsia="Arial" w:hAnsi="Arial"/>
          <w:sz w:val="17"/>
          <w:szCs w:val="17"/>
          <w:color w:val="auto"/>
        </w:rPr>
        <w:t>fee of $40,000 to MGB to be applied toward the Company’s on-going obligations to reimburse patent expenses. During the nine months ended September 30, 2024 and 2023, the Company did not incur any startup and patient fees for clinical trials performed by MGB.</w:t>
      </w:r>
    </w:p>
    <w:p>
      <w:pPr>
        <w:spacing w:after="0" w:line="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identified the guarantees described below as disclosable,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6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69" w:lineRule="exact"/>
        <w:rPr>
          <w:sz w:val="20"/>
          <w:szCs w:val="20"/>
          <w:color w:val="auto"/>
        </w:rPr>
      </w:pPr>
    </w:p>
    <w:p>
      <w:pPr>
        <w:ind w:right="48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6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As of September 30, 2024,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3" w:lineRule="exact"/>
        <w:rPr>
          <w:sz w:val="20"/>
          <w:szCs w:val="20"/>
          <w:color w:val="auto"/>
        </w:rPr>
      </w:pPr>
    </w:p>
    <w:p>
      <w:pPr>
        <w:ind w:right="9280" w:firstLine="8"/>
        <w:spacing w:after="0" w:line="365"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b w:val="1"/>
          <w:bCs w:val="1"/>
          <w:i w:val="1"/>
          <w:iCs w:val="1"/>
          <w:color w:val="auto"/>
        </w:rPr>
        <w:t>Net Loss Per Share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0"/>
        </w:trPr>
        <w:tc>
          <w:tcPr>
            <w:tcW w:w="5860" w:type="dxa"/>
            <w:vAlign w:val="bottom"/>
            <w:shd w:val="clear" w:color="auto" w:fill="CFF0FC"/>
          </w:tcPr>
          <w:p>
            <w:pPr>
              <w:ind w:left="28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(10,646 )</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(8,435 )</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(41,104 )</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(26,844 )</w:t>
            </w:r>
          </w:p>
        </w:tc>
        <w:tc>
          <w:tcPr>
            <w:tcW w:w="0" w:type="dxa"/>
            <w:vAlign w:val="bottom"/>
          </w:tcPr>
          <w:p>
            <w:pPr>
              <w:spacing w:after="0"/>
              <w:rPr>
                <w:sz w:val="1"/>
                <w:szCs w:val="1"/>
                <w:color w:val="auto"/>
              </w:rPr>
            </w:pPr>
          </w:p>
        </w:tc>
      </w:tr>
      <w:tr>
        <w:trPr>
          <w:trHeight w:val="197"/>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7"/>
                <w:szCs w:val="17"/>
                <w:b w:val="1"/>
                <w:bCs w:val="1"/>
                <w:color w:val="auto"/>
              </w:rPr>
              <w:t>Denominator:</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CFF0FC"/>
          </w:tcPr>
          <w:p>
            <w:pPr>
              <w:ind w:left="280"/>
              <w:spacing w:after="0" w:line="180" w:lineRule="exact"/>
              <w:rPr>
                <w:sz w:val="20"/>
                <w:szCs w:val="20"/>
                <w:color w:val="auto"/>
              </w:rPr>
            </w:pPr>
            <w:r>
              <w:rPr>
                <w:rFonts w:ascii="Arial" w:cs="Arial" w:eastAsia="Arial" w:hAnsi="Arial"/>
                <w:sz w:val="17"/>
                <w:szCs w:val="17"/>
                <w:color w:val="auto"/>
              </w:rPr>
              <w:t>Weighted-average shares of common stock</w:t>
            </w:r>
          </w:p>
        </w:tc>
        <w:tc>
          <w:tcPr>
            <w:tcW w:w="2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ind w:right="61"/>
              <w:spacing w:after="0"/>
              <w:rPr>
                <w:sz w:val="20"/>
                <w:szCs w:val="20"/>
                <w:color w:val="auto"/>
              </w:rPr>
            </w:pPr>
            <w:r>
              <w:rPr>
                <w:rFonts w:ascii="Arial" w:cs="Arial" w:eastAsia="Arial" w:hAnsi="Arial"/>
                <w:sz w:val="17"/>
                <w:szCs w:val="17"/>
                <w:color w:val="auto"/>
              </w:rPr>
              <w:t>32,013,569</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28,919,810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ind w:right="41"/>
              <w:spacing w:after="0"/>
              <w:rPr>
                <w:sz w:val="20"/>
                <w:szCs w:val="20"/>
                <w:color w:val="auto"/>
              </w:rPr>
            </w:pPr>
            <w:r>
              <w:rPr>
                <w:rFonts w:ascii="Arial" w:cs="Arial" w:eastAsia="Arial" w:hAnsi="Arial"/>
                <w:sz w:val="17"/>
                <w:szCs w:val="17"/>
                <w:color w:val="auto"/>
              </w:rPr>
              <w:t>30,369,129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28,919,810</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CFF0FC"/>
            </w:tcBorders>
            <w:shd w:val="clear" w:color="auto" w:fill="CFF0FC"/>
          </w:tcPr>
          <w:p>
            <w:pPr>
              <w:ind w:left="420"/>
              <w:spacing w:after="0" w:line="185" w:lineRule="exact"/>
              <w:rPr>
                <w:sz w:val="20"/>
                <w:szCs w:val="20"/>
                <w:color w:val="auto"/>
              </w:rPr>
            </w:pPr>
            <w:r>
              <w:rPr>
                <w:rFonts w:ascii="Arial" w:cs="Arial" w:eastAsia="Arial" w:hAnsi="Arial"/>
                <w:sz w:val="17"/>
                <w:szCs w:val="17"/>
                <w:color w:val="auto"/>
              </w:rPr>
              <w:t>outstanding –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60" w:type="dxa"/>
            <w:vAlign w:val="bottom"/>
          </w:tcPr>
          <w:p>
            <w:pPr>
              <w:ind w:left="280"/>
              <w:spacing w:after="0"/>
              <w:rPr>
                <w:sz w:val="20"/>
                <w:szCs w:val="20"/>
                <w:color w:val="auto"/>
              </w:rPr>
            </w:pPr>
            <w:r>
              <w:rPr>
                <w:rFonts w:ascii="Arial" w:cs="Arial" w:eastAsia="Arial" w:hAnsi="Arial"/>
                <w:sz w:val="17"/>
                <w:szCs w:val="17"/>
                <w:color w:val="auto"/>
              </w:rPr>
              <w:t>Net loss per share – basic and diluted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(0.33 )</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(0.29 )</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(1.35 )</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(0.93 )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-582295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-565150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-582295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-565150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-582295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-565150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1" w:name="page22"/>
    <w:bookmarkEnd w:id="21"/>
    <w:p>
      <w:pPr>
        <w:jc w:val="both"/>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6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560" w:type="dxa"/>
            <w:vAlign w:val="bottom"/>
            <w:gridSpan w:val="4"/>
          </w:tcPr>
          <w:p>
            <w:pPr>
              <w:ind w:left="920"/>
              <w:spacing w:after="0"/>
              <w:rPr>
                <w:sz w:val="20"/>
                <w:szCs w:val="20"/>
                <w:color w:val="auto"/>
              </w:rPr>
            </w:pPr>
            <w:r>
              <w:rPr>
                <w:rFonts w:ascii="Arial" w:cs="Arial" w:eastAsia="Arial" w:hAnsi="Arial"/>
                <w:sz w:val="14"/>
                <w:szCs w:val="14"/>
                <w:b w:val="1"/>
                <w:bCs w:val="1"/>
                <w:color w:val="auto"/>
              </w:rPr>
              <w:t>AS OF SEPTEMBER 30,</w:t>
            </w:r>
          </w:p>
        </w:tc>
      </w:tr>
      <w:tr>
        <w:trPr>
          <w:trHeight w:val="183"/>
        </w:trPr>
        <w:tc>
          <w:tcPr>
            <w:tcW w:w="7680" w:type="dxa"/>
            <w:vAlign w:val="bottom"/>
          </w:tcPr>
          <w:p>
            <w:pPr>
              <w:spacing w:after="0"/>
              <w:rPr>
                <w:sz w:val="15"/>
                <w:szCs w:val="15"/>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warrants for common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Outstanding stock options (as converted to common stock)</w:t>
            </w:r>
          </w:p>
        </w:tc>
        <w:tc>
          <w:tcPr>
            <w:tcW w:w="1620" w:type="dxa"/>
            <w:vAlign w:val="bottom"/>
          </w:tcPr>
          <w:p>
            <w:pPr>
              <w:jc w:val="right"/>
              <w:spacing w:after="0"/>
              <w:rPr>
                <w:sz w:val="20"/>
                <w:szCs w:val="20"/>
                <w:color w:val="auto"/>
              </w:rPr>
            </w:pPr>
            <w:r>
              <w:rPr>
                <w:rFonts w:ascii="Arial" w:cs="Arial" w:eastAsia="Arial" w:hAnsi="Arial"/>
                <w:sz w:val="17"/>
                <w:szCs w:val="17"/>
                <w:color w:val="auto"/>
              </w:rPr>
              <w:t>4,601,955</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6,061,521</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restricted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1,233,032</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13,342,695</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14,181,595</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Corporate Restructuring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the Company’s board of directors authorized a restructuring plan to focus on key clinical data readouts for CAN-2409 and</w:t>
      </w:r>
    </w:p>
    <w:p>
      <w:pPr>
        <w:spacing w:after="0" w:line="20"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continuation and expansion of development of 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the Company’s workforce by approximately 45%. Each affected employee’s separation occurred in December 2023. As a result, the Company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2" w:lineRule="exact"/>
        <w:rPr>
          <w:sz w:val="20"/>
          <w:szCs w:val="20"/>
          <w:color w:val="auto"/>
        </w:rPr>
      </w:pPr>
    </w:p>
    <w:p>
      <w:pPr>
        <w:ind w:right="28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and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73"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6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112" w:lineRule="exact"/>
        <w:rPr>
          <w:rFonts w:ascii="Times New Roman" w:cs="Times New Roman" w:eastAsia="Times New Roman" w:hAnsi="Times New Roman"/>
          <w:sz w:val="17"/>
          <w:szCs w:val="17"/>
          <w:color w:val="auto"/>
        </w:rPr>
      </w:pPr>
    </w:p>
    <w:p>
      <w:pPr>
        <w:ind w:left="1540" w:right="140" w:hanging="509"/>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69" w:lineRule="exact"/>
        <w:rPr>
          <w:rFonts w:ascii="Times New Roman" w:cs="Times New Roman" w:eastAsia="Times New Roman" w:hAnsi="Times New Roman"/>
          <w:sz w:val="17"/>
          <w:szCs w:val="17"/>
          <w:color w:val="auto"/>
        </w:rPr>
      </w:pPr>
    </w:p>
    <w:p>
      <w:pPr>
        <w:ind w:left="1540" w:right="22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phase 2 randomized, double-blind,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6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rFonts w:ascii="Times New Roman" w:cs="Times New Roman" w:eastAsia="Times New Roman" w:hAnsi="Times New Roman"/>
          <w:sz w:val="17"/>
          <w:szCs w:val="17"/>
          <w:color w:val="auto"/>
        </w:rPr>
      </w:pPr>
    </w:p>
    <w:p>
      <w:pPr>
        <w:ind w:left="1540"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An open-label phase 2 clinical trial in the United States evaluating CAN-2409 plus valacyclovir in combination with continued PD-(L)1 checkpoint inhibitors in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&lt;12 months (Reckamp K et al. J Clin Onc 2022;40:2295-2306). The aim of the CAN-2409 immunotherapy antitumor strategy is to raise the tail on the survival curve by increasing the number of long survivors beyond 14 months in patients treated with two CAN-2409 injections.</w:t>
      </w:r>
    </w:p>
    <w:p>
      <w:pPr>
        <w:spacing w:after="0" w:line="79" w:lineRule="exact"/>
        <w:rPr>
          <w:rFonts w:ascii="Times New Roman" w:cs="Times New Roman" w:eastAsia="Times New Roman" w:hAnsi="Times New Roman"/>
          <w:sz w:val="17"/>
          <w:szCs w:val="17"/>
          <w:color w:val="auto"/>
        </w:rPr>
      </w:pPr>
    </w:p>
    <w:p>
      <w:pPr>
        <w:ind w:left="1540" w:right="24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In May 2024, we announced topline data that showed prolonged overall survival in our phase 2 clinical trial of CAN-2409 plus valacyclovir, together with immune checkpoint inhibitor (ICI) therapy in patients with Stage III/IV NSCLC inadequately responding to ICI (anti-PD-L1) therapy (as of an April 1, 2024 data cut-off):</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3" w:name="page24"/>
    <w:bookmarkEnd w:id="23"/>
    <w:p>
      <w:pPr>
        <w:ind w:left="1523" w:hanging="505"/>
        <w:spacing w:after="0" w:line="239"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mOS of 20.6 months was observed following two administrations of CAN-2409 plus valacyclovir in NSCLC patients with progressive disease despite ICI therapy, compared to published results of mOS of 11.6 months observed with standard of care docetaxel-based chemotherapy in a similar patient population (Reckamp K et al. J Clin Onc 2022;40:2295-2306). Improved mOS was observed in both PD-L1 negative and PD-L1 positive tumors in patients with progressive disease (N=37 patients in cohort 2 for which PD-L1 status at baseline was available). mOS of 22.0 months was observed across all patients (n=46) who had an inadequate response to ICI and who received two administrations of CAN-2409.</w:t>
      </w:r>
    </w:p>
    <w:p>
      <w:pPr>
        <w:spacing w:after="0" w:line="73" w:lineRule="exact"/>
        <w:rPr>
          <w:rFonts w:ascii="Times New Roman" w:cs="Times New Roman" w:eastAsia="Times New Roman" w:hAnsi="Times New Roman"/>
          <w:sz w:val="17"/>
          <w:szCs w:val="17"/>
          <w:color w:val="auto"/>
        </w:rPr>
      </w:pPr>
    </w:p>
    <w:p>
      <w:pPr>
        <w:ind w:left="1523" w:right="520" w:hanging="505"/>
        <w:spacing w:after="0" w:line="266"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Treatment with CAN-2409 resulted in systemic activation of the immune response, including increased numbers of effector and cytotoxic T cells as well as elevated levels of inflammatory soluble mediators.</w:t>
      </w:r>
    </w:p>
    <w:p>
      <w:pPr>
        <w:spacing w:after="0" w:line="51" w:lineRule="exact"/>
        <w:rPr>
          <w:rFonts w:ascii="Times New Roman" w:cs="Times New Roman" w:eastAsia="Times New Roman" w:hAnsi="Times New Roman"/>
          <w:sz w:val="17"/>
          <w:szCs w:val="17"/>
          <w:color w:val="auto"/>
        </w:rPr>
      </w:pPr>
    </w:p>
    <w:p>
      <w:pPr>
        <w:ind w:left="1523" w:right="20" w:hanging="505"/>
        <w:spacing w:after="0" w:line="243"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Increase in the number of circulating CD8+ cytotoxic T cells, CD4+ effector, and central memory T cells as well as elevated levels of soluble granzymes B and H, observed after the second injection of CAN-2409, were associated with subsequent prolonged survival, providing mechanistic evidence for the “priming-booster” activity of two administrations of CAN-2409 and novel early biomarkers of long-term clinical response.</w:t>
      </w:r>
    </w:p>
    <w:p>
      <w:pPr>
        <w:spacing w:after="0" w:line="71" w:lineRule="exact"/>
        <w:rPr>
          <w:rFonts w:ascii="Times New Roman" w:cs="Times New Roman" w:eastAsia="Times New Roman" w:hAnsi="Times New Roman"/>
          <w:sz w:val="17"/>
          <w:szCs w:val="17"/>
          <w:color w:val="auto"/>
        </w:rPr>
      </w:pPr>
    </w:p>
    <w:p>
      <w:pPr>
        <w:ind w:left="1523" w:right="120" w:hanging="505"/>
        <w:spacing w:after="0" w:line="243"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Activation of the systemic immune response was associated with shrinkage of uninjected lesions (abscopal response). 71.4% of patients with metastatic disease and at least one uninjected tumor (n=35) experienced a beneficial effect from CAN-2409 treatment on both injected and uninjected tumors. When using a threshold of &gt;5% decrease, more than 60% of patients still showed an abscopal response.</w:t>
      </w:r>
    </w:p>
    <w:p>
      <w:pPr>
        <w:spacing w:after="0" w:line="71" w:lineRule="exact"/>
        <w:rPr>
          <w:rFonts w:ascii="Times New Roman" w:cs="Times New Roman" w:eastAsia="Times New Roman" w:hAnsi="Times New Roman"/>
          <w:sz w:val="17"/>
          <w:szCs w:val="17"/>
          <w:color w:val="auto"/>
        </w:rPr>
      </w:pPr>
    </w:p>
    <w:p>
      <w:pPr>
        <w:ind w:left="1523" w:right="140" w:hanging="505"/>
        <w:spacing w:after="0" w:line="249"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As of the cut-off date, treatment with CAN-2409 in NSCLC continued to exhibit a favorable safety and tolerability profile. There were no dose-limiting toxicities or grade 4 or higher treatment-related adverse events (TRAEs); the majority of TRAEs were grade 1 or 2, and there were three grade 3 TRAEs (1 pyrexia, 2 pneumonitis).</w:t>
      </w:r>
    </w:p>
    <w:p>
      <w:pPr>
        <w:spacing w:after="0" w:line="6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present updated overall survival data for CAN-2409 in NSCLC in the first quarter of 2025.</w:t>
      </w:r>
    </w:p>
    <w:p>
      <w:pPr>
        <w:spacing w:after="0" w:line="116"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023" w:right="80"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We have initiated a randomized phase 2 clinical trial in the United States and Mexico evaluating the activity of CAN-2409 in borderline resectable and locally advanced pancreatic ductal adenocarcinoma (PDAC). Initial positive phase 2 data revealed notable clinical improvements in patients with borderline resectable PDAC following CAN-2409 plus prodrug together with standard of care (SoC) chemoradiation.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 In December 2023, we announced that the FDA granted fast track designation for CAN-2409 plus valacyclovir for the treatment of patients with PDAC to improve overall survival. In April 2024, we announced updated positive overall survival data and also announced that the FDA has granted orphan drug designation for CAN-2409 for the treatment of pancreatic cancer.</w:t>
      </w:r>
    </w:p>
    <w:p>
      <w:pPr>
        <w:spacing w:after="0" w:line="75" w:lineRule="exact"/>
        <w:rPr>
          <w:rFonts w:ascii="Times New Roman" w:cs="Times New Roman" w:eastAsia="Times New Roman" w:hAnsi="Times New Roman"/>
          <w:sz w:val="17"/>
          <w:szCs w:val="17"/>
          <w:color w:val="auto"/>
        </w:rPr>
      </w:pPr>
    </w:p>
    <w:p>
      <w:pPr>
        <w:ind w:left="5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The following data were disclosed as of the March 29, 2024 data cutoff:</w:t>
      </w:r>
    </w:p>
    <w:p>
      <w:pPr>
        <w:spacing w:after="0" w:line="11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Clinical data highlights:</w:t>
      </w:r>
    </w:p>
    <w:p>
      <w:pPr>
        <w:spacing w:after="0" w:line="114" w:lineRule="exact"/>
        <w:rPr>
          <w:rFonts w:ascii="Times New Roman" w:cs="Times New Roman" w:eastAsia="Times New Roman" w:hAnsi="Times New Roman"/>
          <w:sz w:val="17"/>
          <w:szCs w:val="17"/>
          <w:color w:val="auto"/>
        </w:rPr>
      </w:pPr>
    </w:p>
    <w:p>
      <w:pPr>
        <w:ind w:left="2043" w:right="460" w:hanging="516"/>
        <w:spacing w:after="0" w:line="266" w:lineRule="auto"/>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51" w:lineRule="exact"/>
        <w:rPr>
          <w:rFonts w:ascii="Times New Roman" w:cs="Times New Roman" w:eastAsia="Times New Roman" w:hAnsi="Times New Roman"/>
          <w:sz w:val="17"/>
          <w:szCs w:val="17"/>
          <w:color w:val="auto"/>
        </w:rPr>
      </w:pPr>
    </w:p>
    <w:p>
      <w:pPr>
        <w:ind w:left="2043" w:hanging="516"/>
        <w:spacing w:after="0"/>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mOS was 28.8 months in the CAN-2409 group versus only 12.5 months in the control group.</w:t>
      </w:r>
    </w:p>
    <w:p>
      <w:pPr>
        <w:spacing w:after="0" w:line="114" w:lineRule="exact"/>
        <w:rPr>
          <w:rFonts w:ascii="Times New Roman" w:cs="Times New Roman" w:eastAsia="Times New Roman" w:hAnsi="Times New Roman"/>
          <w:sz w:val="17"/>
          <w:szCs w:val="17"/>
          <w:color w:val="auto"/>
        </w:rPr>
      </w:pPr>
    </w:p>
    <w:p>
      <w:pPr>
        <w:ind w:left="2043" w:right="40" w:hanging="516"/>
        <w:spacing w:after="0" w:line="243" w:lineRule="auto"/>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At 24 months, a survival rate of 71.4% was observed in CAN-2409 treated patients, after SoC chemoradiation and prior to surgery, versus only 16.7% in the control group. At 36 months, a survival rate of 47.6% was estimated in patients who received CAN-2409, together with SoC chemoradiation prior to surgery, versus only 16.7% in the control group.</w:t>
      </w:r>
    </w:p>
    <w:p>
      <w:pPr>
        <w:spacing w:after="0" w:line="71" w:lineRule="exact"/>
        <w:rPr>
          <w:rFonts w:ascii="Times New Roman" w:cs="Times New Roman" w:eastAsia="Times New Roman" w:hAnsi="Times New Roman"/>
          <w:sz w:val="17"/>
          <w:szCs w:val="17"/>
          <w:color w:val="auto"/>
        </w:rPr>
      </w:pPr>
    </w:p>
    <w:p>
      <w:pPr>
        <w:ind w:left="2043" w:right="280" w:hanging="516"/>
        <w:spacing w:after="0" w:line="249" w:lineRule="auto"/>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4 out of 7 patients who received CAN-2409 were still alive at the time of data cutoff, with 2 patients surviving more than 50.0 months from enrollment. Only 1 out of 6 patients, randomized to control SoC chemotherapy alone, remained alive at data cutoff (alive at 50.6 months).</w:t>
      </w:r>
    </w:p>
    <w:p>
      <w:pPr>
        <w:spacing w:after="0" w:line="6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Biomarker data analysis demonstrated:</w:t>
      </w:r>
    </w:p>
    <w:p>
      <w:pPr>
        <w:spacing w:after="0" w:line="114" w:lineRule="exact"/>
        <w:rPr>
          <w:rFonts w:ascii="Times New Roman" w:cs="Times New Roman" w:eastAsia="Times New Roman" w:hAnsi="Times New Roman"/>
          <w:sz w:val="17"/>
          <w:szCs w:val="17"/>
          <w:color w:val="auto"/>
        </w:rPr>
      </w:pPr>
    </w:p>
    <w:p>
      <w:pPr>
        <w:ind w:left="2043" w:hanging="516"/>
        <w:spacing w:after="0"/>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Consistent and robust activation of immune response after dosing with CAN-2409.</w:t>
      </w:r>
    </w:p>
    <w:p>
      <w:pPr>
        <w:spacing w:after="0" w:line="200" w:lineRule="exact"/>
        <w:rPr>
          <w:sz w:val="20"/>
          <w:szCs w:val="20"/>
          <w:color w:val="auto"/>
        </w:rPr>
      </w:pPr>
    </w:p>
    <w:p>
      <w:pPr>
        <w:spacing w:after="0" w:line="255"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76" w:right="379" w:bottom="1440" w:gutter="0" w:footer="0" w:header="0"/>
        </w:sectPr>
      </w:pPr>
    </w:p>
    <w:bookmarkStart w:id="24" w:name="page25"/>
    <w:bookmarkEnd w:id="24"/>
    <w:p>
      <w:pPr>
        <w:ind w:left="2560" w:right="60" w:hanging="516"/>
        <w:spacing w:after="0" w:line="243" w:lineRule="auto"/>
        <w:tabs>
          <w:tab w:leader="none" w:pos="25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within the tumor microenvironment. These lymphocyte aggregates resemble tertiary lymphoid structures, whose formation in solid tumors is known to be associated with improved prognosis and better response to therapy.</w:t>
      </w:r>
    </w:p>
    <w:p>
      <w:pPr>
        <w:spacing w:after="0" w:line="71" w:lineRule="exact"/>
        <w:rPr>
          <w:rFonts w:ascii="Times New Roman" w:cs="Times New Roman" w:eastAsia="Times New Roman" w:hAnsi="Times New Roman"/>
          <w:sz w:val="17"/>
          <w:szCs w:val="17"/>
          <w:color w:val="auto"/>
        </w:rPr>
      </w:pPr>
    </w:p>
    <w:p>
      <w:pPr>
        <w:ind w:left="2560" w:right="520" w:hanging="516"/>
        <w:spacing w:after="0" w:line="266" w:lineRule="auto"/>
        <w:tabs>
          <w:tab w:leader="none" w:pos="25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after SoC.</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Safety analysis:</w:t>
      </w:r>
    </w:p>
    <w:p>
      <w:pPr>
        <w:spacing w:after="0" w:line="114" w:lineRule="exact"/>
        <w:rPr>
          <w:rFonts w:ascii="Times New Roman" w:cs="Times New Roman" w:eastAsia="Times New Roman" w:hAnsi="Times New Roman"/>
          <w:sz w:val="17"/>
          <w:szCs w:val="17"/>
          <w:color w:val="auto"/>
        </w:rPr>
      </w:pPr>
    </w:p>
    <w:p>
      <w:pPr>
        <w:ind w:left="2560" w:right="280" w:hanging="516"/>
        <w:spacing w:after="0" w:line="266" w:lineRule="auto"/>
        <w:tabs>
          <w:tab w:leader="none" w:pos="25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Addition of CAN-2409 regimen to SoC was generally well tolerated, with no dose-limiting toxicities, including no cases of pancreatitis.</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share updated overall survival data for CAN-2409 in PDAC in the first quarter of 2025.</w:t>
      </w:r>
    </w:p>
    <w:p>
      <w:pPr>
        <w:spacing w:after="0" w:line="195" w:lineRule="exact"/>
        <w:rPr>
          <w:sz w:val="20"/>
          <w:szCs w:val="20"/>
          <w:color w:val="auto"/>
        </w:rPr>
      </w:pPr>
    </w:p>
    <w:p>
      <w:pPr>
        <w:ind w:right="320"/>
        <w:spacing w:after="0" w:line="241"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1b clinical trial in our initial target indication of recurrent high-grade glioma (HGG). Patients recruited in this study have previously failed SoC treatment and have a poor prognosis (expected overall survival &lt; 6-9 months). In February 2024, we announced that the FDA granted fast track designation for CAN-3110 for the treatment of patients with recurrent HGG to improve overall survival. In May 2024, we also announced that the FDA has granted orphan drug designation for CAN-3110 for the treatment of recurrent HGG.</w:t>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Initial overall survival data from this clinical trial was presented in an oral presentation at the American Society of Clinical Oncology (ASCO) Annual Meeting in June 2021, and additional biomarker data was reported in an oral presentation at the Society for Neuro-Oncology Annual Meeting in November 2021. During our Research and Development Day in December 2022, we presented updated data demonstrating that a single administration of CAN-3110 was well tolerated with no observed dose-limiting toxicity; achieved 11.6 months mOS; and showed evidence of persistent herpes simplex virus 1 (HSV-1) antigen and HSV-1 replication consistent with mechanism of action​as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 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66% of patients with positivity for anti-HSV1 antibodies (mOS of 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continues to date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15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 To date, we have dosed six patients with multiple injections of CAN-3110 (up to six injections over a period of four months), completing cohort 1 of arm C. In June 2024, a poster presentation at the ASCO Annual Meeting demonstrated that multiple intratumoral injections of CAN-3110 were feasible and well tolerated with no dose-limiting toxicities or severe adverse events observed in the first six patients treated in arm C. More than 300 core biopsies were obtained from these patients, across the planned dose ranging time points, which were processed for “-omic” analysis, including single-cell RNA sequencing and cell profiling. In October 2024, during the 16th Annual International Oncolytic Virotherapy Conference (IOVC), we announced clinical activity and biomarker data for arm C. The principal investigator of the study reported ongoing improved survival compared to historical controls in patients treated with multiple injections of CAN-3110, with 3 out of 6 patients with rHGG (recurrent glioblastoma) still alive more than one year (12.2, 13.0, and 18.7 months, respectively) after initiation of experimental treatment with CAN-3110. The data also showed discrepancies between imaging and histologic findings. Post treatment longitudinal biopsies demonstrated near absence of tumor cells alongside dense lymphocyte infiltrates especially in patients with enhancement on post-treatment MRI scans, suggesting the presence of radiologic pseudo-progression after treatment with CAN-3110. This data cautions the evaluation of progression by imaging, restating the importance of survival as the primary endpoint for viral immunotherapy trials.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5" w:name="page26"/>
    <w:bookmarkEnd w:id="25"/>
    <w:p>
      <w:pPr>
        <w:ind w:right="180"/>
        <w:spacing w:after="0" w:line="249" w:lineRule="auto"/>
        <w:rPr>
          <w:sz w:val="20"/>
          <w:szCs w:val="20"/>
          <w:color w:val="auto"/>
        </w:rPr>
      </w:pPr>
      <w:r>
        <w:rPr>
          <w:rFonts w:ascii="Arial" w:cs="Arial" w:eastAsia="Arial" w:hAnsi="Arial"/>
          <w:sz w:val="17"/>
          <w:szCs w:val="17"/>
          <w:color w:val="auto"/>
        </w:rPr>
        <w:t>In November 2024, during the SITC 2024 Annual Meeting, we presented new data, demonstrating the antitumor activity of CAN-3110 in preclinical models of melanoma, a tumor characterized by high Nestin expression, frequent loss-of-function in CDKN2A, and alterations in the Ras-Raf signaling pathway. This data supports the rationale to expand the evaluation of CAN-3110 in tumors beyond rHGG.</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are also designing additional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 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7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88" w:lineRule="exact"/>
        <w:rPr>
          <w:sz w:val="20"/>
          <w:szCs w:val="20"/>
          <w:color w:val="auto"/>
        </w:rPr>
      </w:pPr>
    </w:p>
    <w:p>
      <w:pPr>
        <w:jc w:val="both"/>
        <w:ind w:right="620"/>
        <w:spacing w:after="0" w:line="228" w:lineRule="auto"/>
        <w:rPr>
          <w:sz w:val="20"/>
          <w:szCs w:val="20"/>
          <w:color w:val="auto"/>
        </w:rPr>
      </w:pPr>
      <w:r>
        <w:rPr>
          <w:rFonts w:ascii="Arial" w:cs="Arial" w:eastAsia="Arial" w:hAnsi="Arial"/>
          <w:sz w:val="17"/>
          <w:szCs w:val="17"/>
          <w:color w:val="auto"/>
        </w:rPr>
        <w:t>In October 2024, during the 16th Annual IOVC, we presented data on a novel multimodal viral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encoding IL-12 and IL-15. Data included the ability of the asset to induce expansion and activation of natural killer and CD8+ T cell populations resulting in significant inhibition of tumor growth and tumor regression in two different models.</w:t>
      </w:r>
    </w:p>
    <w:p>
      <w:pPr>
        <w:spacing w:after="0" w:line="74"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cash and cash equivalents were $16.6 million as of September 30, 2024. In accordance with the Financial Accounting Standards Board (FASB) Accounting Standards Codification (ASC), 205-40, Presentation of Financial Statements - Going Concern, we are required to assess our ability to continue as a going concern for the one-year look forward period following the date that the condensed consolidated financial statements are issued. Based on our current operating plan and existing cash and cash equivalents, we determined that substantial doubt exists regarding our ability to continue as a going concern for the one-year period following the date these condensed consolidated financial statements are issued. To sustain its future operations beyond such one-year period, we will require additional funding. We expect to finance our cash needs through a combination of public or private equity or debt financings, government grants, and other sources, which may include collaborations, strategic alliances and licensing arrangements with third parties. There is no assurance that we will be successful in obtaining sufficient funding on acceptable terms, if at all, and could be forced to delay, reduce, or eliminate some or all of its research, clinical trials, product development or future commercialization efforts, which could materially adversely affect our business prospects or our ability to continue as a going concern or could force us to initiate steps to cease operations.</w:t>
      </w:r>
    </w:p>
    <w:p>
      <w:pPr>
        <w:spacing w:after="0" w:line="7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 assumes we will continue as a going concern and that contemplates the realization of assets and satisfaction of liabilities and commitments in the ordinary course of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00"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26" w:name="page27"/>
    <w:bookmarkEnd w:id="26"/>
    <w:p>
      <w:pPr>
        <w:ind w:right="40"/>
        <w:spacing w:after="0" w:line="235" w:lineRule="auto"/>
        <w:rPr>
          <w:sz w:val="20"/>
          <w:szCs w:val="20"/>
          <w:color w:val="auto"/>
        </w:rPr>
      </w:pPr>
      <w:r>
        <w:rPr>
          <w:rFonts w:ascii="Arial" w:cs="Arial" w:eastAsia="Arial" w:hAnsi="Arial"/>
          <w:sz w:val="18"/>
          <w:szCs w:val="18"/>
          <w:b w:val="1"/>
          <w:bCs w:val="1"/>
          <w:i w:val="1"/>
          <w:iCs w:val="1"/>
          <w:color w:val="auto"/>
        </w:rPr>
        <w:t>Periphagen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0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b w:val="1"/>
          <w:bCs w:val="1"/>
          <w:i w:val="1"/>
          <w:iCs w:val="1"/>
          <w:color w:val="auto"/>
        </w:rPr>
        <w:t>Mass General Brigham (MGB)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January 20, 2018, we entered into an exclusive option agreement (the Option Agreement) with MGB.</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6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Ventagen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a related party. The</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our board of directors authorized a restructuring plan to focus on key clinical readouts for CAN-2409 and continuation and</w:t>
      </w:r>
    </w:p>
    <w:p>
      <w:pPr>
        <w:spacing w:after="0" w:line="20" w:lineRule="exact"/>
        <w:rPr>
          <w:sz w:val="20"/>
          <w:szCs w:val="20"/>
          <w:color w:val="auto"/>
        </w:rPr>
      </w:pPr>
    </w:p>
    <w:p>
      <w:pPr>
        <w:ind w:right="460"/>
        <w:spacing w:after="0" w:line="226" w:lineRule="auto"/>
        <w:rPr>
          <w:sz w:val="20"/>
          <w:szCs w:val="20"/>
          <w:color w:val="auto"/>
        </w:rPr>
      </w:pPr>
      <w:r>
        <w:rPr>
          <w:rFonts w:ascii="Arial" w:cs="Arial" w:eastAsia="Arial" w:hAnsi="Arial"/>
          <w:sz w:val="17"/>
          <w:szCs w:val="17"/>
          <w:color w:val="auto"/>
        </w:rPr>
        <w:t>expansion of development of 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our workforce by approximately 45%. Each affected employee’s separation occurred in December 2023. As a result, we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8"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86" w:lineRule="exact"/>
        <w:rPr>
          <w:sz w:val="20"/>
          <w:szCs w:val="20"/>
          <w:color w:val="auto"/>
        </w:rPr>
      </w:pPr>
    </w:p>
    <w:p>
      <w:pPr>
        <w:ind w:left="1020" w:right="380" w:hanging="503"/>
        <w:spacing w:after="0" w:line="266"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14"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5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7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7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14" w:lineRule="exact"/>
        <w:rPr>
          <w:rFonts w:ascii="Times New Roman" w:cs="Times New Roman" w:eastAsia="Times New Roman" w:hAnsi="Times New Roman"/>
          <w:sz w:val="17"/>
          <w:szCs w:val="17"/>
          <w:color w:val="auto"/>
        </w:rPr>
      </w:pPr>
    </w:p>
    <w:p>
      <w:pPr>
        <w:ind w:left="1020" w:right="62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14"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0" w:right="459" w:bottom="1440" w:gutter="0" w:footer="0" w:header="0"/>
        </w:sectPr>
      </w:pPr>
    </w:p>
    <w:bookmarkStart w:id="28" w:name="page29"/>
    <w:bookmarkEnd w:id="28"/>
    <w:p>
      <w:pPr>
        <w:ind w:left="1020" w:right="8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CAN-2409 and CAN-3110;</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or ongoing geopolitical conflicts and related global economic sanctions;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8"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Grant income consists of amounts received under a grant from the Massachusetts Life Sciences Center.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primarily consists of amounts earned on investment of cash equivalents.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primarily consists of interest expense on our debt under our Loan Agreement with SVB.</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9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and comprehensive loss.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9" w:name="page30"/>
    <w:bookmarkEnd w:id="29"/>
    <w:p>
      <w:pPr>
        <w:ind w:right="80"/>
        <w:spacing w:after="0" w:line="238" w:lineRule="auto"/>
        <w:rPr>
          <w:sz w:val="20"/>
          <w:szCs w:val="20"/>
          <w:color w:val="auto"/>
        </w:rPr>
      </w:pPr>
      <w:r>
        <w:rPr>
          <w:rFonts w:ascii="Arial" w:cs="Arial" w:eastAsia="Arial" w:hAnsi="Arial"/>
          <w:sz w:val="17"/>
          <w:szCs w:val="17"/>
          <w:color w:val="auto"/>
        </w:rPr>
        <w:t>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7"/>
          <w:szCs w:val="17"/>
          <w:color w:val="auto"/>
        </w:rPr>
        <w:t>our inception, we have generated cumulative federal and state net operating loss and research and development credit carryforwards for</w:t>
      </w:r>
      <w:r>
        <w:rPr>
          <w:rFonts w:ascii="Arial" w:cs="Arial" w:eastAsia="Arial" w:hAnsi="Arial"/>
          <w:sz w:val="18"/>
          <w:szCs w:val="18"/>
          <w:color w:val="auto"/>
        </w:rPr>
        <w:t xml:space="preserve"> </w:t>
      </w:r>
      <w:r>
        <w:rPr>
          <w:rFonts w:ascii="Arial" w:cs="Arial" w:eastAsia="Arial" w:hAnsi="Arial"/>
          <w:sz w:val="17"/>
          <w:szCs w:val="17"/>
          <w:color w:val="auto"/>
        </w:rPr>
        <w:t>which we have not recorded any net tax benefit due to uncertainty around utilizing these tax attributes within their respective carryforward periods.</w:t>
      </w:r>
    </w:p>
    <w:p>
      <w:pPr>
        <w:spacing w:after="0" w:line="6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of December 31, 2023, we had federal net operating loss carryforwards (NOLs) of approximately $86.2 million and state NOLs of approximately $79.6 million which may be available to offset future taxable income. Our federal NOLs include $8.8 million available to reduce future taxable income through 2037 and approximately $77.4 million of NOLs that do not expire and are available to reduce future taxable income indefinitely. The state NOLs are available to offset future taxable income through 2033. As of December 31, 2023, we also had federal and state research and development tax credit carryforwards of $4.5 million and $2.2 million, respectively, which are available to offset federal and state tax liabilities through 2043 and 2038, respectively.</w:t>
      </w:r>
    </w:p>
    <w:p>
      <w:pPr>
        <w:spacing w:after="0" w:line="74"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September 30, 2024 and December 31, 2023.</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w:t>
      </w:r>
      <w:r>
        <w:rPr>
          <w:rFonts w:ascii="Arial" w:cs="Arial" w:eastAsia="Arial" w:hAnsi="Arial"/>
          <w:sz w:val="17"/>
          <w:szCs w:val="17"/>
          <w:b w:val="1"/>
          <w:bCs w:val="1"/>
          <w:i w:val="1"/>
          <w:iCs w:val="1"/>
          <w:color w:val="auto"/>
        </w:rPr>
        <w:t>hree Months Ended September 30, 2024 and 2023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September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5,416</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5,845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3,341</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3,016</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43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8,757</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8,861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(8,757 )</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(8,861 )</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(487 )</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(1,638 )</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(2,219 )</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(10,646 )</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(8,435 )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(2,211 )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vMerge w:val="restart"/>
          </w:tcPr>
          <w:p>
            <w:pPr>
              <w:jc w:val="right"/>
              <w:ind w:right="850"/>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3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3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-2116455</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-2116455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-1224915</wp:posOffset>
            </wp:positionV>
            <wp:extent cx="93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-1224915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September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4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2,634</w:t>
            </w:r>
          </w:p>
        </w:tc>
        <w:tc>
          <w:tcPr>
            <w:tcW w:w="9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385</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impairment, and loss on the sale of fixed assets</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Occupancy</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w:t>
            </w: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Pre-clinical research</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r>
      <w:tr>
        <w:trPr>
          <w:trHeight w:val="223"/>
        </w:trPr>
        <w:tc>
          <w:tcPr>
            <w:tcW w:w="664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5,416</w:t>
            </w:r>
          </w:p>
        </w:tc>
        <w:tc>
          <w:tcPr>
            <w:tcW w:w="9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5,845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(429 )</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-179070</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Research and development expenses decreased $0.4 million from $5.8 million for the three months ended September 30, 2023 to $5.4 million for the three months ended September 30, 2024. The decrease was primarily attributable to a $0.5 million decrease in employee-related expenses due to the corporate restructuring in the fourth quarter of 2023 and a $0.2 million decrease in depreciation, impairment, and loss on the sale of fixed assets. These decreases were partially offset by a $0.4 million increase in clinical development costs driven by increased manufacturing costs for CAN-2409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September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ind w:right="555"/>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5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110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1,678</w:t>
            </w:r>
          </w:p>
        </w:tc>
        <w:tc>
          <w:tcPr>
            <w:tcW w:w="9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1,720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11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507</w:t>
            </w: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w:t>
            </w:r>
          </w:p>
        </w:tc>
        <w:tc>
          <w:tcPr>
            <w:tcW w:w="1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Occupancy</w:t>
            </w:r>
          </w:p>
        </w:tc>
        <w:tc>
          <w:tcPr>
            <w:tcW w:w="11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11</w:t>
            </w:r>
          </w:p>
        </w:tc>
      </w:tr>
      <w:tr>
        <w:trPr>
          <w:trHeight w:val="230"/>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23"/>
        </w:trPr>
        <w:tc>
          <w:tcPr>
            <w:tcW w:w="510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3,341</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3,016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325</w:t>
            </w:r>
          </w:p>
        </w:tc>
      </w:tr>
      <w:tr>
        <w:trPr>
          <w:trHeight w:val="20"/>
        </w:trPr>
        <w:tc>
          <w:tcPr>
            <w:tcW w:w="5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-179070</wp:posOffset>
            </wp:positionV>
            <wp:extent cx="1289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-179070</wp:posOffset>
            </wp:positionV>
            <wp:extent cx="12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General and administrative expenses increased $0.3 million from $3.0 million for the three months ended September 30, 2023 to $3.3 million for the three months ended September 30, 2024. The increase was primarily attributable to a $0.5 million increase in professional and consulting fees. The increase was partially offset by a $0.1 million decrease in the cost of directors and officers insurance.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98"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Grant income was zero and $12,000 for the three months ended September 30, 2024 and 2023, respectively. Grant income for the three months ended September 30, 2023 relates to the recognition of income from a grant from the Massachusetts Life Sciences Center.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8"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Interest income was $0.2 million and $0.5 million for the three months ended September 30, 2024 and 2023, respectively, and primarily represents earnings on our cash equivalents. The decrease in interest income is the result of interest being generated on a lower cash equivalents balance for the three months ended September 30, 2024 compared to the three months ended September 30,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Interest expense was $0.5 million and $0.7 million for the three months ended September 30, 2024 and 2023, respectively, and represents interest expense on our outstanding debt obligations.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98" w:lineRule="exact"/>
        <w:rPr>
          <w:sz w:val="20"/>
          <w:szCs w:val="20"/>
          <w:color w:val="auto"/>
        </w:rPr>
      </w:pPr>
    </w:p>
    <w:p>
      <w:pPr>
        <w:jc w:val="both"/>
        <w:ind w:right="480"/>
        <w:spacing w:after="0" w:line="249" w:lineRule="auto"/>
        <w:rPr>
          <w:sz w:val="20"/>
          <w:szCs w:val="20"/>
          <w:color w:val="auto"/>
        </w:rPr>
      </w:pPr>
      <w:r>
        <w:rPr>
          <w:rFonts w:ascii="Arial" w:cs="Arial" w:eastAsia="Arial" w:hAnsi="Arial"/>
          <w:sz w:val="17"/>
          <w:szCs w:val="17"/>
          <w:color w:val="auto"/>
        </w:rPr>
        <w:t>The change in fair value of our warrant liability was an increase of $1.6 million for the three months ended September 30, 2024, compared to a decrease of $0.6 million for the three months ended September 30, 2023. The change in fair value of the warrant liability is primarily driven by changes in the underlying value of our stock price.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Comparison of the Nine </w:t>
      </w:r>
      <w:r>
        <w:rPr>
          <w:rFonts w:ascii="Arial" w:cs="Arial" w:eastAsia="Arial" w:hAnsi="Arial"/>
          <w:sz w:val="17"/>
          <w:szCs w:val="17"/>
          <w:b w:val="1"/>
          <w:bCs w:val="1"/>
          <w:i w:val="1"/>
          <w:iCs w:val="1"/>
          <w:color w:val="auto"/>
        </w:rPr>
        <w:t>Months Ended September 30, 2024 and 2023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nine months ended September 30, 2024 and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14,497</w:t>
            </w:r>
          </w:p>
        </w:tc>
        <w:tc>
          <w:tcPr>
            <w:tcW w:w="26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17,248</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(2,751 )</w:t>
            </w: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10,733</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6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25,230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(2,843 )</w:t>
            </w: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(25,230 )</w:t>
            </w: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(28,073 )</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3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(870 )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(1,700 )</w:t>
            </w:r>
          </w:p>
        </w:tc>
        <w:tc>
          <w:tcPr>
            <w:tcW w:w="4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(1,922 )</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(14,970 )</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(16,419 )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(41,104 )</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(26,844 )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(14,260 )</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-1071245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-1071245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-179070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-179070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nine months ended September 30, 2024 and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8,773</w:t>
            </w: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(1,131 )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3,947</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(1,078 )</w:t>
            </w: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impairment, and loss on the sale of fixed assets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Pre-clinical research</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(272 )</w:t>
            </w:r>
          </w:p>
        </w:tc>
      </w:tr>
      <w:tr>
        <w:trPr>
          <w:trHeight w:val="23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14,497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17,248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(2,751 )</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-179070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-179070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100"/>
        <w:spacing w:after="0" w:line="241" w:lineRule="auto"/>
        <w:rPr>
          <w:sz w:val="20"/>
          <w:szCs w:val="20"/>
          <w:color w:val="auto"/>
        </w:rPr>
      </w:pPr>
      <w:r>
        <w:rPr>
          <w:rFonts w:ascii="Arial" w:cs="Arial" w:eastAsia="Arial" w:hAnsi="Arial"/>
          <w:sz w:val="17"/>
          <w:szCs w:val="17"/>
          <w:color w:val="auto"/>
        </w:rPr>
        <w:t>Research and development expenses decreased $2.7 million from $17.2 million for the nine months ended September 30, 2023 to $14.5 million for the nine months ended September 30, 2024. The decrease was primarily attributable to a $1.1 million decrease in employee-related expenses due to the corporate restructuring in the fourth quarter of 2023, a $1.1 million decrease in clinical development costs driven by decreased regulatory and clinical trial costs for CAN-2409 programs, a $0.3 million decrease in recruiting costs, a $0.2 million decrease in depreciation, impairment, and loss on the sale of fixed assets and a $0.2 million decrease in pre-clinical research costs.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nine months ended September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7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(599 )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Recruiting</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(190 )</w:t>
            </w: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10,733</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160"/>
        <w:spacing w:after="0" w:line="244" w:lineRule="auto"/>
        <w:rPr>
          <w:sz w:val="20"/>
          <w:szCs w:val="20"/>
          <w:color w:val="auto"/>
        </w:rPr>
      </w:pPr>
      <w:r>
        <w:rPr>
          <w:rFonts w:ascii="Arial" w:cs="Arial" w:eastAsia="Arial" w:hAnsi="Arial"/>
          <w:sz w:val="17"/>
          <w:szCs w:val="17"/>
          <w:color w:val="auto"/>
        </w:rPr>
        <w:t>General and administrative expenses decreased $0.1 million from $10.8 million for the nine months ended September 30, 2023 to $10.7 million for the nine months ended September 30, 2024. The decrease was primarily attributable to a $0.6 million decrease in employee-related expenses due to the corporate restructuring in the fourth quarter of 2023, a $0.4 million decrease in the cost of directors and officers insurance and a $0.2 million decrease in recruiting costs. These decreases were partially offset by a $1.2 million increase in professional and consulting fees.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98"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color w:val="auto"/>
        </w:rPr>
        <w:t>Grant income was zero and $36,000 for the nine months ended September 30, 2024 and 2023, respectively. Grant income for the nine months ended September 30, 2023 relates to the recognition of income from a grant from the Massachusetts Life Sciences Center.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Interest income was $0.8 million and $1.7 million for the nine months ended September 30, 2024 and 2023, respectively, and primarily represents earnings on our cash equivalents. The decrease in interest income is the result of interest being generated on a lower cash equivalents balance for the nine months ended September 30, 2024 compared to the nine months ended September 30,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8"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Interest expense was $1.7 million and $1.9 million for the nine months ended September 30, 2024 and 2023, respectively, and represents interest expense on our outstanding debt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98" w:lineRule="exact"/>
        <w:rPr>
          <w:sz w:val="20"/>
          <w:szCs w:val="20"/>
          <w:color w:val="auto"/>
        </w:rPr>
      </w:pPr>
    </w:p>
    <w:p>
      <w:pPr>
        <w:ind w:right="460"/>
        <w:spacing w:after="0" w:line="249" w:lineRule="auto"/>
        <w:rPr>
          <w:sz w:val="20"/>
          <w:szCs w:val="20"/>
          <w:color w:val="auto"/>
        </w:rPr>
      </w:pPr>
      <w:r>
        <w:rPr>
          <w:rFonts w:ascii="Arial" w:cs="Arial" w:eastAsia="Arial" w:hAnsi="Arial"/>
          <w:sz w:val="17"/>
          <w:szCs w:val="17"/>
          <w:color w:val="auto"/>
        </w:rPr>
        <w:t>The change in fair value of our warrant liability was an increase of $15.0 million for the nine months ended September 30, 2024, compared to a decrease of $1.4 million for the nine months ended September 30, 2023. The change in fair value of the warrant liability is primarily driven by changes in the underlying value of our stock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Based on current plans and assumptions, we expect that our existing cash and cash equivalents will be sufficient to fund our current operating plan to the end of the first quarter of 2025.</w:t>
      </w:r>
    </w:p>
    <w:p>
      <w:pPr>
        <w:spacing w:after="0" w:line="7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September 30, 2024, we have raised approximately $169.9 million, including $15.6 million of government grants, $66.1 million from the sale of convertible preferred stock, $86.8 million from the sale of our common stock, and $1.4 million from stock option exercises. Our cash and cash equivalents totaled $16.6 million as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3" w:name="page34"/>
    <w:bookmarkEnd w:id="33"/>
    <w:p>
      <w:pPr>
        <w:spacing w:after="0" w:line="249" w:lineRule="auto"/>
        <w:rPr>
          <w:sz w:val="20"/>
          <w:szCs w:val="20"/>
          <w:color w:val="auto"/>
        </w:rPr>
      </w:pPr>
      <w:r>
        <w:rPr>
          <w:rFonts w:ascii="Arial" w:cs="Arial" w:eastAsia="Arial" w:hAnsi="Arial"/>
          <w:sz w:val="17"/>
          <w:szCs w:val="17"/>
          <w:color w:val="auto"/>
        </w:rPr>
        <w:t>September 30, 2024. We had $14.9 million of debt as of September 30, 2024. As of September 30, 2024, we have raised $7.7 million under our ATM Program (as defined below). Subsequent to September 30, 2024 and through November 4, 2024, we have raised an additional $2.0 million of net proceeds under our ATM Program.</w:t>
      </w:r>
    </w:p>
    <w:p>
      <w:pPr>
        <w:spacing w:after="0" w:line="6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February 24, 2022, we entered into a Loan Agreement with SVB pursuant to which SVB agreed to provide term loans to us in an aggregate principal amount of $20.0 million. We borrowed $20.0 million upon entering into the Loan Agreement. We could have borrowed up to an additional aggregate principal amount not to exceed $5.0 million, at any time on or prior to December 31, 2022, upon the achievement of all of the following milestones, inclusively: (a) positive phase 2 clinical activity data from our CAN-2409 NSCLC clinical trial, (b) dosing of our first patient in our phase 3 CAN-2409 high-grade glioma clinical trial; and (c) receipt on or prior to December 31, 2022, of net cash proceeds in an amount equal to at least $75.0 million from the issuance and sale of equity securities to investors acceptable to SVB. We did not borrow any of the additional aggregate principal amount on or prior to December 31, 2022. The term loans are secured by substantially all of our properties, rights and assets, except for our intellectual property, which is subject to a negative pledge under the Loan Agreement.</w:t>
      </w:r>
    </w:p>
    <w:p>
      <w:pPr>
        <w:spacing w:after="0" w:line="7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November 4, 2024, we have sold and issued 1,619,142 shares of common stock under the ATM Program, with total net proceeds of $9.7 million.</w:t>
      </w:r>
    </w:p>
    <w:p>
      <w:pPr>
        <w:spacing w:after="0" w:line="7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of September 30, 2024, we had an accumulated deficit of $178.1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2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1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(21,209 )</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(26,822 )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2,367</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1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(18,855 )</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(27,075 )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20" w:type="dxa"/>
            <w:vAlign w:val="bottom"/>
            <w:vMerge w:val="restart"/>
          </w:tcPr>
          <w:p>
            <w:pPr>
              <w:jc w:val="right"/>
              <w:ind w:right="1890"/>
              <w:spacing w:after="0"/>
              <w:rPr>
                <w:sz w:val="20"/>
                <w:szCs w:val="20"/>
                <w:color w:val="auto"/>
              </w:rPr>
            </w:pPr>
            <w:r>
              <w:rPr>
                <w:rFonts w:ascii="Arial" w:cs="Arial" w:eastAsia="Arial" w:hAnsi="Arial"/>
                <w:sz w:val="18"/>
                <w:szCs w:val="18"/>
                <w:color w:val="auto"/>
              </w:rPr>
              <w:t>27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4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4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-1224915</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4" w:name="page35"/>
    <w:bookmarkEnd w:id="34"/>
    <w:p>
      <w:pPr>
        <w:ind w:right="5380"/>
        <w:spacing w:after="0" w:line="372" w:lineRule="auto"/>
        <w:rPr>
          <w:sz w:val="20"/>
          <w:szCs w:val="20"/>
          <w:color w:val="auto"/>
        </w:rPr>
      </w:pPr>
      <w:r>
        <w:rPr>
          <w:rFonts w:ascii="Arial" w:cs="Arial" w:eastAsia="Arial" w:hAnsi="Arial"/>
          <w:sz w:val="18"/>
          <w:szCs w:val="18"/>
          <w:b w:val="1"/>
          <w:bCs w:val="1"/>
          <w:i w:val="1"/>
          <w:iCs w:val="1"/>
          <w:color w:val="auto"/>
        </w:rPr>
        <w:t>Cash Flows for the nine months ended September 30, 2024 and 2023 Operating Activities</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Net cash used in operating activities for the nine months ended September 30, 2024 was $21.2 million, primarily consisting of a net loss of $41.1 million as we incurred expenses associated with our clinical programs and incurred costs associated with operating as a public company. We had non-cash charges of $20.3 million primarily related to the $15.0 million change in the fair value of our warrant liability and non-cash stock compensation. Net cash used in operating activities was also impacted by $0.4 million in changes in operating assets and liabilities, primarily driven by a decrease of $0.4 million in lease liability.</w:t>
      </w:r>
    </w:p>
    <w:p>
      <w:pPr>
        <w:spacing w:after="0" w:line="7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Net cash used in operating activities for the nine months ended September 30, 2023 was $26.8 million, primarily consisting of a net loss of $26.8 million as we incurred expenses associated with our clinical programs, increased our headcount and incurred costs associated with operating as a public company. In addition, we had non-cash income of $1.4 million as a result of the change in the fair value of our warrant liability. Non-cash income was offset by $3.6 million in non-cash charges primarily related to depreciation and non-cash stock compensation expense. Net cash used in operating activities was also impacted by $2.1 million in changes in operating assets and liabilities, primarily driven by a decrease of $1.2 million in accrued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nine months ended September 30, 2024 was $13,000 and consisted of the purchase of fixed assets.</w:t>
      </w:r>
    </w:p>
    <w:p>
      <w:pPr>
        <w:spacing w:after="0" w:line="10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Net cash used in investing activities for the nine months ended September 30, 2023 was $0.3 million and consisted of the purchase of fixed assets, which was partially offset by proceeds from the sale of fixed assets.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Net cash provided by financing activities for the nine months ended September 30, 2024 was $2.4 million and consisted of $1.3 million of proceeds from option exercises and $7.7 million of net proceeds from the issuance of common stock under our ATM Program, partially offset by $6.7 million of principal payments on our term loan with SVB.</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financing activities for the nine months ended September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7"/>
          <w:szCs w:val="17"/>
          <w:color w:val="auto"/>
        </w:rPr>
        <w:t>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marketing approval and commercialization. We also expect to incur additional costs associated with operating as a public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commercial manufacturing of our product candidate CAN-2409 and the development, construction and qualification of our clinical manufacturing capabilities, internally or through CDMOs for our product candidate CAN-3110;</w:t>
      </w:r>
    </w:p>
    <w:p>
      <w:pPr>
        <w:spacing w:after="0" w:line="65" w:lineRule="exact"/>
        <w:rPr>
          <w:rFonts w:ascii="Times New Roman" w:cs="Times New Roman" w:eastAsia="Times New Roman" w:hAnsi="Times New Roman"/>
          <w:sz w:val="17"/>
          <w:szCs w:val="17"/>
          <w:color w:val="auto"/>
        </w:rPr>
      </w:pPr>
    </w:p>
    <w:p>
      <w:pPr>
        <w:ind w:left="1020" w:right="460" w:hanging="503"/>
        <w:spacing w:after="0" w:line="26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5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believe that our existing cash and cash equivalents as of September 30, 2024, will enable us to fund our operating expenses and capital expense requirements to the end of the first quarter of 2025. We have based this estimate on assumptions that may prove to be incorrect, and we could utilize our available capital resources sooner than we currently expect.</w:t>
      </w:r>
    </w:p>
    <w:p>
      <w:pPr>
        <w:spacing w:after="0" w:line="6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5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35" w:name="page36"/>
    <w:bookmarkEnd w:id="35"/>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6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14" w:lineRule="exact"/>
        <w:rPr>
          <w:rFonts w:ascii="Times New Roman" w:cs="Times New Roman" w:eastAsia="Times New Roman" w:hAnsi="Times New Roman"/>
          <w:sz w:val="17"/>
          <w:szCs w:val="17"/>
          <w:color w:val="auto"/>
        </w:rPr>
      </w:pPr>
    </w:p>
    <w:p>
      <w:pPr>
        <w:ind w:left="1020" w:right="10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5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51"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1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September 30,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79"/>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3 TO 5</w:t>
            </w:r>
          </w:p>
        </w:tc>
      </w:t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r>
      <w:tr>
        <w:trPr>
          <w:trHeight w:val="223"/>
        </w:trPr>
        <w:tc>
          <w:tcPr>
            <w:tcW w:w="5820" w:type="dxa"/>
            <w:vAlign w:val="bottom"/>
            <w:shd w:val="clear" w:color="auto" w:fill="CFF0FC"/>
          </w:tcPr>
          <w:p>
            <w:pPr>
              <w:ind w:left="20"/>
              <w:spacing w:after="0" w:line="222" w:lineRule="exact"/>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1,180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609</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571</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Loan Agreement with SVB </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15,241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10,934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4,307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Periphagen Note </w:t>
            </w:r>
            <w:r>
              <w:rPr>
                <w:rFonts w:ascii="Arial" w:cs="Arial" w:eastAsia="Arial" w:hAnsi="Arial"/>
                <w:sz w:val="22"/>
                <w:szCs w:val="22"/>
                <w:color w:val="auto"/>
                <w:vertAlign w:val="superscript"/>
              </w:rPr>
              <w:t>(3)</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1,352</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17,773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11,543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4,878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1,352</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-179070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-179070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ind w:left="380" w:right="120" w:hanging="372"/>
        <w:spacing w:after="0" w:line="205" w:lineRule="auto"/>
        <w:tabs>
          <w:tab w:leader="none" w:pos="3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Represents future minimum lease payments under our operating lease for office and laboratory space at our Needham, Massachusetts facility. Our facility lease extends to August of 2026.</w:t>
      </w:r>
    </w:p>
    <w:p>
      <w:pPr>
        <w:spacing w:after="0" w:line="1" w:lineRule="exact"/>
        <w:rPr>
          <w:rFonts w:ascii="Arial" w:cs="Arial" w:eastAsia="Arial" w:hAnsi="Arial"/>
          <w:sz w:val="23"/>
          <w:szCs w:val="23"/>
          <w:color w:val="auto"/>
          <w:vertAlign w:val="superscript"/>
        </w:rPr>
      </w:pPr>
    </w:p>
    <w:p>
      <w:pPr>
        <w:ind w:left="380" w:hanging="372"/>
        <w:spacing w:after="0" w:line="187" w:lineRule="auto"/>
        <w:tabs>
          <w:tab w:leader="none" w:pos="3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future principal, interest payments, and the final payment fee on our Loan Agreement with SVB, which matures on January 1, 2026.</w:t>
      </w:r>
    </w:p>
    <w:p>
      <w:pPr>
        <w:ind w:left="380" w:right="820" w:hanging="372"/>
        <w:spacing w:after="0" w:line="207" w:lineRule="auto"/>
        <w:tabs>
          <w:tab w:leader="none" w:pos="3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Represents a $1.0 million promissory note plus interest under the terms of our asset purchase agreements with Periphagen, Inc. The promissory note is due upon maturity in November 2027.</w:t>
      </w:r>
    </w:p>
    <w:p>
      <w:pPr>
        <w:spacing w:after="0" w:line="73"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See our condensed consolidated financial statements and related footnotes elsewhere in this Form 10-Q for additional information on these agreements.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6" w:name="page37"/>
    <w:bookmarkEnd w:id="36"/>
    <w:p>
      <w:pPr>
        <w:ind w:right="80"/>
        <w:spacing w:after="0" w:line="245"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7"/>
          <w:szCs w:val="17"/>
          <w:color w:val="auto"/>
        </w:rPr>
        <w:t>management’s discussion and analysis of financial condition and results of operations is based on our financial statements, which have been</w:t>
      </w:r>
      <w:r>
        <w:rPr>
          <w:rFonts w:ascii="Arial" w:cs="Arial" w:eastAsia="Arial" w:hAnsi="Arial"/>
          <w:sz w:val="18"/>
          <w:szCs w:val="18"/>
          <w:color w:val="auto"/>
        </w:rPr>
        <w:t xml:space="preserve"> </w:t>
      </w:r>
      <w:r>
        <w:rPr>
          <w:rFonts w:ascii="Arial" w:cs="Arial" w:eastAsia="Arial" w:hAnsi="Arial"/>
          <w:sz w:val="17"/>
          <w:szCs w:val="17"/>
          <w:color w:val="auto"/>
        </w:rPr>
        <w:t>prepared in accordance with U.S. generally accepted accounting principles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During the three and nine months ended September 30, 2024, there were no material changes to our critical accounting estimates as reported in our Annual Report on Form 10-K for the year ended December 31, 2023. For a full discussion of these estimates, see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within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year ended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description of recent accounting pronouncements that may potentially impact our financial position, results of operations, or cash flows is</w:t>
      </w:r>
      <w:r>
        <w:rPr>
          <w:rFonts w:ascii="Arial" w:cs="Arial" w:eastAsia="Arial" w:hAnsi="Arial"/>
          <w:sz w:val="18"/>
          <w:szCs w:val="18"/>
          <w:color w:val="auto"/>
        </w:rPr>
        <w:t xml:space="preserve"> </w:t>
      </w:r>
      <w:r>
        <w:rPr>
          <w:rFonts w:ascii="Arial" w:cs="Arial" w:eastAsia="Arial" w:hAnsi="Arial"/>
          <w:sz w:val="17"/>
          <w:szCs w:val="17"/>
          <w:color w:val="auto"/>
        </w:rPr>
        <w:t>disclosed in Note 2 to our condensed consolidated financial statements included elsewhere in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(our principal executive officer and principal financial officer, respectively), evaluated the effectiveness of our disclosure controls and procedures as of September 30, 2024. Based on the evaluation of our disclosure controls and procedures as of September 30, 2024, our Chief Executive Officer and Interim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7"/>
          <w:szCs w:val="17"/>
          <w:color w:val="auto"/>
        </w:rPr>
        <w:t>time to time, we may become involved in litigation or other legal proceedings.</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Arial" w:cs="Arial" w:eastAsia="Arial" w:hAnsi="Arial"/>
          <w:sz w:val="21"/>
          <w:szCs w:val="2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sale of our common stock. From our inception through September 30, 2024, we raised an aggregate of $152.9 million of gross proceeds from such transactions. In addition, in February 2022, we borrowed $20.0 million under the Loan Agreement with SVB. As of September 30, 2024, our cash and cash equivalents were $16.6 million. We have incurred net losses in each year since our inception, and we had an accumulated deficit of $178.1 million as of September 30, 2024. For the nine months ended September 30, 2024 and 2023, we reported net losses of $41.1 million and $26.8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7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020" w:right="2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9" w:name="page40"/>
    <w:bookmarkEnd w:id="39"/>
    <w:p>
      <w:pPr>
        <w:ind w:left="1020" w:right="260" w:hanging="503"/>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ind w:left="1020" w:right="280" w:hanging="503"/>
        <w:spacing w:after="0" w:line="249"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0" w:name="page41"/>
    <w:bookmarkEnd w:id="40"/>
    <w:p>
      <w:pPr>
        <w:ind w:left="1020" w:right="20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There is substantial doubt regarding our ability to continue as a going concern. We will need to raise substantial additional funding, which may not be available on acceptable terms, or at all. If we are unable to raise capital when needed, we would be forced to delay, reduce or eliminate some of our product development programs or commercialization efforts or initiate steps to cease operations.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our existing cash and cash equivalents will be sufficient to fund our current operating plan to the end of the first quarter of 2025.</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However, our future capital requirements will depend on and could increase significantly as a result of many factors, including:</w:t>
      </w:r>
    </w:p>
    <w:p>
      <w:pPr>
        <w:spacing w:after="0" w:line="86" w:lineRule="exact"/>
        <w:rPr>
          <w:sz w:val="20"/>
          <w:szCs w:val="20"/>
          <w:color w:val="auto"/>
        </w:rPr>
      </w:pPr>
    </w:p>
    <w:p>
      <w:pPr>
        <w:ind w:left="1020" w:right="8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ind w:left="1020" w:right="180" w:hanging="503"/>
        <w:spacing w:after="0" w:line="249"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2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1020" w:right="72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51" w:lineRule="exact"/>
        <w:rPr>
          <w:rFonts w:ascii="Times New Roman" w:cs="Times New Roman" w:eastAsia="Times New Roman" w:hAnsi="Times New Roman"/>
          <w:sz w:val="17"/>
          <w:szCs w:val="17"/>
          <w:color w:val="auto"/>
        </w:rPr>
      </w:pPr>
    </w:p>
    <w:p>
      <w:pPr>
        <w:ind w:left="1020" w:right="72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1" w:name="page42"/>
    <w:bookmarkEnd w:id="41"/>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1020" w:right="42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As of September 30, 2024, our cash and cash equivalents were $16.6 million. Based on our current business plan, there is substantial doubt regarding our ability to continue as a going concern for a period of one year after the date that our financial statements for the quarter ended September 30, 2024 are issued and we need to raise significant amounts of additional funding to complete all of our ongoing trials and execute on our business plan. Financing may not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In addition, our efforts to raise additional capital may divert our management from their day-to-day activities, which may adversely affect our ability to develop our product candidates in a timely manner.</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If we are unable to obtain adequate funding on a timely basis or on terms acceptable to us, we may be required to revise our business plan and strategy and potentially curtail, delay, or discontinue one or more of our clinical trials, our research efforts, product development, future commercialization efforts, we may be unable to expand our operations or otherwise capitalize on our business opportunities, or we may be required to initiate steps to cease operations. As a result, our business, financial condition and results of operations could be materially affected.</w:t>
      </w:r>
    </w:p>
    <w:p>
      <w:pPr>
        <w:spacing w:after="0" w:line="6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we undertook an organizational restructuring that significantly reduced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 Our restructuring may lead to employee litigation related to the headcount reduction, which could be costly and prevent management from fully concentrating on the business.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2" w:name="page43"/>
    <w:bookmarkEnd w:id="42"/>
    <w:p>
      <w:pPr>
        <w:jc w:val="both"/>
        <w:ind w:right="140"/>
        <w:spacing w:after="0" w:line="249" w:lineRule="auto"/>
        <w:rPr>
          <w:sz w:val="20"/>
          <w:szCs w:val="20"/>
          <w:color w:val="auto"/>
        </w:rPr>
      </w:pPr>
      <w:r>
        <w:rPr>
          <w:rFonts w:ascii="Arial" w:cs="Arial" w:eastAsia="Arial" w:hAnsi="Arial"/>
          <w:sz w:val="17"/>
          <w:szCs w:val="17"/>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SVB could declare a default upon the occurrence of a Material Adverse Change, as defined in the Loan Agreement. Upon the occurrence and continuance of an event of default, SVB may declare all outstanding obligations immediately due and payable and take such other actions as set forth in the Loan Agreement. Any declaration by SVB of an event of default could significantly harm our business and prospects and could cause the price of our common stock to decline. We may not have enough available cash or be able to raise additional funds through equity or debt financings to repay these outstanding obligations at the time any event of default occurs, in which case we may have to restructure our obligations, in a court-supervised process or otherwise.</w:t>
      </w:r>
    </w:p>
    <w:p>
      <w:pPr>
        <w:spacing w:after="0" w:line="115"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In addition, 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67"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3" w:name="page44"/>
    <w:bookmarkEnd w:id="43"/>
    <w:p>
      <w:pPr>
        <w:ind w:right="20"/>
        <w:spacing w:after="0" w:line="244" w:lineRule="auto"/>
        <w:rPr>
          <w:sz w:val="20"/>
          <w:szCs w:val="20"/>
          <w:color w:val="auto"/>
        </w:rPr>
      </w:pPr>
      <w:r>
        <w:rPr>
          <w:rFonts w:ascii="Arial" w:cs="Arial" w:eastAsia="Arial" w:hAnsi="Arial"/>
          <w:sz w:val="17"/>
          <w:szCs w:val="17"/>
          <w:color w:val="auto"/>
        </w:rPr>
        <w:t>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6"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6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4" w:name="page45"/>
    <w:bookmarkEnd w:id="44"/>
    <w:p>
      <w:pPr>
        <w:ind w:right="8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to date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recurrent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5" w:name="page46"/>
    <w:bookmarkEnd w:id="45"/>
    <w:p>
      <w:pPr>
        <w:jc w:val="both"/>
        <w:ind w:right="300"/>
        <w:spacing w:after="0" w:line="267" w:lineRule="auto"/>
        <w:rPr>
          <w:sz w:val="20"/>
          <w:szCs w:val="20"/>
          <w:color w:val="auto"/>
        </w:rPr>
      </w:pPr>
      <w:r>
        <w:rPr>
          <w:rFonts w:ascii="Arial" w:cs="Arial" w:eastAsia="Arial" w:hAnsi="Arial"/>
          <w:sz w:val="17"/>
          <w:szCs w:val="17"/>
          <w:color w:val="auto"/>
        </w:rPr>
        <w:t>require us to obtain and submit additional clinical data due to these inconsistent or unfavorable results, which could delay clinical development or marketing approval of CAN-2409 and/or CAN-3110 or potentially our other product candidates.</w:t>
      </w:r>
    </w:p>
    <w:p>
      <w:pPr>
        <w:spacing w:after="0" w:line="51"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4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6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2"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6" w:name="page47"/>
    <w:bookmarkEnd w:id="46"/>
    <w:p>
      <w:pPr>
        <w:ind w:right="80"/>
        <w:spacing w:after="0" w:line="236"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11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w:t>
      </w:r>
    </w:p>
    <w:p>
      <w:pPr>
        <w:spacing w:after="0" w:line="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talimogene laherparepvec (Imlygic, Amgen) and nadofaragene firadenovec-vncg (Adstiladrin, Ferring Pharmaceuticals) have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investigating CAN-2409 in prostate cancer is a disease-free survival (DFS) endpoint with final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7" w:name="page48"/>
    <w:bookmarkEnd w:id="47"/>
    <w:p>
      <w:pPr>
        <w:ind w:right="40"/>
        <w:spacing w:after="0" w:line="244" w:lineRule="auto"/>
        <w:rPr>
          <w:sz w:val="20"/>
          <w:szCs w:val="20"/>
          <w:color w:val="auto"/>
        </w:rPr>
      </w:pPr>
      <w:r>
        <w:rPr>
          <w:rFonts w:ascii="Arial" w:cs="Arial" w:eastAsia="Arial" w:hAnsi="Arial"/>
          <w:sz w:val="17"/>
          <w:szCs w:val="17"/>
          <w:color w:val="auto"/>
        </w:rPr>
        <w:t>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69"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8" w:name="page49"/>
    <w:bookmarkEnd w:id="48"/>
    <w:p>
      <w:pPr>
        <w:ind w:right="80"/>
        <w:spacing w:after="0" w:line="249" w:lineRule="auto"/>
        <w:rPr>
          <w:sz w:val="20"/>
          <w:szCs w:val="20"/>
          <w:color w:val="auto"/>
        </w:rPr>
      </w:pPr>
      <w:r>
        <w:rPr>
          <w:rFonts w:ascii="Arial" w:cs="Arial" w:eastAsia="Arial" w:hAnsi="Arial"/>
          <w:sz w:val="17"/>
          <w:szCs w:val="17"/>
          <w:color w:val="auto"/>
        </w:rPr>
        <w:t>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6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7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1020" w:right="480" w:hanging="503"/>
        <w:spacing w:after="0" w:line="266"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1"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3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1020" w:right="240" w:hanging="503"/>
        <w:spacing w:after="0" w:line="249"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9" w:name="page50"/>
    <w:bookmarkEnd w:id="49"/>
    <w:p>
      <w:pPr>
        <w:ind w:left="1020" w:right="64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79"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1" w:name="page52"/>
    <w:bookmarkEnd w:id="51"/>
    <w:p>
      <w:pPr>
        <w:ind w:right="140"/>
        <w:spacing w:after="0" w:line="244" w:lineRule="auto"/>
        <w:rPr>
          <w:sz w:val="20"/>
          <w:szCs w:val="20"/>
          <w:color w:val="auto"/>
        </w:rPr>
      </w:pPr>
      <w:r>
        <w:rPr>
          <w:rFonts w:ascii="Arial" w:cs="Arial" w:eastAsia="Arial" w:hAnsi="Arial"/>
          <w:sz w:val="17"/>
          <w:szCs w:val="17"/>
          <w:color w:val="auto"/>
        </w:rPr>
        <w:t>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6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2"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CAN-2409 and CAN-3110, or if received for any other future product candidates, may not lead to a faster development or regulatory review or approval process, and does not increase the likelihood that our product candidates will receive marketing approval.</w:t>
      </w:r>
    </w:p>
    <w:p>
      <w:pPr>
        <w:spacing w:after="0" w:line="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HGG to improve overall survival. We may also seek fast track designation for certain of our future product candidates, as appropriate. However, there is no assurance that the FDA will grant this status to CAN-3110, CAN-2409,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2" w:name="page53"/>
    <w:bookmarkEnd w:id="52"/>
    <w:p>
      <w:pPr>
        <w:spacing w:after="0" w:line="239" w:lineRule="auto"/>
        <w:rPr>
          <w:sz w:val="20"/>
          <w:szCs w:val="20"/>
          <w:color w:val="auto"/>
        </w:rPr>
      </w:pPr>
      <w:r>
        <w:rPr>
          <w:rFonts w:ascii="Arial" w:cs="Arial" w:eastAsia="Arial" w:hAnsi="Arial"/>
          <w:sz w:val="17"/>
          <w:szCs w:val="17"/>
          <w:color w:val="auto"/>
        </w:rPr>
        <w:t>eligible for this designation, there can be no assurance that the FDA would decide to grant it. Even though we have received fast track designation for CAN-2409 and CAN-3110 or even if we receive fast track designation for our future product candidates or additional indications in CAN-2409 and CAN-3110,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7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i w:val="1"/>
          <w:iCs w:val="1"/>
          <w:color w:val="auto"/>
        </w:rPr>
        <w:t>We have received orphan drug designation from the FDA for CAN-2409 for the treatment of pancreatic cancer and for CAN-3110 for the treatment of recurrent HGG. We may seek orphan drug designation from regulatory authorities in other jurisdictions for CAN-2409 and CAN-3110,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received orphan drug designation from the FDA for CAN-2409 for the treatment of pancreatic cancer and for CAN-3110 for the treatment of recurrent HGG. Even if CAN-2409 or CAN-3110 were to obtain orphan drug exclusivity for this use upon marketing approval by the FDA, the benefit of that exclusivity may be limited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9"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53" w:name="page54"/>
    <w:bookmarkEnd w:id="53"/>
    <w:p>
      <w:pPr>
        <w:spacing w:after="0" w:line="241" w:lineRule="auto"/>
        <w:rPr>
          <w:sz w:val="20"/>
          <w:szCs w:val="20"/>
          <w:color w:val="auto"/>
        </w:rPr>
      </w:pPr>
      <w:r>
        <w:rPr>
          <w:rFonts w:ascii="Arial" w:cs="Arial" w:eastAsia="Arial" w:hAnsi="Arial"/>
          <w:sz w:val="17"/>
          <w:szCs w:val="17"/>
          <w:color w:val="auto"/>
        </w:rPr>
        <w:t>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72"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We may seek approval of our product candidate into Real-Time Oncology Review (RTOR). This program may not lead to a faster regulatory review or approval process and does not increase the likelihood that our product candidate(s) will receive marketing approval.</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1020" w:right="120" w:hanging="503"/>
        <w:spacing w:after="0" w:line="266"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4" w:name="page55"/>
    <w:bookmarkEnd w:id="54"/>
    <w:p>
      <w:pPr>
        <w:ind w:right="14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w:t>
      </w:r>
    </w:p>
    <w:p>
      <w:pPr>
        <w:spacing w:after="0" w:line="76" w:lineRule="exact"/>
        <w:rPr>
          <w:sz w:val="20"/>
          <w:szCs w:val="20"/>
          <w:color w:val="auto"/>
        </w:rPr>
      </w:pPr>
    </w:p>
    <w:p>
      <w:pPr>
        <w:jc w:val="both"/>
        <w:ind w:right="14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5" w:name="page56"/>
    <w:bookmarkEnd w:id="55"/>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6" w:name="page57"/>
    <w:bookmarkEnd w:id="56"/>
    <w:p>
      <w:pPr>
        <w:spacing w:after="0" w:line="234" w:lineRule="auto"/>
        <w:rPr>
          <w:sz w:val="20"/>
          <w:szCs w:val="20"/>
          <w:color w:val="auto"/>
        </w:rPr>
      </w:pPr>
      <w:r>
        <w:rPr>
          <w:rFonts w:ascii="Arial" w:cs="Arial" w:eastAsia="Arial" w:hAnsi="Arial"/>
          <w:sz w:val="17"/>
          <w:szCs w:val="17"/>
          <w:color w:val="auto"/>
        </w:rPr>
        <w:t>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8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9"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ind w:right="60"/>
        <w:spacing w:after="0" w:line="249" w:lineRule="auto"/>
        <w:rPr>
          <w:sz w:val="20"/>
          <w:szCs w:val="20"/>
          <w:color w:val="auto"/>
        </w:rPr>
      </w:pPr>
      <w:r>
        <w:rPr>
          <w:rFonts w:ascii="Arial" w:cs="Arial" w:eastAsia="Arial" w:hAnsi="Arial"/>
          <w:sz w:val="17"/>
          <w:szCs w:val="17"/>
          <w:color w:val="auto"/>
        </w:rPr>
        <w:t>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6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see “</w:t>
      </w:r>
      <w:r>
        <w:rPr>
          <w:rFonts w:ascii="Arial" w:cs="Arial" w:eastAsia="Arial" w:hAnsi="Arial"/>
          <w:sz w:val="17"/>
          <w:szCs w:val="17"/>
          <w:i w:val="1"/>
          <w:iCs w:val="1"/>
          <w:color w:val="auto"/>
        </w:rPr>
        <w:t>Business – Health Reform</w:t>
      </w:r>
      <w:r>
        <w:rPr>
          <w:rFonts w:ascii="Arial" w:cs="Arial" w:eastAsia="Arial" w:hAnsi="Arial"/>
          <w:sz w:val="17"/>
          <w:szCs w:val="17"/>
          <w:color w:val="auto"/>
        </w:rPr>
        <w:t>” in our Annual Report on Form 10-K for the year ended December 31, 2023.</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8" w:name="page59"/>
    <w:bookmarkEnd w:id="58"/>
    <w:p>
      <w:pPr>
        <w:ind w:right="720"/>
        <w:spacing w:after="0" w:line="280" w:lineRule="auto"/>
        <w:rPr>
          <w:sz w:val="20"/>
          <w:szCs w:val="20"/>
          <w:color w:val="auto"/>
        </w:rPr>
      </w:pPr>
      <w:r>
        <w:rPr>
          <w:rFonts w:ascii="Arial" w:cs="Arial" w:eastAsia="Arial" w:hAnsi="Arial"/>
          <w:sz w:val="17"/>
          <w:szCs w:val="17"/>
          <w:b w:val="1"/>
          <w:bCs w:val="1"/>
          <w:i w:val="1"/>
          <w:iCs w:val="1"/>
          <w:color w:val="auto"/>
        </w:rPr>
        <w:t>commercializing our current or future product candidates if and when they are approved, and we may not be able to generate any revenue.</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1020" w:right="50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69"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9" w:name="page60"/>
    <w:bookmarkEnd w:id="59"/>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7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0" w:name="page61"/>
    <w:bookmarkEnd w:id="60"/>
    <w:p>
      <w:pPr>
        <w:ind w:right="12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7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1" w:name="page62"/>
    <w:bookmarkEnd w:id="61"/>
    <w:p>
      <w:pPr>
        <w:ind w:right="20"/>
        <w:spacing w:after="0" w:line="235" w:lineRule="auto"/>
        <w:rPr>
          <w:sz w:val="20"/>
          <w:szCs w:val="20"/>
          <w:color w:val="auto"/>
        </w:rPr>
      </w:pPr>
      <w:r>
        <w:rPr>
          <w:rFonts w:ascii="Arial" w:cs="Arial" w:eastAsia="Arial" w:hAnsi="Arial"/>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66"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2" w:name="page63"/>
    <w:bookmarkEnd w:id="62"/>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On December 11, 2023, Jason A. Amello resigned from his position as our Chief Financial Officer, principal financial officer and principal accounting officer, effective January 12, 2024. Mr. Amello will remain an advisor to us in order to support the transition of his responsibilities. On January 12, 2024, our board of directors unanimously appointed Charles Schoch as the Company’s interim Chief Financial Officer, principal financial officer and principal accounting officer, effective January 12, 2024.</w:t>
      </w:r>
    </w:p>
    <w:p>
      <w:pPr>
        <w:spacing w:after="0" w:line="7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4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3" w:name="page64"/>
    <w:bookmarkEnd w:id="63"/>
    <w:p>
      <w:pPr>
        <w:spacing w:after="0" w:line="23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security incidents, which could result in a material disruption of our product candidates’ development programs.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incident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incidents, cyber-attacks or other related liabilities.</w:t>
      </w:r>
    </w:p>
    <w:p>
      <w:pPr>
        <w:spacing w:after="0" w:line="7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incident. Our business partners face similar risks, and any security incident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incident, industrial espionage attacks or insider threat attacks which could result in financial, legal, business or reputational harm.</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64" w:name="page65"/>
    <w:bookmarkEnd w:id="64"/>
    <w:p>
      <w:pPr>
        <w:ind w:right="40"/>
        <w:spacing w:after="0" w:line="238" w:lineRule="auto"/>
        <w:rPr>
          <w:sz w:val="20"/>
          <w:szCs w:val="20"/>
          <w:color w:val="auto"/>
        </w:rPr>
      </w:pPr>
      <w:r>
        <w:rPr>
          <w:rFonts w:ascii="Arial" w:cs="Arial" w:eastAsia="Arial" w:hAnsi="Arial"/>
          <w:sz w:val="17"/>
          <w:szCs w:val="17"/>
          <w:color w:val="auto"/>
        </w:rPr>
        <w:t>If a material security incident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spacing w:after="0" w:line="74"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5" w:name="page66"/>
    <w:bookmarkEnd w:id="65"/>
    <w:p>
      <w:pPr>
        <w:ind w:right="340"/>
        <w:spacing w:after="0" w:line="267" w:lineRule="auto"/>
        <w:rPr>
          <w:sz w:val="20"/>
          <w:szCs w:val="20"/>
          <w:color w:val="auto"/>
        </w:rPr>
      </w:pPr>
      <w:r>
        <w:rPr>
          <w:rFonts w:ascii="Arial" w:cs="Arial" w:eastAsia="Arial" w:hAnsi="Arial"/>
          <w:sz w:val="17"/>
          <w:szCs w:val="17"/>
          <w:color w:val="auto"/>
        </w:rPr>
        <w:t>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51"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6" w:name="page67"/>
    <w:bookmarkEnd w:id="66"/>
    <w:p>
      <w:pPr>
        <w:ind w:right="40"/>
        <w:spacing w:after="0" w:line="238" w:lineRule="auto"/>
        <w:rPr>
          <w:sz w:val="20"/>
          <w:szCs w:val="20"/>
          <w:color w:val="auto"/>
        </w:rPr>
      </w:pPr>
      <w:r>
        <w:rPr>
          <w:rFonts w:ascii="Arial" w:cs="Arial" w:eastAsia="Arial" w:hAnsi="Arial"/>
          <w:sz w:val="17"/>
          <w:szCs w:val="17"/>
          <w:color w:val="auto"/>
        </w:rPr>
        <w:t>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4"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4"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Other Healthcare Laws and Compliance Requirements</w:t>
      </w:r>
      <w:r>
        <w:rPr>
          <w:rFonts w:ascii="Arial" w:cs="Arial" w:eastAsia="Arial" w:hAnsi="Arial"/>
          <w:sz w:val="17"/>
          <w:szCs w:val="17"/>
          <w:color w:val="auto"/>
        </w:rPr>
        <w:t>” in our Annual Report on Form 10-K for the year ended December 31, 2023.</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7" w:name="page68"/>
    <w:bookmarkEnd w:id="67"/>
    <w:p>
      <w:pPr>
        <w:ind w:right="280"/>
        <w:spacing w:after="0" w:line="249" w:lineRule="auto"/>
        <w:rPr>
          <w:sz w:val="20"/>
          <w:szCs w:val="20"/>
          <w:color w:val="auto"/>
        </w:rPr>
      </w:pPr>
      <w:r>
        <w:rPr>
          <w:rFonts w:ascii="Arial" w:cs="Arial" w:eastAsia="Arial" w:hAnsi="Arial"/>
          <w:sz w:val="17"/>
          <w:szCs w:val="17"/>
          <w:color w:val="auto"/>
        </w:rPr>
        <w:t>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initial public offering (the IPO), and other transactions that have occurred over the past three years, we may have experienced, an “ownership change.” We may also experience ownership changes in the future as a result of subsequent shifts in our stock ownership. As of December 31, 2023, we had U.S. federal and state net operating loss carryforwards of $86.2 million and $79.6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2023, we had a U.S. federal net operating loss carryforward of $77.4 million which do not expire but is limited to an annual deduction equal to 80% of annual taxable income.</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8" w:name="page69"/>
    <w:bookmarkEnd w:id="68"/>
    <w:p>
      <w:pPr>
        <w:ind w:right="380"/>
        <w:spacing w:after="0" w:line="267" w:lineRule="auto"/>
        <w:rPr>
          <w:sz w:val="20"/>
          <w:szCs w:val="20"/>
          <w:color w:val="auto"/>
        </w:rPr>
      </w:pPr>
      <w:r>
        <w:rPr>
          <w:rFonts w:ascii="Arial" w:cs="Arial" w:eastAsia="Arial" w:hAnsi="Arial"/>
          <w:sz w:val="17"/>
          <w:szCs w:val="17"/>
          <w:color w:val="auto"/>
        </w:rPr>
        <w:t>us from realizing an adequate margin over cost. For more information,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2023.</w:t>
      </w:r>
    </w:p>
    <w:p>
      <w:pPr>
        <w:spacing w:after="0" w:line="5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9" w:name="page70"/>
    <w:bookmarkEnd w:id="69"/>
    <w:p>
      <w:pPr>
        <w:ind w:right="140"/>
        <w:spacing w:after="0" w:line="244" w:lineRule="auto"/>
        <w:rPr>
          <w:sz w:val="20"/>
          <w:szCs w:val="20"/>
          <w:color w:val="auto"/>
        </w:rPr>
      </w:pPr>
      <w:r>
        <w:rPr>
          <w:rFonts w:ascii="Arial" w:cs="Arial" w:eastAsia="Arial" w:hAnsi="Arial"/>
          <w:sz w:val="17"/>
          <w:szCs w:val="17"/>
          <w:color w:val="auto"/>
        </w:rPr>
        <w:t>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For certain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we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or will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on development and commercialization collaborators to develop and conduct clinical trials with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obtain regulatory approvals for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and if approved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market and sell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If such collaborators fail to perform as expected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the potential for us to generate future revenue from such product candidates would be significantly reduced and our business would be harmed</w:t>
      </w:r>
      <w:r>
        <w:rPr>
          <w:rFonts w:ascii="Arial" w:cs="Arial" w:eastAsia="Arial" w:hAnsi="Arial"/>
          <w:sz w:val="17"/>
          <w:szCs w:val="17"/>
          <w:i w:val="1"/>
          <w:iCs w:val="1"/>
          <w:color w:val="auto"/>
        </w:rPr>
        <w:t>.</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0" w:name="page71"/>
    <w:bookmarkEnd w:id="70"/>
    <w:p>
      <w:pPr>
        <w:ind w:left="1020" w:right="760"/>
        <w:spacing w:after="0" w:line="267" w:lineRule="auto"/>
        <w:rPr>
          <w:sz w:val="20"/>
          <w:szCs w:val="20"/>
          <w:color w:val="auto"/>
        </w:rPr>
      </w:pPr>
      <w:r>
        <w:rPr>
          <w:rFonts w:ascii="Arial" w:cs="Arial" w:eastAsia="Arial" w:hAnsi="Arial"/>
          <w:sz w:val="17"/>
          <w:szCs w:val="17"/>
          <w:color w:val="auto"/>
        </w:rPr>
        <w:t>studies or clinical trial results, changes in the collaborators’ strategic focus or available funding or external factors, such as an acquisition, that divert resources or create competing priorities;</w:t>
      </w:r>
    </w:p>
    <w:p>
      <w:pPr>
        <w:spacing w:after="0" w:line="51" w:lineRule="exact"/>
        <w:rPr>
          <w:sz w:val="20"/>
          <w:szCs w:val="20"/>
          <w:color w:val="auto"/>
        </w:rPr>
      </w:pPr>
    </w:p>
    <w:p>
      <w:pPr>
        <w:ind w:left="102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r>
        <w:rPr>
          <w:rFonts w:ascii="Arial" w:cs="Arial" w:eastAsia="Arial" w:hAnsi="Arial"/>
          <w:sz w:val="17"/>
          <w:szCs w:val="17"/>
          <w:i w:val="1"/>
          <w:iCs w:val="1"/>
          <w:color w:val="auto"/>
        </w:rPr>
        <w:t>.</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1" w:name="page72"/>
    <w:bookmarkEnd w:id="71"/>
    <w:p>
      <w:pPr>
        <w:ind w:left="1020" w:right="52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2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Arial" w:cs="Arial" w:eastAsia="Arial" w:hAnsi="Arial"/>
          <w:sz w:val="17"/>
          <w:szCs w:val="17"/>
          <w:i w:val="1"/>
          <w:iCs w:val="1"/>
          <w:color w:val="auto"/>
        </w:rPr>
        <w:t>.</w:t>
      </w:r>
    </w:p>
    <w:p>
      <w:pPr>
        <w:spacing w:after="0" w:line="4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72" w:name="page73"/>
    <w:bookmarkEnd w:id="72"/>
    <w:p>
      <w:pPr>
        <w:ind w:right="140"/>
        <w:spacing w:after="0" w:line="244" w:lineRule="auto"/>
        <w:rPr>
          <w:sz w:val="20"/>
          <w:szCs w:val="20"/>
          <w:color w:val="auto"/>
        </w:rPr>
      </w:pPr>
      <w:r>
        <w:rPr>
          <w:rFonts w:ascii="Arial" w:cs="Arial" w:eastAsia="Arial" w:hAnsi="Arial"/>
          <w:sz w:val="17"/>
          <w:szCs w:val="17"/>
          <w:color w:val="auto"/>
        </w:rPr>
        <w:t>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69"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3" w:name="page74"/>
    <w:bookmarkEnd w:id="73"/>
    <w:p>
      <w:pPr>
        <w:ind w:right="40"/>
        <w:spacing w:after="0" w:line="236" w:lineRule="auto"/>
        <w:rPr>
          <w:sz w:val="20"/>
          <w:szCs w:val="20"/>
          <w:color w:val="auto"/>
        </w:rPr>
      </w:pPr>
      <w:r>
        <w:rPr>
          <w:rFonts w:ascii="Arial" w:cs="Arial" w:eastAsia="Arial" w:hAnsi="Arial"/>
          <w:sz w:val="17"/>
          <w:szCs w:val="17"/>
          <w:color w:val="auto"/>
        </w:rPr>
        <w:t>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are also current geopolitical tensions with China that may affect our operations. For example, there have been Congressional legislative proposals, such as the bill titled the BIOSECURE Act, which would, among other things, prohibit U.S. federal funding in connection with biotechnology equipment or services produced or provided by certain named Chinese “biotechnology companies of concern” (which includes WuXi Biologics) and loans and grants to, and federal contracts with any entity that uses biotechnology equipment or services from one of these entities. Any additional executive action, legislative action or potential sanctions with China could materially impact one of our current partners, WuXi, and our agreement with them as it relates to our stability testing. We continue to assess the legislation as it develops to determine the effect, if any, on our contractual relationships.</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jc w:val="both"/>
        <w:ind w:right="22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4" w:name="page75"/>
    <w:bookmarkEnd w:id="74"/>
    <w:p>
      <w:pPr>
        <w:ind w:right="40"/>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Executive Officer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As of November 4, 2024, Estuardo Aguilar-Cordova and Laura Aguilar beneficially owned 6,079,080 shares of our common stock, or approximately 18.7% of our total outstanding capital stock as of such date. Accordingly, they will continue to have influence over certain business decisions, including with respect to such matters as amendments to our charter, other fundamental corporate transactions, such as mergers, asset sales, and the sale of the Company. In connection with the IPO, we adopted a written related-person transactions policy that sets forth our policies and procedures regarding the identification, review, consideration and oversight of related-person transactions.</w:t>
      </w:r>
    </w:p>
    <w:p>
      <w:pPr>
        <w:spacing w:after="0" w:line="72"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which increases the possibility that a competitor will discover them or that our trade secrets will be misappropriated or disclosed</w:t>
      </w:r>
      <w:r>
        <w:rPr>
          <w:rFonts w:ascii="Arial" w:cs="Arial" w:eastAsia="Arial" w:hAnsi="Arial"/>
          <w:sz w:val="17"/>
          <w:szCs w:val="17"/>
          <w:i w:val="1"/>
          <w:iCs w:val="1"/>
          <w:color w:val="auto"/>
        </w:rPr>
        <w:t>.</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5" w:name="page76"/>
    <w:bookmarkEnd w:id="75"/>
    <w:p>
      <w:pPr>
        <w:ind w:right="60"/>
        <w:spacing w:after="0" w:line="235"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6" w:name="page77"/>
    <w:bookmarkEnd w:id="76"/>
    <w:p>
      <w:pPr>
        <w:ind w:right="40"/>
        <w:spacing w:after="0" w:line="249" w:lineRule="auto"/>
        <w:rPr>
          <w:sz w:val="20"/>
          <w:szCs w:val="20"/>
          <w:color w:val="auto"/>
        </w:rPr>
      </w:pPr>
      <w:r>
        <w:rPr>
          <w:rFonts w:ascii="Arial" w:cs="Arial" w:eastAsia="Arial" w:hAnsi="Arial"/>
          <w:sz w:val="17"/>
          <w:szCs w:val="17"/>
          <w:color w:val="auto"/>
        </w:rPr>
        <w:t>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6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3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7" w:name="page78"/>
    <w:bookmarkEnd w:id="77"/>
    <w:p>
      <w:pPr>
        <w:jc w:val="both"/>
        <w:ind w:right="120"/>
        <w:spacing w:after="0" w:line="241"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7"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2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8" w:name="page79"/>
    <w:bookmarkEnd w:id="78"/>
    <w:p>
      <w:pPr>
        <w:ind w:left="1020" w:right="14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9" w:name="page80"/>
    <w:bookmarkEnd w:id="79"/>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0" w:name="page81"/>
    <w:bookmarkEnd w:id="80"/>
    <w:p>
      <w:pPr>
        <w:ind w:right="100"/>
        <w:spacing w:after="0" w:line="237" w:lineRule="auto"/>
        <w:rPr>
          <w:sz w:val="20"/>
          <w:szCs w:val="20"/>
          <w:color w:val="auto"/>
        </w:rPr>
      </w:pPr>
      <w:r>
        <w:rPr>
          <w:rFonts w:ascii="Arial" w:cs="Arial" w:eastAsia="Arial" w:hAnsi="Arial"/>
          <w:sz w:val="17"/>
          <w:szCs w:val="17"/>
          <w:color w:val="auto"/>
        </w:rPr>
        <w:t>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0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6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0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threatened, it could dissuade companies from collaborating with us to license, develop or commercialize current or future product candidates.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82" w:name="page83"/>
    <w:bookmarkEnd w:id="82"/>
    <w:p>
      <w:pPr>
        <w:ind w:right="20"/>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8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3" w:name="page84"/>
    <w:bookmarkEnd w:id="83"/>
    <w:p>
      <w:pPr>
        <w:ind w:right="40"/>
        <w:spacing w:after="0" w:line="239" w:lineRule="auto"/>
        <w:rPr>
          <w:sz w:val="20"/>
          <w:szCs w:val="20"/>
          <w:color w:val="auto"/>
        </w:rPr>
      </w:pPr>
      <w:r>
        <w:rPr>
          <w:rFonts w:ascii="Arial" w:cs="Arial" w:eastAsia="Arial" w:hAnsi="Arial"/>
          <w:sz w:val="17"/>
          <w:szCs w:val="17"/>
          <w:color w:val="auto"/>
        </w:rPr>
        <w:t>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4"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2044,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4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8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5" w:name="page86"/>
    <w:bookmarkEnd w:id="85"/>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maintain compliance with Nasdaq’s continued listing requirements could result in the delisting of our common stock.</w:t>
      </w:r>
    </w:p>
    <w:p>
      <w:pPr>
        <w:spacing w:after="0" w:line="10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common stock is currently listed for trading on The Nasdaq Global Market (Nasdaq). We must satisfy the continued listing requirements of Nasdaq to maintain the listing of our common stock on Nasdaq. On November 15, 2023, we received a letter from the Listing Qualifications Department (the Staff) of The Nasdaq Stock Market LLC notifying us that, for the previous 30 consecutive business days, the closing bid price for our common stock had been below the minimum $1.00 per share required for continued listing on Nasdaq under Nasdaq Listing Rule 5450(a)(1) (the Bid Price Requirement). On December 28, 2023, the Staff notified us that, as of December 28, 2023, we had regained compliance with the Bid Price Requirement and that the matter was closed.</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If we are deficient in maintaining the necessary listing requirements, our common stock may be delisted.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7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November 4, 2024, we have sold and issued 1,619,142 shares of common stock under the ATM Program, with total net proceeds of $9.7 million. Any sale or issuance of securities pursuant to this registration statement or otherwise may result in dilution to our stockholders and may cause our stock price to decline. During a portion of the nine months ended September 30, 2024, we were subject to the SEC’s “baby shelf rules,” which prohibit companies with a public float of less than $75.0 million from issuing securities under a shelf registration statement in excess of one third of such company’s public float in a 12-month period, and we were only able to issue a limited number of shares which aggregate to no more than one-third of our public float using our Shelf. On April 4, 2024, our public float increased above $75.0 million, and as a result, we are no longer subject to the “baby shelf rules.” If our public float is less than $75.0 million on the applicable measurement date in the future, we will again become subject to the baby shelf rules. Although alternative public and private transaction structures may be available, these may require additional time and cost, may impose operational restrictions on us, and may not be available on attractive terms.</w:t>
      </w:r>
    </w:p>
    <w:p>
      <w:pPr>
        <w:spacing w:after="0" w:line="81"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6" w:name="page87"/>
    <w:bookmarkEnd w:id="86"/>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58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our Annual Report on Form 10-K. In particular, we provided only two years of audited financial statements and a correspondingly reduced “Management’s Discussion and Analysis of Financial Condition and Results of Operations” disclosure, and did not include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6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7" w:name="page88"/>
    <w:bookmarkEnd w:id="87"/>
    <w:p>
      <w:pPr>
        <w:ind w:right="120"/>
        <w:spacing w:after="0" w:line="238" w:lineRule="auto"/>
        <w:rPr>
          <w:sz w:val="20"/>
          <w:szCs w:val="20"/>
          <w:color w:val="auto"/>
        </w:rPr>
      </w:pPr>
      <w:r>
        <w:rPr>
          <w:rFonts w:ascii="Arial" w:cs="Arial" w:eastAsia="Arial" w:hAnsi="Arial"/>
          <w:sz w:val="17"/>
          <w:szCs w:val="17"/>
          <w:color w:val="auto"/>
        </w:rPr>
        <w:t>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15"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9"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November 4, 2024, we had a total of 32,475,537 shares of common stock outstanding.</w:t>
      </w:r>
    </w:p>
    <w:p>
      <w:pPr>
        <w:spacing w:after="0" w:line="51"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8" w:name="page89"/>
    <w:bookmarkEnd w:id="88"/>
    <w:p>
      <w:pPr>
        <w:ind w:right="80"/>
        <w:spacing w:after="0" w:line="267" w:lineRule="auto"/>
        <w:rPr>
          <w:sz w:val="20"/>
          <w:szCs w:val="20"/>
          <w:color w:val="auto"/>
        </w:rPr>
      </w:pPr>
      <w:r>
        <w:rPr>
          <w:rFonts w:ascii="Arial" w:cs="Arial" w:eastAsia="Arial" w:hAnsi="Arial"/>
          <w:sz w:val="17"/>
          <w:szCs w:val="17"/>
          <w:color w:val="auto"/>
        </w:rPr>
        <w:t>schedules, Rule 144 and Rule 701 under the Securities Act. If these additional shares of common stock are sold, or if it is perceived that they will be sold, in the public market, the trading price of our common stock could decline.</w:t>
      </w:r>
    </w:p>
    <w:p>
      <w:pPr>
        <w:spacing w:after="0" w:line="5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57.6% of our outstanding common stock with Estuardo Aguilar-Cordova and Laura Aguilar (together, both directly and indirectly) beneficially owning approximately 18.7% of our outstanding common stock, and with entities and persons affiliated with PBM Capital Group, LLC (PBM Capital), beneficially owning approximately 26.3%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4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9" w:name="page90"/>
    <w:bookmarkEnd w:id="89"/>
    <w:p>
      <w:pPr>
        <w:ind w:right="80"/>
        <w:spacing w:after="0" w:line="241" w:lineRule="auto"/>
        <w:rPr>
          <w:sz w:val="20"/>
          <w:szCs w:val="20"/>
          <w:color w:val="auto"/>
        </w:rPr>
      </w:pPr>
      <w:r>
        <w:rPr>
          <w:rFonts w:ascii="Arial" w:cs="Arial" w:eastAsia="Arial" w:hAnsi="Arial"/>
          <w:sz w:val="17"/>
          <w:szCs w:val="17"/>
          <w:color w:val="auto"/>
        </w:rPr>
        <w:t>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70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0" w:name="page91"/>
    <w:bookmarkEnd w:id="90"/>
    <w:p>
      <w:pPr>
        <w:spacing w:after="0" w:line="24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we issued to the purchaser of</w:t>
      </w:r>
      <w:r>
        <w:rPr>
          <w:rFonts w:ascii="Arial" w:cs="Arial" w:eastAsia="Arial" w:hAnsi="Arial"/>
          <w:sz w:val="18"/>
          <w:szCs w:val="18"/>
          <w:color w:val="auto"/>
        </w:rPr>
        <w:t xml:space="preserve"> </w:t>
      </w:r>
      <w:r>
        <w:rPr>
          <w:rFonts w:ascii="Arial" w:cs="Arial" w:eastAsia="Arial" w:hAnsi="Arial"/>
          <w:sz w:val="17"/>
          <w:szCs w:val="17"/>
          <w:color w:val="auto"/>
        </w:rPr>
        <w:t>the Series B Preferred, warrants to purchase 3,672,484 shares of common stock for $6.81 per share (the Series B Warrants) which were and remain fully exercisable upon issuance. The Series B Warrants contain provisions allowing cashless exercise.</w:t>
      </w:r>
    </w:p>
    <w:p>
      <w:pPr>
        <w:spacing w:after="0" w:line="71"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6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7040" w:firstLine="8"/>
        <w:spacing w:after="0" w:line="381" w:lineRule="auto"/>
        <w:tabs>
          <w:tab w:leader="none" w:pos="256"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Sales of Unregistered Equity Securities </w:t>
      </w:r>
      <w:r>
        <w:rPr>
          <w:rFonts w:ascii="Arial" w:cs="Arial" w:eastAsia="Arial" w:hAnsi="Arial"/>
          <w:sz w:val="17"/>
          <w:szCs w:val="17"/>
          <w:color w:val="auto"/>
        </w:rPr>
        <w:t>None.</w:t>
      </w:r>
    </w:p>
    <w:p>
      <w:pPr>
        <w:ind w:left="280" w:hanging="272"/>
        <w:spacing w:after="0"/>
        <w:tabs>
          <w:tab w:leader="none" w:pos="28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the Initial Public Offering of Common Stock</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offer and sale of all the shares of our common stock in our initial public offering were registered under the Securities Act pursuant to a registration statement on Form S-1 (Reg. No. 333-257444), as amended, which was declared effective by the SEC on July 26, 2021. There has been no material change in the expected use of the net proceeds from our Annual Report on Form 10-K for the year ended December 31, 2023 as filed with the SEC on March 28, 2024.</w:t>
      </w:r>
    </w:p>
    <w:p>
      <w:pPr>
        <w:spacing w:after="0" w:line="110" w:lineRule="exact"/>
        <w:rPr>
          <w:sz w:val="20"/>
          <w:szCs w:val="20"/>
          <w:color w:val="auto"/>
        </w:rPr>
      </w:pPr>
    </w:p>
    <w:p>
      <w:pPr>
        <w:ind w:right="7800" w:firstLine="8"/>
        <w:spacing w:after="0" w:line="391" w:lineRule="auto"/>
        <w:tabs>
          <w:tab w:leader="none" w:pos="256"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three months ended September 30, 2024,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gridSpan w:val="15"/>
          </w:tcPr>
          <w:p>
            <w:pPr>
              <w:ind w:left="2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6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160" w:type="dxa"/>
            <w:vAlign w:val="bottom"/>
            <w:gridSpan w:val="16"/>
          </w:tcPr>
          <w:p>
            <w:pPr>
              <w:spacing w:after="0" w:line="169" w:lineRule="exact"/>
              <w:rPr>
                <w:rFonts w:ascii="Arial" w:cs="Arial" w:eastAsia="Arial" w:hAnsi="Arial"/>
                <w:sz w:val="18"/>
                <w:szCs w:val="18"/>
                <w:color w:val="0000FF"/>
              </w:rPr>
            </w:pPr>
            <w:hyperlink r:id="rId256">
              <w:r>
                <w:rPr>
                  <w:rFonts w:ascii="Arial" w:cs="Arial" w:eastAsia="Arial" w:hAnsi="Arial"/>
                  <w:sz w:val="18"/>
                  <w:szCs w:val="18"/>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62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256">
              <w:r>
                <w:rPr>
                  <w:rFonts w:ascii="Arial" w:cs="Arial" w:eastAsia="Arial" w:hAnsi="Arial"/>
                  <w:sz w:val="18"/>
                  <w:szCs w:val="18"/>
                  <w:color w:val="0000FF"/>
                  <w:w w:val="99"/>
                </w:rPr>
                <w:t>Registrant’s Current Report on Form 8-K filed with the SEC on July 30, 2021).</w:t>
              </w:r>
            </w:hyperlink>
          </w:p>
        </w:tc>
        <w:tc>
          <w:tcPr>
            <w:tcW w:w="39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FF"/>
              </w:rPr>
            </w:pPr>
            <w:hyperlink r:id="rId257">
              <w:r>
                <w:rPr>
                  <w:rFonts w:ascii="Arial" w:cs="Arial" w:eastAsia="Arial" w:hAnsi="Arial"/>
                  <w:sz w:val="18"/>
                  <w:szCs w:val="18"/>
                  <w:color w:val="0000FF"/>
                </w:rPr>
                <w:t>Amended and Restated Bylaws of Candel Therapeutics, Inc. (incorporated by reference to Exhibit 3.2 to the Registrant’s</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Current Report on Form 8-K filed with the SEC on July 30,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160" w:type="dxa"/>
            <w:vAlign w:val="bottom"/>
            <w:gridSpan w:val="16"/>
          </w:tcPr>
          <w:p>
            <w:pPr>
              <w:spacing w:after="0"/>
              <w:rPr>
                <w:rFonts w:ascii="Arial" w:cs="Arial" w:eastAsia="Arial" w:hAnsi="Arial"/>
                <w:sz w:val="18"/>
                <w:szCs w:val="18"/>
                <w:color w:val="0000FF"/>
              </w:rPr>
            </w:pPr>
            <w:hyperlink r:id="rId258">
              <w:r>
                <w:rPr>
                  <w:rFonts w:ascii="Arial" w:cs="Arial" w:eastAsia="Arial" w:hAnsi="Arial"/>
                  <w:sz w:val="18"/>
                  <w:szCs w:val="18"/>
                  <w:color w:val="0000FF"/>
                </w:rPr>
                <w:t>Amendment to Amended and Restated Bylaws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58">
              <w:r>
                <w:rPr>
                  <w:rFonts w:ascii="Arial" w:cs="Arial" w:eastAsia="Arial" w:hAnsi="Arial"/>
                  <w:sz w:val="18"/>
                  <w:szCs w:val="18"/>
                  <w:color w:val="0000FF"/>
                  <w:w w:val="99"/>
                </w:rPr>
                <w:t>Registrant's Current Report on Form 8-K filed with the SEC on May 30, 2024).</w:t>
              </w:r>
            </w:hyperlink>
          </w:p>
        </w:tc>
        <w:tc>
          <w:tcPr>
            <w:tcW w:w="362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FF"/>
              </w:rPr>
            </w:pPr>
            <w:hyperlink r:id="rId259">
              <w:r>
                <w:rPr>
                  <w:rFonts w:ascii="Arial" w:cs="Arial" w:eastAsia="Arial" w:hAnsi="Arial"/>
                  <w:sz w:val="18"/>
                  <w:szCs w:val="18"/>
                  <w:color w:val="0000FF"/>
                </w:rPr>
                <w:t>Specimen Common Stock Certificate (incorporated by reference to Exhibit 4.1 to the Registrant’s Registration Statement on</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Form S-1/A (File No. 333- 257444) filed with the SEC on July 16, 2021)</w:t>
              </w:r>
              <w:r>
                <w:rPr>
                  <w:rFonts w:ascii="Times New Roman" w:cs="Times New Roman" w:eastAsia="Times New Roman" w:hAnsi="Times New Roman"/>
                  <w:sz w:val="18"/>
                  <w:szCs w:val="18"/>
                  <w:color w:val="000000"/>
                </w:rPr>
                <w:t>.</w:t>
              </w:r>
            </w:hyperlink>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right"/>
              <w:ind w:right="3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16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6"/>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4"/>
          </w:tcPr>
          <w:p>
            <w:pPr>
              <w:spacing w:after="0"/>
              <w:rPr>
                <w:sz w:val="15"/>
                <w:szCs w:val="15"/>
                <w:color w:val="auto"/>
              </w:rPr>
            </w:pPr>
          </w:p>
        </w:tc>
        <w:tc>
          <w:tcPr>
            <w:tcW w:w="3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974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5"/>
                <w:szCs w:val="15"/>
                <w:color w:val="auto"/>
              </w:rPr>
            </w:pPr>
          </w:p>
        </w:tc>
        <w:tc>
          <w:tcPr>
            <w:tcW w:w="96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20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9"/>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0"/>
                <w:szCs w:val="20"/>
                <w:color w:val="auto"/>
              </w:rPr>
            </w:pP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3880" w:firstLine="21"/>
        <w:spacing w:after="0" w:line="415"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(embedded within the Inline XBRL document) </w:t>
      </w: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9512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both"/>
        <w:ind w:right="180" w:firstLine="8"/>
        <w:spacing w:after="0" w:line="249" w:lineRule="auto"/>
        <w:tabs>
          <w:tab w:leader="none" w:pos="14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Candel Therapeutics, Inc.</w:t>
      </w:r>
    </w:p>
    <w:p>
      <w:pPr>
        <w:spacing w:after="0" w:line="21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7"/>
          <w:szCs w:val="17"/>
          <w:color w:val="auto"/>
        </w:rPr>
        <w:t>Date: November 14,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Paul Peter Tak</w:t>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(Principal executive officer)</w:t>
      </w:r>
    </w:p>
    <w:p>
      <w:pPr>
        <w:spacing w:after="0" w:line="214"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7"/>
          <w:szCs w:val="17"/>
          <w:color w:val="auto"/>
        </w:rPr>
        <w:t>Date: November 14,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Charles Schoch</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Interim Chief Financial Officer</w:t>
      </w:r>
    </w:p>
    <w:p>
      <w:pPr>
        <w:ind w:left="64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94" w:name="page95"/>
    <w:bookmarkEnd w:id="94"/>
    <w:p>
      <w:pPr>
        <w:jc w:val="right"/>
        <w:spacing w:after="0"/>
        <w:rPr>
          <w:sz w:val="20"/>
          <w:szCs w:val="20"/>
          <w:color w:val="auto"/>
        </w:rPr>
      </w:pPr>
      <w:r>
        <w:rPr>
          <w:rFonts w:ascii="Arial" w:cs="Arial" w:eastAsia="Arial" w:hAnsi="Arial"/>
          <w:sz w:val="21"/>
          <w:szCs w:val="21"/>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Paul Peter Tak, certify that:</w:t>
      </w:r>
    </w:p>
    <w:p>
      <w:pPr>
        <w:spacing w:after="0" w:line="12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6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40" w:hanging="479"/>
        <w:spacing w:after="0" w:line="257"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5640" w:val="left"/>
          <w:tab w:leader="none" w:pos="7880" w:val="left"/>
        </w:tabs>
        <w:rPr>
          <w:sz w:val="20"/>
          <w:szCs w:val="20"/>
          <w:color w:val="auto"/>
        </w:rPr>
      </w:pPr>
      <w:r>
        <w:rPr>
          <w:rFonts w:ascii="Arial" w:cs="Arial" w:eastAsia="Arial" w:hAnsi="Arial"/>
          <w:sz w:val="21"/>
          <w:szCs w:val="21"/>
          <w:color w:val="auto"/>
        </w:rPr>
        <w:t>Date: November 14, 2024</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 w:lineRule="exact"/>
        <w:rPr>
          <w:sz w:val="20"/>
          <w:szCs w:val="20"/>
          <w:color w:val="auto"/>
        </w:rPr>
      </w:pPr>
    </w:p>
    <w:p>
      <w:pPr>
        <w:ind w:left="8020"/>
        <w:spacing w:after="0"/>
        <w:rPr>
          <w:sz w:val="20"/>
          <w:szCs w:val="20"/>
          <w:color w:val="auto"/>
        </w:rPr>
      </w:pPr>
      <w:r>
        <w:rPr>
          <w:rFonts w:ascii="Arial" w:cs="Arial" w:eastAsia="Arial" w:hAnsi="Arial"/>
          <w:sz w:val="21"/>
          <w:szCs w:val="21"/>
          <w:b w:val="1"/>
          <w:bCs w:val="1"/>
          <w:color w:val="auto"/>
        </w:rPr>
        <w:t>Paul Peter Tak</w:t>
      </w:r>
    </w:p>
    <w:p>
      <w:pPr>
        <w:spacing w:after="0" w:line="42" w:lineRule="exact"/>
        <w:rPr>
          <w:sz w:val="20"/>
          <w:szCs w:val="20"/>
          <w:color w:val="auto"/>
        </w:rPr>
      </w:pPr>
    </w:p>
    <w:p>
      <w:pPr>
        <w:ind w:left="686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8" w:lineRule="exact"/>
        <w:rPr>
          <w:sz w:val="20"/>
          <w:szCs w:val="20"/>
          <w:color w:val="auto"/>
        </w:rPr>
      </w:pPr>
    </w:p>
    <w:p>
      <w:pPr>
        <w:ind w:left="7380"/>
        <w:spacing w:after="0"/>
        <w:rPr>
          <w:sz w:val="20"/>
          <w:szCs w:val="20"/>
          <w:color w:val="auto"/>
        </w:rPr>
      </w:pPr>
      <w:r>
        <w:rPr>
          <w:rFonts w:ascii="Arial" w:cs="Arial" w:eastAsia="Arial" w:hAnsi="Arial"/>
          <w:sz w:val="21"/>
          <w:szCs w:val="21"/>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1"/>
          <w:szCs w:val="21"/>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Charles Schoch, certify that:</w:t>
      </w:r>
    </w:p>
    <w:p>
      <w:pPr>
        <w:spacing w:after="0" w:line="12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6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40" w:hanging="479"/>
        <w:spacing w:after="0" w:line="257"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5640" w:val="left"/>
          <w:tab w:leader="none" w:pos="7820" w:val="left"/>
        </w:tabs>
        <w:rPr>
          <w:sz w:val="20"/>
          <w:szCs w:val="20"/>
          <w:color w:val="auto"/>
        </w:rPr>
      </w:pPr>
      <w:r>
        <w:rPr>
          <w:rFonts w:ascii="Arial" w:cs="Arial" w:eastAsia="Arial" w:hAnsi="Arial"/>
          <w:sz w:val="21"/>
          <w:szCs w:val="21"/>
          <w:color w:val="auto"/>
        </w:rPr>
        <w:t>Date: November 14, 2024</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 w:lineRule="exact"/>
        <w:rPr>
          <w:sz w:val="20"/>
          <w:szCs w:val="20"/>
          <w:color w:val="auto"/>
        </w:rPr>
      </w:pPr>
    </w:p>
    <w:p>
      <w:pPr>
        <w:ind w:left="7940"/>
        <w:spacing w:after="0"/>
        <w:rPr>
          <w:sz w:val="20"/>
          <w:szCs w:val="20"/>
          <w:color w:val="auto"/>
        </w:rPr>
      </w:pPr>
      <w:r>
        <w:rPr>
          <w:rFonts w:ascii="Arial" w:cs="Arial" w:eastAsia="Arial" w:hAnsi="Arial"/>
          <w:sz w:val="21"/>
          <w:szCs w:val="21"/>
          <w:b w:val="1"/>
          <w:bCs w:val="1"/>
          <w:color w:val="auto"/>
        </w:rPr>
        <w:t>Charles Schoch</w:t>
      </w:r>
    </w:p>
    <w:p>
      <w:pPr>
        <w:spacing w:after="0" w:line="42" w:lineRule="exact"/>
        <w:rPr>
          <w:sz w:val="20"/>
          <w:szCs w:val="20"/>
          <w:color w:val="auto"/>
        </w:rPr>
      </w:pPr>
    </w:p>
    <w:p>
      <w:pPr>
        <w:ind w:left="7240"/>
        <w:spacing w:after="0"/>
        <w:rPr>
          <w:sz w:val="20"/>
          <w:szCs w:val="20"/>
          <w:color w:val="auto"/>
        </w:rPr>
      </w:pPr>
      <w:r>
        <w:rPr>
          <w:rFonts w:ascii="Arial" w:cs="Arial" w:eastAsia="Arial" w:hAnsi="Arial"/>
          <w:sz w:val="21"/>
          <w:szCs w:val="21"/>
          <w:b w:val="1"/>
          <w:bCs w:val="1"/>
          <w:color w:val="auto"/>
        </w:rPr>
        <w:t>Interim Chief Financial Officer</w:t>
      </w:r>
    </w:p>
    <w:p>
      <w:pPr>
        <w:spacing w:after="0" w:line="8" w:lineRule="exact"/>
        <w:rPr>
          <w:sz w:val="20"/>
          <w:szCs w:val="20"/>
          <w:color w:val="auto"/>
        </w:rPr>
      </w:pPr>
    </w:p>
    <w:p>
      <w:pPr>
        <w:jc w:val="center"/>
        <w:ind w:left="6160"/>
        <w:spacing w:after="0"/>
        <w:rPr>
          <w:sz w:val="20"/>
          <w:szCs w:val="20"/>
          <w:color w:val="auto"/>
        </w:rPr>
      </w:pPr>
      <w:r>
        <w:rPr>
          <w:rFonts w:ascii="Arial" w:cs="Arial" w:eastAsia="Arial" w:hAnsi="Arial"/>
          <w:sz w:val="20"/>
          <w:szCs w:val="20"/>
          <w:b w:val="1"/>
          <w:bCs w:val="1"/>
          <w:i w:val="1"/>
          <w:iCs w:val="1"/>
          <w:color w:val="auto"/>
        </w:rPr>
        <w:t>(principal financial officer and principal accounting</w:t>
      </w:r>
    </w:p>
    <w:p>
      <w:pPr>
        <w:spacing w:after="0" w:line="13"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September 30, 2024 as filed with the Securities and Exchange Commission on the date hereof (the “Report”), I, Paul Peter Tak,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6180" w:val="left"/>
          <w:tab w:leader="none" w:pos="8020" w:val="left"/>
        </w:tabs>
        <w:rPr>
          <w:sz w:val="20"/>
          <w:szCs w:val="20"/>
          <w:color w:val="auto"/>
        </w:rPr>
      </w:pPr>
      <w:r>
        <w:rPr>
          <w:rFonts w:ascii="Arial" w:cs="Arial" w:eastAsia="Arial" w:hAnsi="Arial"/>
          <w:sz w:val="22"/>
          <w:szCs w:val="22"/>
          <w:color w:val="auto"/>
        </w:rPr>
        <w:t>Date: November 14,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19050</wp:posOffset>
            </wp:positionV>
            <wp:extent cx="29832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8160"/>
        <w:spacing w:after="0"/>
        <w:rPr>
          <w:sz w:val="20"/>
          <w:szCs w:val="20"/>
          <w:color w:val="auto"/>
        </w:rPr>
      </w:pPr>
      <w:r>
        <w:rPr>
          <w:rFonts w:ascii="Arial" w:cs="Arial" w:eastAsia="Arial" w:hAnsi="Arial"/>
          <w:sz w:val="22"/>
          <w:szCs w:val="22"/>
          <w:b w:val="1"/>
          <w:bCs w:val="1"/>
          <w:color w:val="auto"/>
        </w:rPr>
        <w:t>Paul Peter Tak</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2"/>
          <w:szCs w:val="22"/>
          <w:b w:val="1"/>
          <w:bCs w:val="1"/>
          <w:color w:val="auto"/>
        </w:rPr>
        <w:t>President and Chief Executive Officer</w:t>
      </w:r>
    </w:p>
    <w:p>
      <w:pPr>
        <w:ind w:left="748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September 30, 2024 as filed with the Securities and Exchange Commission on the date hereof (the “Report”), I, Charles Schoch,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6180" w:val="left"/>
          <w:tab w:leader="none" w:pos="7960" w:val="left"/>
        </w:tabs>
        <w:rPr>
          <w:sz w:val="20"/>
          <w:szCs w:val="20"/>
          <w:color w:val="auto"/>
        </w:rPr>
      </w:pPr>
      <w:r>
        <w:rPr>
          <w:rFonts w:ascii="Arial" w:cs="Arial" w:eastAsia="Arial" w:hAnsi="Arial"/>
          <w:sz w:val="22"/>
          <w:szCs w:val="22"/>
          <w:color w:val="auto"/>
        </w:rPr>
        <w:t>Date: November 14,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19050</wp:posOffset>
            </wp:positionV>
            <wp:extent cx="29832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Charles Schoch</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Interim Chief Financial Officer</w:t>
      </w:r>
    </w:p>
    <w:p>
      <w:pPr>
        <w:jc w:val="center"/>
        <w:ind w:left="646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1"/>
    </w:lvl>
  </w:abstractNum>
  <w:abstractNum w:abstractNumId="6">
    <w:nsid w:val="614FD4A1"/>
    <w:multiLevelType w:val="hybridMultilevel"/>
    <w:lvl w:ilvl="0">
      <w:lvlJc w:val="left"/>
      <w:lvlText w:val="%1."/>
      <w:numFmt w:val="decimal"/>
      <w:start w:val="15"/>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3"/>
    </w:lvl>
  </w:abstractNum>
  <w:abstractNum w:abstractNumId="55">
    <w:nsid w:val="47398C89"/>
    <w:multiLevelType w:val="hybridMultilevel"/>
    <w:lvl w:ilvl="0">
      <w:lvlJc w:val="left"/>
      <w:lvlText w:val="*"/>
      <w:numFmt w:val="bullet"/>
      <w:start w:val="1"/>
    </w:lvl>
    <w:lvl w:ilvl="1">
      <w:lvlJc w:val="left"/>
      <w:lvlText w:val="%2"/>
      <w:numFmt w:val="decimal"/>
      <w:start w:val="104"/>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56" Type="http://schemas.openxmlformats.org/officeDocument/2006/relationships/hyperlink" Target="https://www.sec.gov/Archives/edgar/data/0001841387/000119312521229437/d203496dex31.htm" TargetMode="External"/><Relationship Id="rId257" Type="http://schemas.openxmlformats.org/officeDocument/2006/relationships/hyperlink" Target="https://www.sec.gov/Archives/edgar/data/0001841387/000119312521229437/d203496dex32.htm" TargetMode="External"/><Relationship Id="rId258" Type="http://schemas.openxmlformats.org/officeDocument/2006/relationships/hyperlink" Target="https://www.sec.gov/Archives/edgar/data/1841387/000095017024066608/cadl-ex3_1.htm" TargetMode="External"/><Relationship Id="rId259" Type="http://schemas.openxmlformats.org/officeDocument/2006/relationships/hyperlink" Target="https://www.sec.gov/Archives/edgar/data/0001841387/000119312521216891/d12090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2024-11-14T07:44:12Z</dcterms:created>
  <dcterms:modified xsi:type="dcterms:W3CDTF">2024-11-14T07:44:12Z</dcterms:modified>
</cp:coreProperties>
</file>