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CANDEL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52-2214851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117 Kendrick 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Needham,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916-5445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CADL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12, 2026, Candel Therapeutics, Inc. (the “Company”) entered into an employment agreement (the “Employment Agreement”) with Charles Schoch, the Company’s Chief Financial Officer. The Employment Agreement provides for Mr. Schoch’s continued at-will employment and sets forth the terms and conditions of his employment. Pursuant to the Employment Agreement, Mr. Schoch will continue to receive an annual base salary of $468,600 and continues to be eligible for an annual bonus with a target amount of 40% of his base salary. Mr. Schoch is also eligible to participate in the Company’s employee benefit plans available to its employees, subject to the terms of those plans.</w:t>
      </w:r>
    </w:p>
    <w:p>
      <w:pPr>
        <w:spacing w:after="0" w:line="18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Pursuant to the Employment Agreement, in the event that Mr. Schoch’s employment is terminated by the Company without “cause” or by Mr. Schoch for “good reason” (each as defined in the Employment Agreement), subject to the execution and effectiveness of a “separation agreement and release” (as defined in the Employment Agreement) within 60 days of such termination, he will be entitled to receive (i) an amount equal to nine months of his then-current base salary plus his target annual bonus for the then-current year, payable in installments over nine months commencing within 60 days of termination, and (ii) subject to Mr. Schoch’s timely election to continue COBRA health coverage and copayment of premium amounts at the applicable active employees’ rate, the Company will continue to pay the share of the premiums that the Company would have paid to provide health insurance to Mr. Schoch until the earliest of (A) nine months following the date of termination or (B) Mr. Schoch’s eligibility for group medical plan benefits under any other employer’s group medical plan, or (C) the cessation of Mr. Schoch’s health continuation rights under COBRA, subject to customary deductions and payable in accordance with the Company’s normal payroll practices. Pursuant to the Employment Agreement, all equity awards held by Mr. Schoch that are subject to time based vesting will fully accelerate if Mr. Schoch’s employment is terminated by the Company without “cause” or by Mr. Schoch for “good reason” within one month prior to or 12 months following the consummation of a “change in control” (as such terms are defined in the Employment Agreement). The Employment Agreement also contains customary provisions regarding confidentiality, non-competition and non-solicitation.</w:t>
      </w:r>
    </w:p>
    <w:p>
      <w:pPr>
        <w:spacing w:after="0" w:line="17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material terms of the Employment Agreement is qualified in its entirety by reference to the complete text of the Employment Agreement, a copy of which is attached hereto as 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10200" w:type="dxa"/>
            <w:vAlign w:val="bottom"/>
            <w:gridSpan w:val="2"/>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02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4"/>
                <w:szCs w:val="14"/>
                <w:color w:val="auto"/>
              </w:rPr>
            </w:pPr>
          </w:p>
        </w:tc>
        <w:tc>
          <w:tcPr>
            <w:tcW w:w="85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Employment Agreement, effective as of June 12, 2026, by and between Candel Therapeutics, Inc. and Charles Schoch</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Candel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16, 2026</w:t>
      </w:r>
      <w:r>
        <w:rPr>
          <w:sz w:val="20"/>
          <w:szCs w:val="20"/>
          <w:color w:val="auto"/>
        </w:rPr>
        <w:tab/>
      </w:r>
      <w:r>
        <w:rPr>
          <w:rFonts w:ascii="Times New Roman" w:cs="Times New Roman" w:eastAsia="Times New Roman" w:hAnsi="Times New Roman"/>
          <w:sz w:val="18"/>
          <w:szCs w:val="18"/>
          <w:color w:val="auto"/>
        </w:rPr>
        <w:t>By:</w:t>
        <w:tab/>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Paul Peter Tak, M.D., Ph.D., FMedSci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17015" cy="865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6" w:lineRule="exact"/>
        <w:rPr>
          <w:sz w:val="20"/>
          <w:szCs w:val="20"/>
          <w:color w:val="auto"/>
        </w:rPr>
      </w:pPr>
    </w:p>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between Candel Therapeutics,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Charles Schoch.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is made effective as of June 12,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employ the Executive and the Executive desires to be employed by the Company on the new terms and conditions contained herein: and</w:t>
      </w:r>
    </w:p>
    <w:p>
      <w:pPr>
        <w:spacing w:after="0" w:line="158"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w:t>
      </w:r>
    </w:p>
    <w:p>
      <w:pPr>
        <w:spacing w:after="0" w:line="158" w:lineRule="exact"/>
        <w:rPr>
          <w:sz w:val="20"/>
          <w:szCs w:val="20"/>
          <w:color w:val="auto"/>
        </w:rPr>
      </w:pPr>
    </w:p>
    <w:p>
      <w:pPr>
        <w:ind w:left="1020" w:hanging="263"/>
        <w:spacing w:after="0"/>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20" w:firstLine="1505"/>
        <w:spacing w:after="0" w:line="238" w:lineRule="auto"/>
        <w:tabs>
          <w:tab w:leader="none" w:pos="203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6" w:lineRule="exact"/>
        <w:rPr>
          <w:rFonts w:ascii="Times New Roman" w:cs="Times New Roman" w:eastAsia="Times New Roman" w:hAnsi="Times New Roman"/>
          <w:sz w:val="22"/>
          <w:szCs w:val="22"/>
          <w:color w:val="auto"/>
        </w:rPr>
      </w:pPr>
    </w:p>
    <w:p>
      <w:pPr>
        <w:ind w:right="80" w:firstLine="1505"/>
        <w:spacing w:after="0" w:line="235" w:lineRule="auto"/>
        <w:tabs>
          <w:tab w:leader="none" w:pos="203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Financial Officer of the Company. The Executive shall devote the Executive’s full working time and efforts to the business and affairs of the Company. Notwithstanding the foregoing, as long as such services and activities do not interfere with the Executive’s performance of the Executive’s duties to the Company, the Executive may (i) engage in religious, charitable or other community activities, and (ii) serve on boards of directors of companies that are not competitive with the Company, do not otherwise present a conflict of interest and would not otherwise interfere with Executive’s responsibilities and the performance of Executive’s duties hereunder, subject to the prior written approval of the Board.</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60" w:firstLine="1505"/>
        <w:spacing w:after="0" w:line="239" w:lineRule="auto"/>
        <w:tabs>
          <w:tab w:leader="none" w:pos="203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Executive’s initial base salary shall be paid at a rate of $468,600 per year. The Executive’s base salary shall be reviewed for increase annually by the CEO and/or Compensation Committee of the Board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The base salary in effect at any given time is referred to herein as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left="1283" w:hanging="535"/>
        <w:spacing w:after="0"/>
        <w:tabs>
          <w:tab w:leader="none" w:pos="128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 w:firstLine="1494"/>
        <w:spacing w:after="0" w:line="234" w:lineRule="auto"/>
        <w:tabs>
          <w:tab w:leader="none" w:pos="1800"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eligible to receive cash incentive compensation as determined by the Board or the Compensation Committee from time to time. The Executive’s initial target annual incentive compensation shall be 40% of the Executive’s Base Salary. The target annual bonus incentive compensation in effect at any given time is referred to herein as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The actual amount of the Executive’s annual incentive compensation, if any, shall be determined in discretion by the CEO and the Compensation Committee, subject to the terms of any applicable incentive compensation plan that may be in effect from time to time. Except as otherwise provided herein, as may be provided by the CEO or the Compensation Committee or as may otherwise be set forth in the applicable compensation plan, the Executive must be employed by the Company on the day such annual incentive compensation is paid to receive any annual incentive compensation; provided, however, that such annual incentive compensation will be paid no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following year.</w:t>
      </w:r>
    </w:p>
    <w:p>
      <w:pPr>
        <w:spacing w:after="0" w:line="179" w:lineRule="exact"/>
        <w:rPr>
          <w:rFonts w:ascii="Times New Roman" w:cs="Times New Roman" w:eastAsia="Times New Roman" w:hAnsi="Times New Roman"/>
          <w:sz w:val="22"/>
          <w:szCs w:val="22"/>
          <w:color w:val="auto"/>
        </w:rPr>
      </w:pPr>
    </w:p>
    <w:p>
      <w:pPr>
        <w:ind w:left="-757" w:right="20" w:firstLine="1505"/>
        <w:spacing w:after="0" w:line="244" w:lineRule="auto"/>
        <w:tabs>
          <w:tab w:leader="none" w:pos="12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employees.</w:t>
      </w:r>
    </w:p>
    <w:p>
      <w:pPr>
        <w:spacing w:after="0" w:line="173" w:lineRule="exact"/>
        <w:rPr>
          <w:rFonts w:ascii="Times New Roman" w:cs="Times New Roman" w:eastAsia="Times New Roman" w:hAnsi="Times New Roman"/>
          <w:sz w:val="22"/>
          <w:szCs w:val="22"/>
          <w:color w:val="auto"/>
        </w:rPr>
      </w:pPr>
    </w:p>
    <w:p>
      <w:pPr>
        <w:ind w:left="-757" w:right="80" w:firstLine="1505"/>
        <w:spacing w:after="0" w:line="258" w:lineRule="auto"/>
        <w:tabs>
          <w:tab w:leader="none" w:pos="12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subject to the terms of such plans.</w:t>
      </w:r>
    </w:p>
    <w:p>
      <w:pPr>
        <w:spacing w:after="0" w:line="158" w:lineRule="exact"/>
        <w:rPr>
          <w:rFonts w:ascii="Times New Roman" w:cs="Times New Roman" w:eastAsia="Times New Roman" w:hAnsi="Times New Roman"/>
          <w:sz w:val="22"/>
          <w:szCs w:val="22"/>
          <w:color w:val="auto"/>
        </w:rPr>
      </w:pPr>
    </w:p>
    <w:p>
      <w:pPr>
        <w:ind w:left="-757" w:right="220" w:firstLine="1505"/>
        <w:spacing w:after="0" w:line="244" w:lineRule="auto"/>
        <w:tabs>
          <w:tab w:leader="none" w:pos="12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as may be in effect from time to time. The Executive shall also be entitled to all paid holidays given by the Company to its executive officers.</w:t>
      </w:r>
    </w:p>
    <w:p>
      <w:pPr>
        <w:spacing w:after="0" w:line="173" w:lineRule="exact"/>
        <w:rPr>
          <w:rFonts w:ascii="Times New Roman" w:cs="Times New Roman" w:eastAsia="Times New Roman" w:hAnsi="Times New Roman"/>
          <w:sz w:val="22"/>
          <w:szCs w:val="22"/>
          <w:color w:val="auto"/>
        </w:rPr>
      </w:pPr>
    </w:p>
    <w:p>
      <w:pPr>
        <w:ind w:left="-757" w:firstLine="1505"/>
        <w:spacing w:after="0" w:line="234" w:lineRule="auto"/>
        <w:tabs>
          <w:tab w:leader="none" w:pos="12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equity awards held by the Executive shall be governed by the terms and conditions of the Company’s applicable equity incentive plan(s) and the applicable award agreement(s) governing the terms of such equity awards held by the Executive (collectively, the “</w:t>
      </w:r>
      <w:r>
        <w:rPr>
          <w:rFonts w:ascii="Times New Roman" w:cs="Times New Roman" w:eastAsia="Times New Roman" w:hAnsi="Times New Roman"/>
          <w:sz w:val="22"/>
          <w:szCs w:val="22"/>
          <w:b w:val="1"/>
          <w:bCs w:val="1"/>
          <w:color w:val="auto"/>
        </w:rPr>
        <w:t>Equity Documents</w:t>
      </w:r>
      <w:r>
        <w:rPr>
          <w:rFonts w:ascii="Times New Roman" w:cs="Times New Roman" w:eastAsia="Times New Roman" w:hAnsi="Times New Roman"/>
          <w:sz w:val="22"/>
          <w:szCs w:val="22"/>
          <w:color w:val="auto"/>
        </w:rPr>
        <w:t>”); provided, however, and notwithstanding anything to the contrary in the Equity Documents, all stock options and other stock-based awards held by the Executive that are subject solely to time-based vesting (the “</w:t>
      </w:r>
      <w:r>
        <w:rPr>
          <w:rFonts w:ascii="Times New Roman" w:cs="Times New Roman" w:eastAsia="Times New Roman" w:hAnsi="Times New Roman"/>
          <w:sz w:val="22"/>
          <w:szCs w:val="22"/>
          <w:b w:val="1"/>
          <w:bCs w:val="1"/>
          <w:color w:val="auto"/>
        </w:rPr>
        <w:t>Time-Based Equity Awards</w:t>
      </w:r>
      <w:r>
        <w:rPr>
          <w:rFonts w:ascii="Times New Roman" w:cs="Times New Roman" w:eastAsia="Times New Roman" w:hAnsi="Times New Roman"/>
          <w:sz w:val="22"/>
          <w:szCs w:val="22"/>
          <w:color w:val="auto"/>
        </w:rPr>
        <w:t>”) shall immediately accelerate and become fully vested and exercisable or nonforfeitable if a Change in Control (to be defined in the Equity Documents) occurs and within one (1) month prior to, or within twelve (12) months after, the effective time of such Change in Control, your employment terminates due to an involuntary termination (not including death or Disability) without Cause (as defined below) or due to your voluntary termination with Good Reason (as defined below).</w:t>
      </w:r>
    </w:p>
    <w:p>
      <w:pPr>
        <w:spacing w:after="0" w:line="183" w:lineRule="exact"/>
        <w:rPr>
          <w:rFonts w:ascii="Times New Roman" w:cs="Times New Roman" w:eastAsia="Times New Roman" w:hAnsi="Times New Roman"/>
          <w:sz w:val="22"/>
          <w:szCs w:val="22"/>
          <w:color w:val="auto"/>
        </w:rPr>
      </w:pPr>
    </w:p>
    <w:p>
      <w:pPr>
        <w:ind w:left="-757" w:right="500" w:firstLine="757"/>
        <w:spacing w:after="0" w:line="258" w:lineRule="auto"/>
        <w:tabs>
          <w:tab w:leader="none" w:pos="2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hereunder may be terminated without any breach of this Agreement under the following circumstances:</w:t>
      </w:r>
    </w:p>
    <w:p>
      <w:pPr>
        <w:spacing w:after="0" w:line="158"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1026795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08" w:right="379" w:bottom="1440" w:gutter="0" w:footer="0" w:header="0"/>
        </w:sectPr>
      </w:pPr>
    </w:p>
    <w:bookmarkStart w:id="5" w:name="page6"/>
    <w:bookmarkEnd w:id="5"/>
    <w:p>
      <w:pPr>
        <w:ind w:firstLine="1505"/>
        <w:spacing w:after="0" w:line="233" w:lineRule="auto"/>
        <w:tabs>
          <w:tab w:leader="none" w:pos="2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certificate in reasonable detail by a physician selected by the Company to who the Executive or Executive’s guardian has not reasonable objections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et seq. and the Americans with Disabilities Act, 42 U.S.C. §12101 et seq.</w:t>
      </w:r>
    </w:p>
    <w:p>
      <w:pPr>
        <w:spacing w:after="0" w:line="182" w:lineRule="exact"/>
        <w:rPr>
          <w:rFonts w:ascii="Times New Roman" w:cs="Times New Roman" w:eastAsia="Times New Roman" w:hAnsi="Times New Roman"/>
          <w:sz w:val="22"/>
          <w:szCs w:val="22"/>
          <w:color w:val="auto"/>
        </w:rPr>
      </w:pPr>
    </w:p>
    <w:p>
      <w:pPr>
        <w:ind w:right="140" w:firstLine="1505"/>
        <w:spacing w:after="0" w:line="244" w:lineRule="auto"/>
        <w:tabs>
          <w:tab w:leader="none" w:pos="2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the Executive’s employment hereunder for Cause. 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any of the following, as expressly determined by the Board:</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any felony or any crime involving fraud or dishonesty;</w:t>
      </w:r>
    </w:p>
    <w:p>
      <w:pPr>
        <w:spacing w:after="0" w:line="206" w:lineRule="exact"/>
        <w:rPr>
          <w:rFonts w:ascii="Times New Roman" w:cs="Times New Roman" w:eastAsia="Times New Roman" w:hAnsi="Times New Roman"/>
          <w:sz w:val="22"/>
          <w:szCs w:val="22"/>
          <w:color w:val="auto"/>
        </w:rPr>
      </w:pPr>
    </w:p>
    <w:p>
      <w:pPr>
        <w:ind w:left="760" w:right="840" w:firstLine="1494"/>
        <w:spacing w:after="0" w:line="258" w:lineRule="auto"/>
        <w:tabs>
          <w:tab w:leader="none" w:pos="255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participation in a fraud, act of dishonesty or other act of gross misconduct that adversely affect the Company;</w:t>
      </w:r>
    </w:p>
    <w:p>
      <w:pPr>
        <w:spacing w:after="0" w:line="158" w:lineRule="exact"/>
        <w:rPr>
          <w:sz w:val="20"/>
          <w:szCs w:val="20"/>
          <w:color w:val="auto"/>
        </w:rPr>
      </w:pPr>
    </w:p>
    <w:p>
      <w:pPr>
        <w:ind w:left="2260" w:right="80"/>
        <w:spacing w:after="0" w:line="392" w:lineRule="auto"/>
        <w:rPr>
          <w:sz w:val="20"/>
          <w:szCs w:val="20"/>
          <w:color w:val="auto"/>
        </w:rPr>
      </w:pPr>
      <w:r>
        <w:rPr>
          <w:rFonts w:ascii="Times New Roman" w:cs="Times New Roman" w:eastAsia="Times New Roman" w:hAnsi="Times New Roman"/>
          <w:sz w:val="21"/>
          <w:szCs w:val="21"/>
          <w:color w:val="auto"/>
        </w:rPr>
        <w:t>(iii)Conduct by the Executive that demonstrates Executive’s gross unfitness to serve; (iv)Executive’s violation of any statutory or fiduciary duty, or duty of loyalty, owed to the Company; (v) Executive’s breach of any material term of any contract between such Executive and the Company;</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and/or</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(vi)Executive’s material violation of Company policy.</w:t>
      </w:r>
    </w:p>
    <w:p>
      <w:pPr>
        <w:spacing w:after="0" w:line="20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Whether a termination is for Cause shall be decided by the Board in their exclusive judgement and discretion, exercised in good faith. Prior to any termination for Cause pursuant to each event listed in (iv), (v) and (vi) above, to the extent such event(s) is capable of being cured by the Executive, (A) the Company shall give the Executive notice of such event(s), which notice shall be specify in reasonable detail the circumstances constituting Cause, and (B) there shall be no Cause with respect to any such event(s) if the Board determines in good faith that such events have been cured by Executive within fifteen (15) days after the delivery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6" w:name="page7"/>
    <w:bookmarkEnd w:id="6"/>
    <w:p>
      <w:pPr>
        <w:ind w:right="120" w:firstLine="1505"/>
        <w:spacing w:after="0" w:line="239" w:lineRule="auto"/>
        <w:tabs>
          <w:tab w:leader="none" w:pos="2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Sections 3(c) and docs not result from the death or disability of the Executive under Section 3(a) or (b) shall be deemed a termination without Cause.</w:t>
      </w:r>
    </w:p>
    <w:p>
      <w:pPr>
        <w:spacing w:after="0" w:line="180" w:lineRule="exact"/>
        <w:rPr>
          <w:rFonts w:ascii="Times New Roman" w:cs="Times New Roman" w:eastAsia="Times New Roman" w:hAnsi="Times New Roman"/>
          <w:sz w:val="22"/>
          <w:szCs w:val="22"/>
          <w:color w:val="auto"/>
        </w:rPr>
      </w:pPr>
    </w:p>
    <w:p>
      <w:pPr>
        <w:ind w:right="160" w:firstLine="1505"/>
        <w:spacing w:after="0" w:line="238" w:lineRule="auto"/>
        <w:tabs>
          <w:tab w:leader="none" w:pos="2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employment hereunder at any time for any reason, including but not limited to, Good Reason by delivery of written notice to the Company effective fifteen (15) days after the date of delivery of such notice. For purposes hereof,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22"/>
          <w:szCs w:val="22"/>
          <w:b w:val="1"/>
          <w:bCs w:val="1"/>
          <w:color w:val="auto"/>
        </w:rPr>
        <w:t>Good Reason Condition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760" w:right="280" w:firstLine="1494"/>
        <w:spacing w:after="0" w:line="244" w:lineRule="auto"/>
        <w:tabs>
          <w:tab w:leader="none" w:pos="255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by the Company of Executive’s Base Salary as initially set forth herein or as the same may be increased from time to time, provided, however, that if such reduction occurs in connection with a Company-wide decrease in executive team compensation, such reduction shall not constitute Good Reason;</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w:t>
      </w:r>
    </w:p>
    <w:p>
      <w:pPr>
        <w:spacing w:after="0" w:line="206" w:lineRule="exact"/>
        <w:rPr>
          <w:sz w:val="20"/>
          <w:szCs w:val="20"/>
          <w:color w:val="auto"/>
        </w:rPr>
      </w:pPr>
    </w:p>
    <w:p>
      <w:pPr>
        <w:ind w:left="760" w:right="140" w:firstLine="1497"/>
        <w:spacing w:after="0" w:line="244" w:lineRule="auto"/>
        <w:rPr>
          <w:sz w:val="20"/>
          <w:szCs w:val="20"/>
          <w:color w:val="auto"/>
        </w:rPr>
      </w:pPr>
      <w:r>
        <w:rPr>
          <w:rFonts w:ascii="Times New Roman" w:cs="Times New Roman" w:eastAsia="Times New Roman" w:hAnsi="Times New Roman"/>
          <w:sz w:val="22"/>
          <w:szCs w:val="22"/>
          <w:color w:val="auto"/>
        </w:rPr>
        <w:t>(iii)the relocation of Executive’s principal place of employment, without Executive’s consent, in a manner that lengthens his one-way commute distance by twenty-five (25) or more miles from his then-current principal place of employment immediately prior to such relocation; or</w:t>
      </w:r>
    </w:p>
    <w:p>
      <w:pPr>
        <w:spacing w:after="0" w:line="173" w:lineRule="exact"/>
        <w:rPr>
          <w:sz w:val="20"/>
          <w:szCs w:val="20"/>
          <w:color w:val="auto"/>
        </w:rPr>
      </w:pPr>
    </w:p>
    <w:p>
      <w:pPr>
        <w:ind w:left="760" w:right="180" w:firstLine="1497"/>
        <w:spacing w:after="0" w:line="239" w:lineRule="auto"/>
        <w:rPr>
          <w:sz w:val="20"/>
          <w:szCs w:val="20"/>
          <w:color w:val="auto"/>
        </w:rPr>
      </w:pPr>
      <w:r>
        <w:rPr>
          <w:rFonts w:ascii="Times New Roman" w:cs="Times New Roman" w:eastAsia="Times New Roman" w:hAnsi="Times New Roman"/>
          <w:sz w:val="22"/>
          <w:szCs w:val="22"/>
          <w:color w:val="auto"/>
        </w:rPr>
        <w:t>(iv)a material reduction in Executive’s duties, authority, or responsibilities relative to Executive’s duties, authority, or responsibilities in effect immediately prior to such reduction unless Executive is performing duties and responsibilities for the Company or its successor that are similar to those Executive was performing for the Company immediately prior to such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Good Reason Process</w:t>
      </w:r>
      <w:r>
        <w:rPr>
          <w:rFonts w:ascii="Times New Roman" w:cs="Times New Roman" w:eastAsia="Times New Roman" w:hAnsi="Times New Roman"/>
          <w:sz w:val="22"/>
          <w:szCs w:val="22"/>
          <w:color w:val="auto"/>
        </w:rPr>
        <w:t>” consists of the following steps:</w:t>
      </w:r>
    </w:p>
    <w:p>
      <w:pPr>
        <w:spacing w:after="0" w:line="210" w:lineRule="exact"/>
        <w:rPr>
          <w:sz w:val="20"/>
          <w:szCs w:val="20"/>
          <w:color w:val="auto"/>
        </w:rPr>
      </w:pPr>
    </w:p>
    <w:p>
      <w:pPr>
        <w:ind w:left="3000" w:hanging="746"/>
        <w:spacing w:after="0"/>
        <w:tabs>
          <w:tab w:leader="none" w:pos="30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reasonably determines in good faith that a Good Reason Condition has occurred;</w:t>
      </w:r>
    </w:p>
    <w:p>
      <w:pPr>
        <w:spacing w:after="0" w:line="217" w:lineRule="exact"/>
        <w:rPr>
          <w:rFonts w:ascii="Times New Roman" w:cs="Times New Roman" w:eastAsia="Times New Roman" w:hAnsi="Times New Roman"/>
          <w:sz w:val="21"/>
          <w:szCs w:val="21"/>
          <w:color w:val="auto"/>
        </w:rPr>
      </w:pPr>
    </w:p>
    <w:p>
      <w:pPr>
        <w:ind w:left="760" w:right="20" w:firstLine="1494"/>
        <w:spacing w:after="0" w:line="258" w:lineRule="auto"/>
        <w:tabs>
          <w:tab w:leader="none" w:pos="255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notifies the Company in writing of the first occurrence of the Good Reason Condition within 30 days of the first occurrence of such condition;</w:t>
      </w:r>
    </w:p>
    <w:p>
      <w:pPr>
        <w:spacing w:after="0" w:line="158" w:lineRule="exact"/>
        <w:rPr>
          <w:sz w:val="20"/>
          <w:szCs w:val="20"/>
          <w:color w:val="auto"/>
        </w:rPr>
      </w:pPr>
    </w:p>
    <w:p>
      <w:pPr>
        <w:ind w:left="760" w:right="140" w:firstLine="1497"/>
        <w:spacing w:after="0" w:line="258" w:lineRule="auto"/>
        <w:rPr>
          <w:sz w:val="20"/>
          <w:szCs w:val="20"/>
          <w:color w:val="auto"/>
        </w:rPr>
      </w:pPr>
      <w:r>
        <w:rPr>
          <w:rFonts w:ascii="Times New Roman" w:cs="Times New Roman" w:eastAsia="Times New Roman" w:hAnsi="Times New Roman"/>
          <w:sz w:val="22"/>
          <w:szCs w:val="22"/>
          <w:color w:val="auto"/>
        </w:rPr>
        <w:t>(iii)the Executive cooperates in good faith with the Company’s efforts, for a period of not less than 30 days following such notice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to remedy the Good Reason Condition;</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(iv)notwithstanding such efforts, the Good Reason Condition continues to exist;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 w:name="page8"/>
    <w:bookmarkEnd w:id="7"/>
    <w:p>
      <w:pPr>
        <w:ind w:left="2260"/>
        <w:spacing w:after="0"/>
        <w:rPr>
          <w:sz w:val="20"/>
          <w:szCs w:val="20"/>
          <w:color w:val="auto"/>
        </w:rPr>
      </w:pPr>
      <w:r>
        <w:rPr>
          <w:rFonts w:ascii="Times New Roman" w:cs="Times New Roman" w:eastAsia="Times New Roman" w:hAnsi="Times New Roman"/>
          <w:sz w:val="22"/>
          <w:szCs w:val="22"/>
          <w:color w:val="auto"/>
        </w:rPr>
        <w:t>(v) the Executive terminates employment within 30 days after the end of the Cure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206" w:lineRule="exact"/>
        <w:rPr>
          <w:sz w:val="20"/>
          <w:szCs w:val="20"/>
          <w:color w:val="auto"/>
        </w:rPr>
      </w:pPr>
    </w:p>
    <w:p>
      <w:pPr>
        <w:ind w:left="1020" w:hanging="263"/>
        <w:spacing w:after="0"/>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00" w:firstLine="1505"/>
        <w:spacing w:after="0" w:line="239"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6" w:lineRule="exact"/>
        <w:rPr>
          <w:rFonts w:ascii="Times New Roman" w:cs="Times New Roman" w:eastAsia="Times New Roman" w:hAnsi="Times New Roman"/>
          <w:sz w:val="22"/>
          <w:szCs w:val="22"/>
          <w:color w:val="auto"/>
        </w:rPr>
      </w:pPr>
    </w:p>
    <w:p>
      <w:pPr>
        <w:ind w:firstLine="1505"/>
        <w:spacing w:after="0" w:line="234"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Date of Termination</w:t>
      </w:r>
      <w:r>
        <w:rPr>
          <w:rFonts w:ascii="Times New Roman" w:cs="Times New Roman" w:eastAsia="Times New Roman" w:hAnsi="Times New Roman"/>
          <w:sz w:val="22"/>
          <w:szCs w:val="22"/>
          <w:color w:val="auto"/>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such later date specified by the Company in the Notice of Termination if agreed to by the Executive; (iv) if the Executive’s employment is terminated by the Executive under Section 3(c) other than for Good Reason, 30 days after the date on which a Notice of Termination is given, and (v) if the Executive’s employment is terminated by the Executive under Section 3(c)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79" w:lineRule="exact"/>
        <w:rPr>
          <w:rFonts w:ascii="Times New Roman" w:cs="Times New Roman" w:eastAsia="Times New Roman" w:hAnsi="Times New Roman"/>
          <w:sz w:val="22"/>
          <w:szCs w:val="22"/>
          <w:color w:val="auto"/>
        </w:rPr>
      </w:pPr>
    </w:p>
    <w:p>
      <w:pPr>
        <w:ind w:right="40" w:firstLine="1505"/>
        <w:spacing w:after="0" w:line="236"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140" w:firstLine="1505"/>
        <w:spacing w:after="0" w:line="239"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the Executive for Good Reason</w:t>
      </w:r>
      <w:r>
        <w:rPr>
          <w:rFonts w:ascii="Times New Roman" w:cs="Times New Roman" w:eastAsia="Times New Roman" w:hAnsi="Times New Roman"/>
          <w:sz w:val="22"/>
          <w:szCs w:val="22"/>
          <w:color w:val="auto"/>
        </w:rPr>
        <w:t>. If the Executive’s employment is terminated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8" w:name="page9"/>
    <w:bookmarkEnd w:id="8"/>
    <w:p>
      <w:pPr>
        <w:ind w:right="80"/>
        <w:spacing w:after="0" w:line="235" w:lineRule="auto"/>
        <w:rPr>
          <w:sz w:val="20"/>
          <w:szCs w:val="20"/>
          <w:color w:val="auto"/>
        </w:rPr>
      </w:pPr>
      <w:r>
        <w:rPr>
          <w:rFonts w:ascii="Times New Roman" w:cs="Times New Roman" w:eastAsia="Times New Roman" w:hAnsi="Times New Roman"/>
          <w:sz w:val="22"/>
          <w:szCs w:val="22"/>
          <w:color w:val="auto"/>
        </w:rPr>
        <w:t>Company without Cause as provided in Sections 3(d), or the Executive terminates employment for Good Reason as provided in Section 3(c),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a reaffirmation of all of the Executive’s Continuing Obligations (as defined below), and shall provide that if the Executive breaches any of the Continuing Obligations, all payment of Severance Amount shall immediately cease (the “</w:t>
      </w:r>
      <w:r>
        <w:rPr>
          <w:rFonts w:ascii="Times New Roman" w:cs="Times New Roman" w:eastAsia="Times New Roman" w:hAnsi="Times New Roman"/>
          <w:sz w:val="22"/>
          <w:szCs w:val="22"/>
          <w:b w:val="1"/>
          <w:bCs w:val="1"/>
          <w:color w:val="auto"/>
        </w:rPr>
        <w:t>Separation Agreement and Release</w:t>
      </w:r>
      <w:r>
        <w:rPr>
          <w:rFonts w:ascii="Times New Roman" w:cs="Times New Roman" w:eastAsia="Times New Roman" w:hAnsi="Times New Roman"/>
          <w:sz w:val="22"/>
          <w:szCs w:val="22"/>
          <w:color w:val="auto"/>
        </w:rPr>
        <w:t>”),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178" w:lineRule="exact"/>
        <w:rPr>
          <w:sz w:val="20"/>
          <w:szCs w:val="20"/>
          <w:color w:val="auto"/>
        </w:rPr>
      </w:pPr>
    </w:p>
    <w:p>
      <w:pPr>
        <w:ind w:firstLine="1505"/>
        <w:spacing w:after="0" w:line="238" w:lineRule="auto"/>
        <w:tabs>
          <w:tab w:leader="none" w:pos="203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(A) 9 months of the Executive’s then-current Base Salary plus (B) the Executive’s Target Bonus for the then- current year (the “</w:t>
      </w:r>
      <w:r>
        <w:rPr>
          <w:rFonts w:ascii="Times New Roman" w:cs="Times New Roman" w:eastAsia="Times New Roman" w:hAnsi="Times New Roman"/>
          <w:sz w:val="22"/>
          <w:szCs w:val="22"/>
          <w:b w:val="1"/>
          <w:bCs w:val="1"/>
          <w:color w:val="auto"/>
        </w:rPr>
        <w:t>Severance Amount</w:t>
      </w:r>
      <w:r>
        <w:rPr>
          <w:rFonts w:ascii="Times New Roman" w:cs="Times New Roman" w:eastAsia="Times New Roman" w:hAnsi="Times New Roman"/>
          <w:sz w:val="22"/>
          <w:szCs w:val="22"/>
          <w:color w:val="auto"/>
        </w:rPr>
        <w:t>”): provided that in the event the Executive is entitled to any payments pursuant to the Restrictive Covenants Agreement, the Severance Amount received in any calendar year will be reduced by the amount the Executive is paid in the same such calendar year pursuant to the Restrictive Covenants Agreement (the “</w:t>
      </w:r>
      <w:r>
        <w:rPr>
          <w:rFonts w:ascii="Times New Roman" w:cs="Times New Roman" w:eastAsia="Times New Roman" w:hAnsi="Times New Roman"/>
          <w:sz w:val="22"/>
          <w:szCs w:val="22"/>
          <w:b w:val="1"/>
          <w:bCs w:val="1"/>
          <w:color w:val="auto"/>
        </w:rPr>
        <w:t>Restrictive Covenants Agreement Setoff</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ind w:right="20" w:firstLine="1505"/>
        <w:spacing w:after="0" w:line="233" w:lineRule="auto"/>
        <w:tabs>
          <w:tab w:leader="none" w:pos="203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The amounts payable under Section 5, to the extent taxable, shall be paid out in substantially equal installments in accordance with the Company’s payroll practice over 9 months commencing within 60 days after the Date of Termination; provided, however,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9" w:name="page10"/>
    <w:bookmarkEnd w:id="9"/>
    <w:p>
      <w:pPr>
        <w:ind w:left="1020" w:hanging="263"/>
        <w:spacing w:after="0"/>
        <w:tabs>
          <w:tab w:leader="none" w:pos="10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505"/>
        <w:spacing w:after="0" w:line="246" w:lineRule="auto"/>
        <w:tabs>
          <w:tab w:leader="none" w:pos="2036"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0" w:lineRule="exact"/>
        <w:rPr>
          <w:rFonts w:ascii="Times New Roman" w:cs="Times New Roman" w:eastAsia="Times New Roman" w:hAnsi="Times New Roman"/>
          <w:sz w:val="21"/>
          <w:szCs w:val="21"/>
          <w:color w:val="auto"/>
        </w:rPr>
      </w:pPr>
    </w:p>
    <w:p>
      <w:pPr>
        <w:ind w:right="20" w:firstLine="1505"/>
        <w:spacing w:after="0" w:line="248" w:lineRule="auto"/>
        <w:tabs>
          <w:tab w:leader="none" w:pos="2036"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0" w:lineRule="exact"/>
        <w:rPr>
          <w:rFonts w:ascii="Times New Roman" w:cs="Times New Roman" w:eastAsia="Times New Roman" w:hAnsi="Times New Roman"/>
          <w:sz w:val="21"/>
          <w:szCs w:val="21"/>
          <w:color w:val="auto"/>
        </w:rPr>
      </w:pPr>
    </w:p>
    <w:p>
      <w:pPr>
        <w:ind w:right="60" w:firstLine="1505"/>
        <w:spacing w:after="0" w:line="238" w:lineRule="auto"/>
        <w:tabs>
          <w:tab w:leader="none" w:pos="203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6" w:lineRule="exact"/>
        <w:rPr>
          <w:rFonts w:ascii="Times New Roman" w:cs="Times New Roman" w:eastAsia="Times New Roman" w:hAnsi="Times New Roman"/>
          <w:sz w:val="22"/>
          <w:szCs w:val="22"/>
          <w:color w:val="auto"/>
        </w:rPr>
      </w:pPr>
    </w:p>
    <w:p>
      <w:pPr>
        <w:ind w:firstLine="1505"/>
        <w:spacing w:after="0" w:line="247" w:lineRule="auto"/>
        <w:tabs>
          <w:tab w:leader="none" w:pos="2036"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w:t>
      </w:r>
    </w:p>
    <w:p>
      <w:pPr>
        <w:spacing w:after="0" w:line="1" w:lineRule="exact"/>
        <w:rPr>
          <w:rFonts w:ascii="Times New Roman" w:cs="Times New Roman" w:eastAsia="Times New Roman" w:hAnsi="Times New Roman"/>
          <w:sz w:val="21"/>
          <w:szCs w:val="21"/>
          <w:color w:val="auto"/>
        </w:rPr>
      </w:pPr>
    </w:p>
    <w:p>
      <w:pPr>
        <w:ind w:right="10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7" w:lineRule="exact"/>
        <w:rPr>
          <w:rFonts w:ascii="Times New Roman" w:cs="Times New Roman" w:eastAsia="Times New Roman" w:hAnsi="Times New Roman"/>
          <w:sz w:val="21"/>
          <w:szCs w:val="21"/>
          <w:color w:val="auto"/>
        </w:rPr>
      </w:pPr>
    </w:p>
    <w:p>
      <w:pPr>
        <w:ind w:right="400" w:firstLine="1505"/>
        <w:spacing w:after="0" w:line="258" w:lineRule="auto"/>
        <w:tabs>
          <w:tab w:leader="none" w:pos="203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0" w:name="page11"/>
    <w:bookmarkEnd w:id="10"/>
    <w:p>
      <w:pPr>
        <w:ind w:right="160"/>
        <w:spacing w:after="0" w:line="258" w:lineRule="auto"/>
        <w:rPr>
          <w:sz w:val="20"/>
          <w:szCs w:val="20"/>
          <w:color w:val="auto"/>
        </w:rPr>
      </w:pPr>
      <w:r>
        <w:rPr>
          <w:rFonts w:ascii="Times New Roman" w:cs="Times New Roman" w:eastAsia="Times New Roman" w:hAnsi="Times New Roman"/>
          <w:sz w:val="22"/>
          <w:szCs w:val="22"/>
          <w:color w:val="auto"/>
        </w:rPr>
        <w:t>to constitute deferred compensation subject to Section 409A of the Code but do not satisfy an exemption from, or the conditions of, such Section.</w:t>
      </w:r>
    </w:p>
    <w:p>
      <w:pPr>
        <w:spacing w:after="0" w:line="158" w:lineRule="exact"/>
        <w:rPr>
          <w:sz w:val="20"/>
          <w:szCs w:val="20"/>
          <w:color w:val="auto"/>
        </w:rPr>
      </w:pPr>
    </w:p>
    <w:p>
      <w:pPr>
        <w:ind w:left="1020" w:hanging="263"/>
        <w:spacing w:after="0"/>
        <w:tabs>
          <w:tab w:leader="none" w:pos="10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36" w:lineRule="auto"/>
        <w:tabs>
          <w:tab w:leader="none" w:pos="20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Agreements</w:t>
      </w:r>
      <w:r>
        <w:rPr>
          <w:rFonts w:ascii="Times New Roman" w:cs="Times New Roman" w:eastAsia="Times New Roman" w:hAnsi="Times New Roman"/>
          <w:sz w:val="22"/>
          <w:szCs w:val="22"/>
          <w:color w:val="auto"/>
        </w:rPr>
        <w:t>. The Executive acknowledges and agrees that the Executive previously executed a Proprietary Information, Inventions, Non-competition and Non-Solicitation Agreement attached hereto as Exhibit A (the “</w:t>
      </w:r>
      <w:r>
        <w:rPr>
          <w:rFonts w:ascii="Times New Roman" w:cs="Times New Roman" w:eastAsia="Times New Roman" w:hAnsi="Times New Roman"/>
          <w:sz w:val="22"/>
          <w:szCs w:val="22"/>
          <w:b w:val="1"/>
          <w:bCs w:val="1"/>
          <w:color w:val="auto"/>
        </w:rPr>
        <w:t>Restrictive Covenants Agreement</w:t>
      </w:r>
      <w:r>
        <w:rPr>
          <w:rFonts w:ascii="Times New Roman" w:cs="Times New Roman" w:eastAsia="Times New Roman" w:hAnsi="Times New Roman"/>
          <w:sz w:val="22"/>
          <w:szCs w:val="22"/>
          <w:color w:val="auto"/>
        </w:rPr>
        <w:t>”) before the commencement of the Executive’s employment, and reaffirms his obligations thereunder. For purposes of this Agreement, the obligations in this Section 7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22"/>
          <w:szCs w:val="22"/>
          <w:b w:val="1"/>
          <w:bCs w:val="1"/>
          <w:color w:val="auto"/>
        </w:rPr>
        <w:t>Continuing Obligations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100" w:firstLine="1505"/>
        <w:spacing w:after="0" w:line="234" w:lineRule="auto"/>
        <w:tabs>
          <w:tab w:leader="none" w:pos="20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of the Company’s.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83" w:lineRule="exact"/>
        <w:rPr>
          <w:rFonts w:ascii="Times New Roman" w:cs="Times New Roman" w:eastAsia="Times New Roman" w:hAnsi="Times New Roman"/>
          <w:sz w:val="22"/>
          <w:szCs w:val="22"/>
          <w:color w:val="auto"/>
        </w:rPr>
      </w:pPr>
    </w:p>
    <w:p>
      <w:pPr>
        <w:ind w:right="80" w:firstLine="1505"/>
        <w:spacing w:after="0" w:line="244" w:lineRule="auto"/>
        <w:tabs>
          <w:tab w:leader="none" w:pos="2036"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 and Regulatory Cooperation</w:t>
      </w:r>
      <w:r>
        <w:rPr>
          <w:rFonts w:ascii="Times New Roman" w:cs="Times New Roman" w:eastAsia="Times New Roman" w:hAnsi="Times New Roman"/>
          <w:sz w:val="21"/>
          <w:szCs w:val="21"/>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at mutually convenient times,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 of pocket expenses incurred in connection with the Executive’s performance of obligations pursuant to this Section 7(c). It is anticipated and intended that the Executive’s post-employment cooperation pursuant to this Section 7(c) will not unreasonably interfere with his other employment, business or personal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ind w:right="60" w:firstLine="1505"/>
        <w:spacing w:after="0" w:line="236" w:lineRule="auto"/>
        <w:tabs>
          <w:tab w:leader="none" w:pos="203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material breach by the Executive of the Continuing Obligations, and that in any event money damages would be an inadequate remedy for any such breach. Accordingly, the Executive agrees that if the Executive materially breaches, or proposes to materially breach, any portion of the Continuing Obligations, the Company shall be entitled, in addition to all other remedies that it may have, to an injunction or other appropriate equitable relief to restrain any such material breach without showing or proving any actual damage to the Company.</w:t>
      </w:r>
    </w:p>
    <w:p>
      <w:pPr>
        <w:spacing w:after="0" w:line="181" w:lineRule="exact"/>
        <w:rPr>
          <w:rFonts w:ascii="Times New Roman" w:cs="Times New Roman" w:eastAsia="Times New Roman" w:hAnsi="Times New Roman"/>
          <w:sz w:val="22"/>
          <w:szCs w:val="22"/>
          <w:color w:val="auto"/>
        </w:rPr>
      </w:pPr>
    </w:p>
    <w:p>
      <w:pPr>
        <w:ind w:right="120" w:firstLine="757"/>
        <w:spacing w:after="0" w:line="239" w:lineRule="auto"/>
        <w:tabs>
          <w:tab w:leader="none" w:pos="10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Commonwealth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0" w:lineRule="exact"/>
        <w:rPr>
          <w:rFonts w:ascii="Times New Roman" w:cs="Times New Roman" w:eastAsia="Times New Roman" w:hAnsi="Times New Roman"/>
          <w:sz w:val="22"/>
          <w:szCs w:val="22"/>
          <w:color w:val="auto"/>
        </w:rPr>
      </w:pPr>
    </w:p>
    <w:p>
      <w:pPr>
        <w:ind w:right="280" w:firstLine="757"/>
        <w:spacing w:after="0" w:line="244" w:lineRule="auto"/>
        <w:tabs>
          <w:tab w:leader="none" w:pos="10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 For clarity, this Agreement specifically supersedes the offer letter between the Company and the Executive, dated as of October 22, 2021.</w:t>
      </w:r>
    </w:p>
    <w:p>
      <w:pPr>
        <w:spacing w:after="0" w:line="173"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8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Neither the Executive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provided further that if the Executive remains employed or becomes employed by the Company, the purchaser or any of their affiliates in connection with any such transaction, then the Executive shall not be entitled to any payments, benefits or vesting pursuant to Section 5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or other compensation due to the Executive under this Agreement, the Company shall continue such payments and provide such other compensation to the Executive’s beneficiary designated in writing to the Company prior to the Executive’s death (or to the Executive’s estate, if the Executive fails to make such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58"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or internationally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8"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7 hereof, and except that the Executive shall have no rights to any severance benefits under any Company severance pay plan, offer letter or otherwise. Except for the Restrictive Covenants Agreement, in the event that the Executive is party to an agreement with the Company providing for payments or benefits under such agreement and this Agreement, the terms of this Agreement shall govern and the Executive may receive payment under this Agreement only and not both.</w:t>
      </w:r>
    </w:p>
    <w:p>
      <w:pPr>
        <w:spacing w:after="0" w:line="178"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ind w:firstLine="749"/>
        <w:spacing w:after="0" w:line="25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17015" cy="865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170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on the Effective 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Candel Therapeutics, Inc.</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60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 Paul Peter Tak</w:t>
            </w:r>
          </w:p>
        </w:tc>
      </w:tr>
      <w:tr>
        <w:trPr>
          <w:trHeight w:val="236"/>
        </w:trPr>
        <w:tc>
          <w:tcPr>
            <w:tcW w:w="4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78"/>
              </w:rPr>
              <w:t>Name:</w:t>
            </w:r>
          </w:p>
        </w:tc>
        <w:tc>
          <w:tcPr>
            <w:tcW w:w="212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Paul Peter Tak, M.D.,</w:t>
            </w:r>
          </w:p>
        </w:tc>
        <w:tc>
          <w:tcPr>
            <w:tcW w:w="4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1"/>
              </w:rPr>
              <w:t>Ph.D.</w:t>
            </w: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w w:val="96"/>
              </w:rPr>
              <w:t>Title:</w:t>
            </w: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President &amp; CEO</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71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Charles Schoch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
    <w:nsid w:val="515F007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
    <w:nsid w:val="5BD062C2"/>
    <w:multiLevelType w:val="hybridMultilevel"/>
    <w:lvl w:ilvl="0">
      <w:lvlJc w:val="left"/>
      <w:lvlText w:val="(%1)"/>
      <w:numFmt w:val="lowerLetter"/>
      <w:start w:val="2"/>
    </w:lvl>
    <w:lvl w:ilvl="1">
      <w:lvlJc w:val="left"/>
      <w:lvlText w:val="(%2)"/>
      <w:numFmt w:val="lowerRoman"/>
      <w:start w:val="1"/>
    </w:lvl>
  </w:abstractNum>
  <w:abstractNum w:abstractNumId="5">
    <w:nsid w:val="12200854"/>
    <w:multiLevelType w:val="hybridMultilevel"/>
    <w:lvl w:ilvl="0">
      <w:lvlJc w:val="left"/>
      <w:lvlText w:val="(%1)"/>
      <w:numFmt w:val="lowerLetter"/>
      <w:start w:val="4"/>
    </w:lvl>
    <w:lvl w:ilvl="1">
      <w:lvlJc w:val="left"/>
      <w:lvlText w:val="(%2)"/>
      <w:numFmt w:val="lowerRoman"/>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4"/>
    </w:lvl>
    <w:lvl w:ilvl="1">
      <w:lvlJc w:val="left"/>
      <w:lvlText w:val="(%2)"/>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6"/>
    </w:lvl>
    <w:lvl w:ilvl="1">
      <w:lvlJc w:val="left"/>
      <w:lvlText w:val="(%2)"/>
      <w:numFmt w:val="lowerLetter"/>
      <w:start w:val="1"/>
    </w:lvl>
  </w:abstractNum>
  <w:abstractNum w:abstractNumId="10">
    <w:nsid w:val="66EF438D"/>
    <w:multiLevelType w:val="hybridMultilevel"/>
    <w:lvl w:ilvl="0">
      <w:lvlJc w:val="left"/>
      <w:lvlText w:val="%1."/>
      <w:numFmt w:val="decimal"/>
      <w:start w:val="7"/>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4"/>
    </w:lvl>
  </w:abstractNum>
  <w:abstractNum w:abstractNumId="12">
    <w:nsid w:val="3352255A"/>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2026-06-16T15:25:50Z</dcterms:created>
  <dcterms:modified xsi:type="dcterms:W3CDTF">2026-06-16T15:25:50Z</dcterms:modified>
</cp:coreProperties>
</file>