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jc w:val="center"/>
        <w:rPr/>
      </w:pPr>
      <w:bookmarkStart w:id="0" w:name="cadl-20230331.htm"/>
      <w:bookmarkStart w:id="1" w:name="kscadl20230331"/>
      <w:bookmarkEnd w:id="0"/>
      <w:bookmarkEnd w:id="1"/>
      <w:r>
        <w:rPr/>
        <w:t> </w:t>
      </w:r>
    </w:p>
    <w:p>
      <w:pPr>
        <w:pStyle w:val="TextBody"/>
        <w:spacing w:before="0" w:after="0"/>
        <w:jc w:val="center"/>
        <w:rPr>
          <w:rFonts w:ascii="Arial;sans-serif" w:hAnsi="Arial;sans-serif"/>
          <w:b/>
          <w:sz w:val="36"/>
        </w:rPr>
      </w:pPr>
      <w:r>
        <w:rPr>
          <w:rFonts w:ascii="Arial;sans-serif" w:hAnsi="Arial;sans-serif"/>
          <w:b/>
          <w:sz w:val="36"/>
        </w:rPr>
        <w:t>UNITED STATES</w:t>
      </w:r>
    </w:p>
    <w:p>
      <w:pPr>
        <w:pStyle w:val="TextBody"/>
        <w:spacing w:before="0" w:after="0"/>
        <w:jc w:val="center"/>
        <w:rPr>
          <w:rFonts w:ascii="Arial;sans-serif" w:hAnsi="Arial;sans-serif"/>
          <w:b/>
          <w:sz w:val="36"/>
        </w:rPr>
      </w:pPr>
      <w:r>
        <w:rPr>
          <w:rFonts w:ascii="Arial;sans-serif" w:hAnsi="Arial;sans-serif"/>
          <w:b/>
          <w:sz w:val="36"/>
        </w:rPr>
        <w:t>SECURITIES AND EXCHANGE COMMISSION</w:t>
      </w:r>
    </w:p>
    <w:p>
      <w:pPr>
        <w:pStyle w:val="TextBody"/>
        <w:spacing w:before="0" w:after="0"/>
        <w:jc w:val="center"/>
        <w:rPr>
          <w:rFonts w:ascii="Arial;sans-serif" w:hAnsi="Arial;sans-serif"/>
          <w:b/>
          <w:sz w:val="24"/>
        </w:rPr>
      </w:pPr>
      <w:r>
        <w:rPr>
          <w:rFonts w:ascii="Arial;sans-serif" w:hAnsi="Arial;sans-serif"/>
          <w:b/>
          <w:sz w:val="24"/>
        </w:rPr>
        <w:t>WASHINGTON, D.C. 20549</w:t>
      </w:r>
    </w:p>
    <w:p>
      <w:pPr>
        <w:pStyle w:val="TextBody"/>
        <w:pBdr>
          <w:bottom w:val="single" w:sz="4" w:space="1" w:color="000000"/>
        </w:pBdr>
        <w:spacing w:before="0" w:after="0"/>
        <w:jc w:val="center"/>
        <w:rPr/>
      </w:pPr>
      <w:r>
        <w:rPr/>
        <w:t> </w:t>
      </w:r>
    </w:p>
    <w:p>
      <w:pPr>
        <w:pStyle w:val="TextBody"/>
        <w:spacing w:before="80" w:after="0"/>
        <w:jc w:val="center"/>
        <w:rPr>
          <w:rFonts w:ascii="Arial;sans-serif" w:hAnsi="Arial;sans-serif"/>
          <w:b/>
          <w:sz w:val="36"/>
        </w:rPr>
      </w:pPr>
      <w:r>
        <w:rPr>
          <w:rFonts w:ascii="Arial;sans-serif" w:hAnsi="Arial;sans-serif"/>
          <w:b/>
          <w:sz w:val="36"/>
        </w:rPr>
        <w:t>FORM 10-Q</w:t>
      </w:r>
    </w:p>
    <w:p>
      <w:pPr>
        <w:pStyle w:val="TextBody"/>
        <w:pBdr>
          <w:bottom w:val="single" w:sz="4" w:space="1" w:color="000000"/>
        </w:pBdr>
        <w:spacing w:before="0" w:after="0"/>
        <w:jc w:val="center"/>
        <w:rPr/>
      </w:pPr>
      <w:r>
        <w:rPr/>
        <w:t> </w:t>
      </w:r>
    </w:p>
    <w:p>
      <w:pPr>
        <w:pStyle w:val="TextBody"/>
        <w:spacing w:before="80" w:after="0"/>
        <w:jc w:val="left"/>
        <w:rPr>
          <w:rFonts w:ascii="Arial;sans-serif" w:hAnsi="Arial;sans-serif"/>
          <w:b/>
          <w:sz w:val="16"/>
        </w:rPr>
      </w:pPr>
      <w:r>
        <w:rPr>
          <w:rFonts w:ascii="Arial;sans-serif" w:hAnsi="Arial;sans-serif"/>
          <w:b/>
          <w:sz w:val="16"/>
        </w:rPr>
        <w:t>(Mark One)</w:t>
      </w:r>
    </w:p>
    <w:tbl>
      <w:tblPr>
        <w:tblW w:w="10502" w:type="dxa"/>
        <w:jc w:val="left"/>
        <w:tblInd w:w="0" w:type="dxa"/>
        <w:tblCellMar>
          <w:top w:w="28" w:type="dxa"/>
          <w:left w:w="28" w:type="dxa"/>
          <w:bottom w:w="28" w:type="dxa"/>
          <w:right w:w="28" w:type="dxa"/>
        </w:tblCellMar>
      </w:tblPr>
      <w:tblGrid>
        <w:gridCol w:w="331"/>
        <w:gridCol w:w="10171"/>
      </w:tblGrid>
      <w:tr>
        <w:trPr/>
        <w:tc>
          <w:tcPr>
            <w:tcW w:w="331" w:type="dxa"/>
            <w:tcBorders/>
            <w:shd w:fill="auto" w:val="clear"/>
            <w:vAlign w:val="center"/>
          </w:tcPr>
          <w:p>
            <w:pPr>
              <w:pStyle w:val="TableContents"/>
              <w:spacing w:before="0" w:after="283"/>
              <w:rPr>
                <w:sz w:val="4"/>
                <w:szCs w:val="4"/>
              </w:rPr>
            </w:pPr>
            <w:r>
              <w:rPr>
                <w:sz w:val="4"/>
                <w:szCs w:val="4"/>
              </w:rPr>
            </w:r>
          </w:p>
        </w:tc>
        <w:tc>
          <w:tcPr>
            <w:tcW w:w="1017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0" w:after="0"/>
              <w:ind w:left="0" w:right="0" w:hanging="0"/>
              <w:jc w:val="left"/>
              <w:rPr/>
            </w:pPr>
            <w:r>
              <w:rPr/>
              <w:t>☒</w:t>
            </w:r>
          </w:p>
        </w:tc>
        <w:tc>
          <w:tcPr>
            <w:tcW w:w="1017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QUARTERLY REPORT PURSUANT TO SECTION 13 OR 15(d) OF THE SECURITIES EXCHANGE ACT OF 1934</w:t>
            </w:r>
          </w:p>
        </w:tc>
      </w:tr>
    </w:tbl>
    <w:p>
      <w:pPr>
        <w:pStyle w:val="TextBody"/>
        <w:spacing w:before="80" w:after="0"/>
        <w:jc w:val="center"/>
        <w:rPr>
          <w:rFonts w:ascii="Arial;sans-serif" w:hAnsi="Arial;sans-serif"/>
          <w:b/>
          <w:sz w:val="20"/>
        </w:rPr>
      </w:pPr>
      <w:r>
        <w:rPr>
          <w:rFonts w:ascii="Arial;sans-serif" w:hAnsi="Arial;sans-serif"/>
          <w:b/>
          <w:sz w:val="20"/>
        </w:rPr>
        <w:t>For the quarterly period ended March 31, 2023</w:t>
      </w:r>
    </w:p>
    <w:p>
      <w:pPr>
        <w:pStyle w:val="TextBody"/>
        <w:spacing w:before="80" w:after="0"/>
        <w:jc w:val="center"/>
        <w:rPr>
          <w:rFonts w:ascii="Arial;sans-serif" w:hAnsi="Arial;sans-serif"/>
          <w:b/>
          <w:sz w:val="20"/>
        </w:rPr>
      </w:pPr>
      <w:r>
        <w:rPr>
          <w:rFonts w:ascii="Arial;sans-serif" w:hAnsi="Arial;sans-serif"/>
          <w:b/>
          <w:sz w:val="20"/>
        </w:rPr>
        <w:t>OR</w:t>
      </w:r>
    </w:p>
    <w:tbl>
      <w:tblPr>
        <w:tblW w:w="10487" w:type="dxa"/>
        <w:jc w:val="left"/>
        <w:tblInd w:w="0" w:type="dxa"/>
        <w:tblCellMar>
          <w:top w:w="28" w:type="dxa"/>
          <w:left w:w="28" w:type="dxa"/>
          <w:bottom w:w="28" w:type="dxa"/>
          <w:right w:w="28" w:type="dxa"/>
        </w:tblCellMar>
      </w:tblPr>
      <w:tblGrid>
        <w:gridCol w:w="331"/>
        <w:gridCol w:w="10156"/>
      </w:tblGrid>
      <w:tr>
        <w:trPr/>
        <w:tc>
          <w:tcPr>
            <w:tcW w:w="331" w:type="dxa"/>
            <w:tcBorders/>
            <w:shd w:fill="auto" w:val="clear"/>
            <w:vAlign w:val="center"/>
          </w:tcPr>
          <w:p>
            <w:pPr>
              <w:pStyle w:val="TableContents"/>
              <w:spacing w:before="0" w:after="283"/>
              <w:rPr>
                <w:sz w:val="4"/>
                <w:szCs w:val="4"/>
              </w:rPr>
            </w:pPr>
            <w:r>
              <w:rPr>
                <w:sz w:val="4"/>
                <w:szCs w:val="4"/>
              </w:rPr>
            </w:r>
          </w:p>
        </w:tc>
        <w:tc>
          <w:tcPr>
            <w:tcW w:w="1015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vAlign w:val="center"/>
          </w:tcPr>
          <w:p>
            <w:pPr>
              <w:pStyle w:val="TableContents"/>
              <w:spacing w:before="80" w:after="0"/>
              <w:ind w:left="0" w:right="0" w:hanging="0"/>
              <w:jc w:val="left"/>
              <w:rPr/>
            </w:pPr>
            <w:r>
              <w:rPr/>
              <w:t>☐</w:t>
            </w:r>
          </w:p>
        </w:tc>
        <w:tc>
          <w:tcPr>
            <w:tcW w:w="10156" w:type="dxa"/>
            <w:tcBorders/>
            <w:shd w:fill="auto" w:val="clear"/>
            <w:vAlign w:val="center"/>
          </w:tcPr>
          <w:p>
            <w:pPr>
              <w:pStyle w:val="TableContents"/>
              <w:spacing w:before="80" w:after="0"/>
              <w:ind w:left="0" w:right="0" w:hanging="0"/>
              <w:jc w:val="left"/>
              <w:rPr>
                <w:rFonts w:ascii="Arial;sans-serif" w:hAnsi="Arial;sans-serif"/>
                <w:b/>
                <w:sz w:val="20"/>
              </w:rPr>
            </w:pPr>
            <w:r>
              <w:rPr>
                <w:rFonts w:ascii="Arial;sans-serif" w:hAnsi="Arial;sans-serif"/>
                <w:b/>
                <w:sz w:val="20"/>
              </w:rPr>
              <w:t>TRANSITION REPORT PURSUANT TO SECTION 13 OR 15(d) OF THE SECURITIES EXCHANGE ACT OF 1934</w:t>
            </w:r>
          </w:p>
        </w:tc>
      </w:tr>
    </w:tbl>
    <w:p>
      <w:pPr>
        <w:pStyle w:val="TextBody"/>
        <w:spacing w:before="80" w:after="0"/>
        <w:jc w:val="center"/>
        <w:rPr>
          <w:rFonts w:ascii="Arial;sans-serif" w:hAnsi="Arial;sans-serif"/>
          <w:b/>
          <w:sz w:val="20"/>
        </w:rPr>
      </w:pPr>
      <w:r>
        <w:rPr>
          <w:rFonts w:ascii="Arial;sans-serif" w:hAnsi="Arial;sans-serif"/>
          <w:b/>
          <w:sz w:val="20"/>
        </w:rPr>
        <w:t>For the transition period from ______________ to ______________</w:t>
      </w:r>
    </w:p>
    <w:p>
      <w:pPr>
        <w:pStyle w:val="TextBody"/>
        <w:spacing w:before="80" w:after="0"/>
        <w:jc w:val="center"/>
        <w:rPr>
          <w:rFonts w:ascii="Arial;sans-serif" w:hAnsi="Arial;sans-serif"/>
          <w:b/>
          <w:sz w:val="20"/>
        </w:rPr>
      </w:pPr>
      <w:r>
        <w:rPr>
          <w:rFonts w:ascii="Arial;sans-serif" w:hAnsi="Arial;sans-serif"/>
          <w:b/>
          <w:sz w:val="20"/>
        </w:rPr>
        <w:t>Commission File Number: 001-40629</w:t>
      </w:r>
    </w:p>
    <w:p>
      <w:pPr>
        <w:pStyle w:val="TextBody"/>
        <w:pBdr>
          <w:bottom w:val="single" w:sz="4" w:space="1" w:color="000000"/>
        </w:pBdr>
        <w:spacing w:before="0" w:after="0"/>
        <w:jc w:val="center"/>
        <w:rPr/>
      </w:pPr>
      <w:r>
        <w:rPr/>
        <w:t> </w:t>
      </w:r>
    </w:p>
    <w:p>
      <w:pPr>
        <w:pStyle w:val="TextBody"/>
        <w:spacing w:before="80" w:after="0"/>
        <w:jc w:val="center"/>
        <w:rPr>
          <w:rFonts w:ascii="Arial;sans-serif" w:hAnsi="Arial;sans-serif"/>
          <w:b/>
          <w:sz w:val="48"/>
        </w:rPr>
      </w:pPr>
      <w:r>
        <w:rPr>
          <w:rFonts w:ascii="Arial;sans-serif" w:hAnsi="Arial;sans-serif"/>
          <w:b/>
          <w:sz w:val="48"/>
        </w:rPr>
        <w:t>CANDEL THERAPEUTICS, INC.</w:t>
      </w:r>
    </w:p>
    <w:p>
      <w:pPr>
        <w:pStyle w:val="TextBody"/>
        <w:spacing w:before="0" w:after="0"/>
        <w:jc w:val="center"/>
        <w:rPr>
          <w:rFonts w:ascii="Arial;sans-serif" w:hAnsi="Arial;sans-serif"/>
          <w:b/>
          <w:sz w:val="20"/>
        </w:rPr>
      </w:pPr>
      <w:r>
        <w:rPr>
          <w:rFonts w:ascii="Arial;sans-serif" w:hAnsi="Arial;sans-serif"/>
          <w:b/>
          <w:sz w:val="20"/>
        </w:rPr>
        <w:t>(Exact Name of Registrant as Specified in its Charter)</w:t>
      </w:r>
    </w:p>
    <w:p>
      <w:pPr>
        <w:pStyle w:val="TextBody"/>
        <w:pBdr>
          <w:bottom w:val="single" w:sz="4" w:space="1" w:color="000000"/>
        </w:pBdr>
        <w:spacing w:before="0" w:after="0"/>
        <w:jc w:val="center"/>
        <w:rPr/>
      </w:pPr>
      <w:r>
        <w:rPr/>
        <w:t> </w:t>
      </w:r>
    </w:p>
    <w:p>
      <w:pPr>
        <w:pStyle w:val="TextBody"/>
        <w:spacing w:before="0" w:after="0"/>
        <w:jc w:val="left"/>
        <w:rPr/>
      </w:pPr>
      <w:r>
        <w:rPr/>
        <w:t> </w:t>
      </w:r>
    </w:p>
    <w:tbl>
      <w:tblPr>
        <w:tblW w:w="3947" w:type="dxa"/>
        <w:jc w:val="left"/>
        <w:tblInd w:w="0" w:type="dxa"/>
        <w:tblCellMar>
          <w:top w:w="28" w:type="dxa"/>
          <w:left w:w="28" w:type="dxa"/>
          <w:bottom w:w="28" w:type="dxa"/>
          <w:right w:w="28" w:type="dxa"/>
        </w:tblCellMar>
      </w:tblPr>
      <w:tblGrid>
        <w:gridCol w:w="2656"/>
        <w:gridCol w:w="1291"/>
      </w:tblGrid>
      <w:tr>
        <w:trPr/>
        <w:tc>
          <w:tcPr>
            <w:tcW w:w="265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Delaware</w:t>
            </w:r>
          </w:p>
        </w:tc>
        <w:tc>
          <w:tcPr>
            <w:tcW w:w="1291" w:type="dxa"/>
            <w:tcBorders/>
            <w:shd w:fill="auto" w:val="cle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52-2214851</w:t>
            </w:r>
          </w:p>
        </w:tc>
      </w:tr>
      <w:tr>
        <w:trPr/>
        <w:tc>
          <w:tcPr>
            <w:tcW w:w="2656" w:type="dxa"/>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(State or other jurisdiction of</w:t>
            </w:r>
          </w:p>
          <w:p>
            <w:pPr>
              <w:pStyle w:val="TableContents"/>
              <w:spacing w:before="0" w:after="15"/>
              <w:ind w:left="0" w:right="0" w:hanging="0"/>
              <w:jc w:val="center"/>
              <w:rPr>
                <w:rFonts w:ascii="Arial;sans-serif" w:hAnsi="Arial;sans-serif"/>
                <w:b/>
                <w:sz w:val="14"/>
              </w:rPr>
            </w:pPr>
            <w:r>
              <w:rPr>
                <w:rFonts w:ascii="Arial;sans-serif" w:hAnsi="Arial;sans-serif"/>
                <w:b/>
                <w:sz w:val="14"/>
              </w:rPr>
              <w:t>incorporation or organization)</w:t>
            </w:r>
          </w:p>
        </w:tc>
        <w:tc>
          <w:tcPr>
            <w:tcW w:w="1291" w:type="dxa"/>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(I.R.S. Employer</w:t>
              <w:br/>
              <w:t>Identification No.)</w:t>
            </w:r>
          </w:p>
        </w:tc>
      </w:tr>
      <w:tr>
        <w:trPr/>
        <w:tc>
          <w:tcPr>
            <w:tcW w:w="2656" w:type="dxa"/>
            <w:tcBorders/>
            <w:shd w:fill="auto" w:val="clear"/>
            <w:vAlign w:val="center"/>
          </w:tcPr>
          <w:p>
            <w:pPr>
              <w:pStyle w:val="TableContents"/>
              <w:spacing w:before="60" w:after="0"/>
              <w:ind w:left="0" w:right="0" w:hanging="0"/>
              <w:jc w:val="center"/>
              <w:rPr>
                <w:rFonts w:ascii="Arial;sans-serif" w:hAnsi="Arial;sans-serif"/>
                <w:b/>
                <w:sz w:val="18"/>
              </w:rPr>
            </w:pPr>
            <w:r>
              <w:rPr>
                <w:rFonts w:ascii="Arial;sans-serif" w:hAnsi="Arial;sans-serif"/>
                <w:b/>
                <w:sz w:val="18"/>
              </w:rPr>
              <w:t>117 Kendrick St, Suite 450</w:t>
              <w:br/>
              <w:t>Needham, MA</w:t>
            </w:r>
          </w:p>
        </w:tc>
        <w:tc>
          <w:tcPr>
            <w:tcW w:w="1291" w:type="dxa"/>
            <w:tcBorders/>
            <w:shd w:fill="auto" w:val="clear"/>
            <w:vAlign w:val="center"/>
          </w:tcPr>
          <w:p>
            <w:pPr>
              <w:pStyle w:val="TableContents"/>
              <w:spacing w:before="60" w:after="0"/>
              <w:ind w:left="0" w:right="0" w:hanging="0"/>
              <w:jc w:val="center"/>
              <w:rPr>
                <w:rFonts w:ascii="Arial;sans-serif" w:hAnsi="Arial;sans-serif"/>
                <w:b/>
                <w:sz w:val="18"/>
              </w:rPr>
            </w:pPr>
            <w:r>
              <w:rPr>
                <w:rFonts w:ascii="Arial;sans-serif" w:hAnsi="Arial;sans-serif"/>
                <w:b/>
                <w:sz w:val="18"/>
              </w:rPr>
              <w:t>02494</w:t>
            </w:r>
          </w:p>
        </w:tc>
      </w:tr>
      <w:tr>
        <w:trPr/>
        <w:tc>
          <w:tcPr>
            <w:tcW w:w="2656" w:type="dxa"/>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(Address of principal executive offices)</w:t>
            </w:r>
          </w:p>
        </w:tc>
        <w:tc>
          <w:tcPr>
            <w:tcW w:w="1291" w:type="dxa"/>
            <w:tcBorders/>
            <w:shd w:fill="auto" w:val="clear"/>
            <w:vAlign w:val="center"/>
          </w:tcPr>
          <w:p>
            <w:pPr>
              <w:pStyle w:val="TableContents"/>
              <w:spacing w:before="0" w:after="0"/>
              <w:ind w:left="0" w:right="0" w:hanging="0"/>
              <w:jc w:val="center"/>
              <w:rPr>
                <w:rFonts w:ascii="Arial;sans-serif" w:hAnsi="Arial;sans-serif"/>
                <w:b/>
                <w:sz w:val="14"/>
              </w:rPr>
            </w:pPr>
            <w:r>
              <w:rPr>
                <w:rFonts w:ascii="Arial;sans-serif" w:hAnsi="Arial;sans-serif"/>
                <w:b/>
                <w:sz w:val="14"/>
              </w:rPr>
              <w:t>(Zip Code)</w:t>
            </w:r>
          </w:p>
        </w:tc>
      </w:tr>
    </w:tbl>
    <w:p>
      <w:pPr>
        <w:pStyle w:val="TextBody"/>
        <w:spacing w:before="80" w:after="0"/>
        <w:jc w:val="center"/>
        <w:rPr>
          <w:rFonts w:ascii="Arial;sans-serif" w:hAnsi="Arial;sans-serif"/>
          <w:b/>
          <w:sz w:val="18"/>
        </w:rPr>
      </w:pPr>
      <w:r>
        <w:rPr>
          <w:rFonts w:ascii="Arial;sans-serif" w:hAnsi="Arial;sans-serif"/>
          <w:b/>
          <w:sz w:val="18"/>
        </w:rPr>
        <w:t>Registrant’s telephone number, including area code: (617) 916-5445</w:t>
      </w:r>
    </w:p>
    <w:p>
      <w:pPr>
        <w:pStyle w:val="TextBody"/>
        <w:pBdr>
          <w:bottom w:val="single" w:sz="4" w:space="1" w:color="000000"/>
        </w:pBdr>
        <w:spacing w:before="0" w:after="0"/>
        <w:jc w:val="center"/>
        <w:rPr/>
      </w:pPr>
      <w:r>
        <w:rPr/>
        <w:t> </w:t>
      </w:r>
    </w:p>
    <w:p>
      <w:pPr>
        <w:pStyle w:val="TextBody"/>
        <w:spacing w:before="80" w:after="0"/>
        <w:jc w:val="left"/>
        <w:rPr>
          <w:rFonts w:ascii="Times New Roman" w:hAnsi="Times New Roman"/>
          <w:sz w:val="20"/>
        </w:rPr>
      </w:pPr>
      <w:r>
        <w:rPr>
          <w:rFonts w:ascii="Arial;sans-serif" w:hAnsi="Arial;sans-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8425" w:type="dxa"/>
        <w:jc w:val="left"/>
        <w:tblInd w:w="0" w:type="dxa"/>
        <w:tblCellMar>
          <w:top w:w="28" w:type="dxa"/>
          <w:left w:w="28" w:type="dxa"/>
          <w:bottom w:w="28" w:type="dxa"/>
          <w:right w:w="28" w:type="dxa"/>
        </w:tblCellMar>
      </w:tblPr>
      <w:tblGrid>
        <w:gridCol w:w="3556"/>
        <w:gridCol w:w="146"/>
        <w:gridCol w:w="916"/>
        <w:gridCol w:w="146"/>
        <w:gridCol w:w="3661"/>
      </w:tblGrid>
      <w:tr>
        <w:trPr/>
        <w:tc>
          <w:tcPr>
            <w:tcW w:w="3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61" w:type="dxa"/>
            <w:tcBorders/>
            <w:shd w:fill="auto" w:val="clear"/>
            <w:vAlign w:val="center"/>
          </w:tcPr>
          <w:p>
            <w:pPr>
              <w:pStyle w:val="TableContents"/>
              <w:spacing w:before="0" w:after="283"/>
              <w:rPr>
                <w:sz w:val="4"/>
                <w:szCs w:val="4"/>
              </w:rPr>
            </w:pPr>
            <w:r>
              <w:rPr>
                <w:sz w:val="4"/>
                <w:szCs w:val="4"/>
              </w:rPr>
            </w:r>
          </w:p>
        </w:tc>
      </w:tr>
      <w:tr>
        <w:trPr/>
        <w:tc>
          <w:tcPr>
            <w:tcW w:w="35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Trading</w:t>
            </w:r>
          </w:p>
          <w:p>
            <w:pPr>
              <w:pStyle w:val="TableContents"/>
              <w:spacing w:before="0" w:after="0"/>
              <w:ind w:left="0" w:right="0" w:hanging="0"/>
              <w:jc w:val="center"/>
              <w:rPr>
                <w:rFonts w:ascii="Arial;sans-serif" w:hAnsi="Arial;sans-serif"/>
                <w:b/>
                <w:sz w:val="16"/>
              </w:rPr>
            </w:pPr>
            <w:r>
              <w:rPr>
                <w:rFonts w:ascii="Arial;sans-serif" w:hAnsi="Arial;sans-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Name of each exchange on which registered</w:t>
            </w:r>
          </w:p>
        </w:tc>
      </w:tr>
      <w:tr>
        <w:trPr/>
        <w:tc>
          <w:tcPr>
            <w:tcW w:w="355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Common Stock, par value $0.01 per share</w:t>
            </w:r>
          </w:p>
        </w:tc>
        <w:tc>
          <w:tcPr>
            <w:tcW w:w="146" w:type="dxa"/>
            <w:tcBorders/>
            <w:shd w:fill="auto" w:val="clear"/>
            <w:vAlign w:val="center"/>
          </w:tcPr>
          <w:p>
            <w:pPr>
              <w:pStyle w:val="TableContents"/>
              <w:spacing w:before="0" w:after="0"/>
              <w:ind w:left="0" w:right="0" w:hanging="0"/>
              <w:jc w:val="center"/>
              <w:rPr/>
            </w:pPr>
            <w:r>
              <w:rPr/>
              <w:t> </w:t>
            </w:r>
          </w:p>
        </w:tc>
        <w:tc>
          <w:tcPr>
            <w:tcW w:w="916"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CADL</w:t>
            </w:r>
          </w:p>
        </w:tc>
        <w:tc>
          <w:tcPr>
            <w:tcW w:w="146" w:type="dxa"/>
            <w:tcBorders/>
            <w:shd w:fill="auto" w:val="clear"/>
            <w:vAlign w:val="center"/>
          </w:tcPr>
          <w:p>
            <w:pPr>
              <w:pStyle w:val="TableContents"/>
              <w:spacing w:before="0" w:after="0"/>
              <w:ind w:left="0" w:right="0" w:hanging="0"/>
              <w:jc w:val="center"/>
              <w:rPr/>
            </w:pPr>
            <w:r>
              <w:rPr/>
              <w:t> </w:t>
            </w:r>
          </w:p>
        </w:tc>
        <w:tc>
          <w:tcPr>
            <w:tcW w:w="3661" w:type="dxa"/>
            <w:tcBorders/>
            <w:shd w:fill="auto" w:val="clear"/>
            <w:vAlign w:val="center"/>
          </w:tcPr>
          <w:p>
            <w:pPr>
              <w:pStyle w:val="TableContents"/>
              <w:spacing w:before="0" w:after="0"/>
              <w:ind w:left="0" w:right="0" w:hanging="0"/>
              <w:jc w:val="center"/>
              <w:rPr>
                <w:rFonts w:ascii="Arial;sans-serif" w:hAnsi="Arial;sans-serif"/>
                <w:b w:val="false"/>
                <w:sz w:val="18"/>
              </w:rPr>
            </w:pPr>
            <w:r>
              <w:rPr>
                <w:rFonts w:ascii="Arial;sans-serif" w:hAnsi="Arial;sans-serif"/>
                <w:b w:val="false"/>
                <w:sz w:val="18"/>
              </w:rPr>
              <w:t>The Nasdaq Global Market</w:t>
            </w:r>
          </w:p>
        </w:tc>
      </w:tr>
    </w:tbl>
    <w:p>
      <w:pPr>
        <w:pStyle w:val="TextBody"/>
        <w:spacing w:before="80" w:after="0"/>
        <w:jc w:val="left"/>
        <w:rPr>
          <w:rFonts w:ascii="Times New Roman" w:hAnsi="Times New Roman"/>
          <w:sz w:val="20"/>
        </w:rPr>
      </w:pPr>
      <w:r>
        <w:rPr>
          <w:rFonts w:ascii="Arial;sans-serif" w:hAnsi="Arial;sans-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sans-serif" w:hAnsi="Arial;sans-serif"/>
          <w:b w:val="false"/>
          <w:sz w:val="18"/>
        </w:rPr>
        <w:t xml:space="preserve">No </w:t>
      </w:r>
      <w:r>
        <w:rPr>
          <w:rFonts w:ascii="Times New Roman" w:hAnsi="Times New Roman"/>
          <w:sz w:val="20"/>
        </w:rPr>
        <w:t>☐</w:t>
      </w:r>
    </w:p>
    <w:p>
      <w:pPr>
        <w:pStyle w:val="TextBody"/>
        <w:spacing w:before="80" w:after="0"/>
        <w:jc w:val="left"/>
        <w:rPr>
          <w:rFonts w:ascii="Times New Roman" w:hAnsi="Times New Roman"/>
          <w:sz w:val="20"/>
        </w:rPr>
      </w:pPr>
      <w:r>
        <w:rPr>
          <w:rFonts w:ascii="Arial;sans-serif" w:hAnsi="Arial;sans-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Arial;sans-serif" w:hAnsi="Arial;sans-serif"/>
          <w:b w:val="false"/>
          <w:sz w:val="18"/>
        </w:rPr>
        <w:t xml:space="preserve">No </w:t>
      </w:r>
      <w:r>
        <w:rPr>
          <w:rFonts w:ascii="Times New Roman" w:hAnsi="Times New Roman"/>
          <w:sz w:val="20"/>
        </w:rPr>
        <w:t>☐</w:t>
      </w:r>
    </w:p>
    <w:p>
      <w:pPr>
        <w:pStyle w:val="TextBody"/>
        <w:spacing w:before="80" w:after="0"/>
        <w:jc w:val="left"/>
        <w:rPr>
          <w:rFonts w:ascii="Arial;sans-serif" w:hAnsi="Arial;sans-serif"/>
          <w:b w:val="false"/>
          <w:sz w:val="18"/>
        </w:rPr>
      </w:pPr>
      <w:r>
        <w:rPr>
          <w:rFonts w:ascii="Arial;sans-serif" w:hAnsi="Arial;sans-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377" w:type="dxa"/>
        <w:jc w:val="left"/>
        <w:tblInd w:w="0" w:type="dxa"/>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Large 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Non-accelerated filer</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16" w:type="dxa"/>
            <w:tcBorders/>
            <w:shd w:fill="auto" w:val="clear"/>
            <w:vAlign w:val="center"/>
          </w:tcPr>
          <w:p>
            <w:pPr>
              <w:pStyle w:val="TableContents"/>
              <w:spacing w:before="0" w:after="0"/>
              <w:ind w:left="0" w:right="0" w:hanging="0"/>
              <w:jc w:val="left"/>
              <w:rPr/>
            </w:pPr>
            <w:r>
              <w:rPr/>
              <w:t>☒</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Smaller reporting company</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361" w:type="dxa"/>
            <w:tcBorders/>
            <w:shd w:fill="auto" w:val="clear"/>
            <w:vAlign w:val="center"/>
          </w:tcPr>
          <w:p>
            <w:pPr>
              <w:pStyle w:val="TableContents"/>
              <w:spacing w:before="0" w:after="0"/>
              <w:ind w:left="0" w:right="0" w:hanging="0"/>
              <w:jc w:val="left"/>
              <w:rPr/>
            </w:pPr>
            <w:r>
              <w:rPr/>
              <w:t>☒</w:t>
            </w:r>
          </w:p>
        </w:tc>
      </w:tr>
      <w:tr>
        <w:trPr/>
        <w:tc>
          <w:tcPr>
            <w:tcW w:w="19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1" w:type="dxa"/>
            <w:tcBorders/>
            <w:shd w:fill="auto" w:val="cle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Emerging growth company</w:t>
            </w:r>
          </w:p>
        </w:tc>
        <w:tc>
          <w:tcPr>
            <w:tcW w:w="146" w:type="dxa"/>
            <w:tcBorders/>
            <w:shd w:fill="auto" w:val="clear"/>
            <w:vAlign w:val="center"/>
          </w:tcPr>
          <w:p>
            <w:pPr>
              <w:pStyle w:val="TableContents"/>
              <w:spacing w:before="0" w:after="0"/>
              <w:ind w:left="0" w:right="0" w:hanging="0"/>
              <w:jc w:val="left"/>
              <w:rPr/>
            </w:pPr>
            <w:r>
              <w:rPr/>
              <w:t> </w:t>
            </w:r>
          </w:p>
        </w:tc>
        <w:tc>
          <w:tcPr>
            <w:tcW w:w="361" w:type="dxa"/>
            <w:tcBorders/>
            <w:shd w:fill="auto" w:val="clear"/>
            <w:vAlign w:val="center"/>
          </w:tcPr>
          <w:p>
            <w:pPr>
              <w:pStyle w:val="TableContents"/>
              <w:spacing w:before="0" w:after="0"/>
              <w:ind w:left="0" w:right="0" w:hanging="0"/>
              <w:jc w:val="left"/>
              <w:rPr/>
            </w:pPr>
            <w:r>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Arial;sans-serif" w:hAnsi="Arial;sans-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80" w:after="0"/>
        <w:jc w:val="left"/>
        <w:rPr>
          <w:rFonts w:ascii="Times New Roman" w:hAnsi="Times New Roman"/>
          <w:sz w:val="20"/>
        </w:rPr>
      </w:pPr>
      <w:r>
        <w:rPr>
          <w:rFonts w:ascii="Arial;sans-serif" w:hAnsi="Arial;sans-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Arial;sans-serif" w:hAnsi="Arial;sans-serif"/>
          <w:b w:val="false"/>
          <w:sz w:val="18"/>
        </w:rPr>
        <w:t xml:space="preserve">No </w:t>
      </w:r>
      <w:r>
        <w:rPr>
          <w:rFonts w:ascii="Times New Roman" w:hAnsi="Times New Roman"/>
          <w:sz w:val="20"/>
        </w:rPr>
        <w:t>☒</w:t>
      </w:r>
    </w:p>
    <w:p>
      <w:pPr>
        <w:pStyle w:val="TextBody"/>
        <w:spacing w:before="80" w:after="0"/>
        <w:jc w:val="left"/>
        <w:rPr>
          <w:rFonts w:ascii="Times New Roman" w:hAnsi="Times New Roman"/>
          <w:sz w:val="20"/>
        </w:rPr>
      </w:pPr>
      <w:r>
        <w:rPr>
          <w:rFonts w:ascii="Arial;sans-serif" w:hAnsi="Arial;sans-serif"/>
          <w:b w:val="false"/>
          <w:sz w:val="18"/>
        </w:rPr>
        <w:t>As of May 3, 2023, the registrant had 28,919,810</w:t>
      </w:r>
      <w:r>
        <w:rPr>
          <w:rFonts w:ascii="Times New Roman" w:hAnsi="Times New Roman"/>
          <w:sz w:val="20"/>
        </w:rPr>
        <w:t xml:space="preserve"> </w:t>
      </w:r>
      <w:r>
        <w:rPr>
          <w:rFonts w:ascii="Arial;sans-serif" w:hAnsi="Arial;sans-serif"/>
          <w:b w:val="false"/>
          <w:sz w:val="18"/>
        </w:rPr>
        <w:t>shares of common stock, $0.01 par value per share, outstanding.</w:t>
      </w:r>
    </w:p>
    <w:p>
      <w:pPr>
        <w:pStyle w:val="TextBody"/>
        <w:pBdr>
          <w:bottom w:val="double" w:sz="6" w:space="1" w:color="000000"/>
        </w:pBdr>
        <w:spacing w:before="0" w:after="0"/>
        <w:jc w:val="center"/>
        <w:rPr/>
      </w:pPr>
      <w:r>
        <w:rPr/>
        <w:t> </w:t>
      </w:r>
    </w:p>
    <w:p>
      <w:pPr>
        <w:pStyle w:val="HorizontalLine"/>
        <w:rPr/>
      </w:pPr>
      <w:r>
        <w:rPr/>
      </w:r>
    </w:p>
    <w:p>
      <w:pPr>
        <w:pStyle w:val="TextBody"/>
        <w:spacing w:before="160" w:after="0"/>
        <w:jc w:val="center"/>
        <w:rPr>
          <w:rFonts w:ascii="Arial;sans-serif" w:hAnsi="Arial;sans-serif"/>
          <w:b/>
          <w:sz w:val="20"/>
        </w:rPr>
      </w:pPr>
      <w:r>
        <w:rPr>
          <w:rFonts w:ascii="Arial;sans-serif" w:hAnsi="Arial;sans-serif"/>
          <w:b/>
          <w:sz w:val="20"/>
        </w:rPr>
        <w:t>SPECIAL NOTE REGARDING FORWARD-LOOKING STATEMENTS</w:t>
      </w:r>
    </w:p>
    <w:p>
      <w:pPr>
        <w:pStyle w:val="TextBody"/>
        <w:spacing w:before="160" w:after="0"/>
        <w:jc w:val="left"/>
        <w:rPr>
          <w:rFonts w:ascii="Arial;sans-serif" w:hAnsi="Arial;sans-serif"/>
          <w:b w:val="false"/>
          <w:sz w:val="19"/>
        </w:rPr>
      </w:pPr>
      <w:r>
        <w:rPr>
          <w:rFonts w:ascii="Arial;sans-serif" w:hAnsi="Arial;sans-serif"/>
          <w:b w:val="false"/>
          <w:sz w:val="19"/>
        </w:rPr>
        <w:t>This Quarterly Report on Form 10-Q (Form 10-Q), including the section entitled “Management’s Discussion and Analysis of Financial Condition and Results of Operations,”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Form 10-Q may include, but are not limited to, statements about: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timing and the success of preclinical studies and clinical trials of CAN-2409 and CAN-3110 and any other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initiation of any clinical trials of CAN-2409 and CAN-3110 and any other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need to raise additional funding before we can expect to generate any revenues from product sales;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conduct successful clinical trials or obtain regulatory approval for CAN-2409 and CAN-3110 or any other product candidates that we may identify or develop;</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ability of our research to generate and advance additional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effects of the COVID-19 pandemic, or any future public health crisis, including mitigation efforts and economic effects, on any of the foregoing or other aspects of our business operations;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establish an adequate safety or efficacy profile for CAN-2409, CAN-3110 or any other product candidates that we may pursue;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manufacture CAN-2409, CAN-3110 or any other product candidate in conformity with our specifications and the U.S. Food and Drug Administration’s (FDA) requirements and to scale up manufacturing of our product candidates to commercial scale, if approved;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implementation of our strategic plans for our business, any product candidates we may develop and any companion diagnostics;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intellectual property position, including the scope of protection we are able to establish and maintain for intellectual property rights covering our product candidates any companion diagnostics;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rate and degree of market acceptance and clinical utility for any product candidates we may develop;</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estimates of our expenses, future revenues, capital requirements and our needs for additional financing;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period we estimate to be funded by our existing financial resources;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establish and maintain collaborations;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potential benefits with the continued existence of our license agreement with Mass General Brigham (MGB);</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financial performance;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effectively manage our anticipated growth;</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developments relating to our competitors and our industry, including the impact of government regulation;</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retain the continued service of our key professionals and to identify, hire and retain additional qualified professionals; and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other risks and uncertainties, including those discussed in Part II, Item 1A - Risk Factors in this Form 10-Q.</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In some cases, forward-looking statements can be identified by terminology such as “will,” “may,” “should,” “could,” “expects,” “intends,” “plans,” “aims,” “anticipates,” “believes,” “estimates,” “predicts,” “potential,” “continue,” or the negative of these terms or other comparable terminology, although not all forward-looking statements contain these words.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Form 10-Q. If one or more of these risks or uncertainties occur, or if our underlying assumptions prove to be incorrect, actual events or results may vary significantly from those expressed or implied by the forward-looking statements. No forward-looking statement is a promise or a guarantee of future performance.</w:t>
      </w:r>
    </w:p>
    <w:p>
      <w:pPr>
        <w:pStyle w:val="TextBody"/>
        <w:spacing w:before="120" w:after="0"/>
        <w:jc w:val="left"/>
        <w:rPr>
          <w:rFonts w:ascii="Arial;sans-serif" w:hAnsi="Arial;sans-serif"/>
          <w:b w:val="false"/>
          <w:sz w:val="19"/>
        </w:rPr>
      </w:pPr>
      <w:r>
        <w:rPr>
          <w:rFonts w:ascii="Arial;sans-serif" w:hAnsi="Arial;sans-serif"/>
          <w:b w:val="false"/>
          <w:sz w:val="19"/>
        </w:rPr>
        <w:t>The forward-looking statements in this Form 10-Q represent our views as of the date of this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Form 10-Q.</w:t>
      </w:r>
    </w:p>
    <w:p>
      <w:pPr>
        <w:pStyle w:val="TextBody"/>
        <w:spacing w:before="120" w:after="0"/>
        <w:jc w:val="left"/>
        <w:rPr>
          <w:rFonts w:ascii="Arial;sans-serif" w:hAnsi="Arial;sans-serif"/>
          <w:b w:val="false"/>
          <w:sz w:val="19"/>
        </w:rPr>
      </w:pPr>
      <w:r>
        <w:rPr>
          <w:rFonts w:ascii="Arial;sans-serif" w:hAnsi="Arial;sans-serif"/>
          <w:b w:val="false"/>
          <w:sz w:val="19"/>
        </w:rPr>
        <w:t>This Form 10-Q may include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We have not independently verified the information contained in such sources.</w:t>
      </w:r>
    </w:p>
    <w:p>
      <w:pPr>
        <w:pStyle w:val="HorizontalLine"/>
        <w:rPr/>
      </w:pPr>
      <w:r>
        <w:rPr/>
      </w:r>
    </w:p>
    <w:p>
      <w:pPr>
        <w:pStyle w:val="TextBody"/>
        <w:spacing w:before="0" w:after="0"/>
        <w:jc w:val="center"/>
        <w:rPr>
          <w:rFonts w:ascii="Arial;sans-serif" w:hAnsi="Arial;sans-serif"/>
          <w:b/>
          <w:sz w:val="20"/>
        </w:rPr>
      </w:pPr>
      <w:r>
        <w:rPr>
          <w:rFonts w:ascii="Arial;sans-serif" w:hAnsi="Arial;sans-serif"/>
          <w:b/>
          <w:sz w:val="20"/>
        </w:rPr>
        <w:t>SUMMARY OF THE MATERIAL AND OTHER RISKS ASSOCIATED WITH OUR BUSINESS</w:t>
      </w:r>
    </w:p>
    <w:p>
      <w:pPr>
        <w:pStyle w:val="TextBody"/>
        <w:spacing w:before="160" w:after="0"/>
        <w:jc w:val="left"/>
        <w:rPr>
          <w:rFonts w:ascii="Arial;sans-serif" w:hAnsi="Arial;sans-serif"/>
          <w:b w:val="false"/>
          <w:sz w:val="19"/>
        </w:rPr>
      </w:pPr>
      <w:r>
        <w:rPr>
          <w:rFonts w:ascii="Arial;sans-serif" w:hAnsi="Arial;sans-serif"/>
          <w:b w:val="false"/>
          <w:sz w:val="19"/>
        </w:rPr>
        <w:t>Our business is subject to numerous risks and uncertainties, including those described more fully in Part II, Item 1A - Risk Factors in this Form 10-Q. You should carefully consider these risks and uncertainties when investing in our common stock. The principal risks and uncertainties affecting our business include the following: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 xml:space="preserve">We are a biopharmaceutical company with a limited operating history and we have not generated any revenue from product sales. We expect to continue to incur significant expenses and increasing operating losses for at least the next several years and may never achieve or maintain profitability. </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Substantial doubt exists about our ability to continue as a going concern. Our ability to continue as a going concern requires that we obtain sufficient additional funding to finance our operations. If we are unable to raise capital when needed, we would be forced to delay, reduce or eliminate some of our research, clinical trials, product development, or future commercialization efforts.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We have incurred indebtedness, and we may incur additional indebtedness, which could adversely affect our financial condition.</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business is dependent on the success of our lead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preclinical studies and clinical trials may fail to demonstrate adequately the safety and efficacy of any of our product candidates, which would prevent or delay development, regulatory approval, and commercialization.</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product candidates are based on a novel approach to the treatment of cancer, which makes it difficult to predict the time and cost of product candidate development and subsequently obtaining regulatory approval, if at all.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Even if we receive marketing approval for our current or future product candidates, our current or future product candidates may not achieve broad market acceptance, which would limit the revenue that we generate from their sales.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regulatory approval processes of the FDA and comparable foreign regulatory authorities are lengthy, time 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FDA’s agreement to a Special Protocol Assessment with respect to the study design of our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Some of our product candidates are being and may continue to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Changes in product candidate manufacturing or formulation may result in additional costs or delay.</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 xml:space="preserve">The COVID-19 pandemic or any future public health crisis may have adverse effects on our business and operations. </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transition of our manufacturing operations to a third-party contract manufacturer may result in further delays or expenses, and we may not experience the anticipated operating efficiencies.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 xml:space="preserve">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to our business relationships with our current or any future licensors, we could lose intellectual property rights that are important to our business.</w:t>
      </w:r>
    </w:p>
    <w:p>
      <w:pPr>
        <w:pStyle w:val="HorizontalLine"/>
        <w:rPr/>
      </w:pPr>
      <w:r>
        <w:rPr/>
      </w:r>
    </w:p>
    <w:p>
      <w:pPr>
        <w:pStyle w:val="TextBody"/>
        <w:spacing w:before="0" w:after="0"/>
        <w:jc w:val="center"/>
        <w:rPr>
          <w:rFonts w:ascii="Arial;sans-serif" w:hAnsi="Arial;sans-serif"/>
          <w:b/>
          <w:sz w:val="20"/>
        </w:rPr>
      </w:pPr>
      <w:r>
        <w:rPr>
          <w:rFonts w:ascii="Arial;sans-serif" w:hAnsi="Arial;sans-serif"/>
          <w:b/>
          <w:sz w:val="20"/>
        </w:rPr>
        <w:t>NOTE REGARDING COMPANY REFERENCES</w:t>
      </w:r>
    </w:p>
    <w:p>
      <w:pPr>
        <w:pStyle w:val="TextBody"/>
        <w:spacing w:before="0" w:after="0"/>
        <w:jc w:val="left"/>
        <w:rPr/>
      </w:pPr>
      <w:r>
        <w:rPr/>
        <w:t> </w:t>
      </w:r>
    </w:p>
    <w:p>
      <w:pPr>
        <w:pStyle w:val="TextBody"/>
        <w:spacing w:before="0" w:after="0"/>
        <w:jc w:val="left"/>
        <w:rPr>
          <w:rFonts w:ascii="Arial;sans-serif" w:hAnsi="Arial;sans-serif"/>
          <w:b w:val="false"/>
          <w:sz w:val="19"/>
        </w:rPr>
      </w:pPr>
      <w:r>
        <w:rPr>
          <w:rFonts w:ascii="Arial;sans-serif" w:hAnsi="Arial;sans-serif"/>
          <w:b w:val="false"/>
          <w:sz w:val="19"/>
        </w:rPr>
        <w:t>Unless the context otherwise requires, the terms “Candel Therapeutics,” “the Company,” “we,” “us,” and “our” in this Form 10-Q refer to Candel Therapeutics, Inc. and its consolidated subsidiary.</w:t>
      </w:r>
    </w:p>
    <w:p>
      <w:pPr>
        <w:pStyle w:val="TextBody"/>
        <w:spacing w:before="0" w:after="0"/>
        <w:jc w:val="left"/>
        <w:rPr/>
      </w:pPr>
      <w:r>
        <w:rPr/>
        <w:t> </w:t>
      </w:r>
    </w:p>
    <w:p>
      <w:pPr>
        <w:pStyle w:val="TextBody"/>
        <w:spacing w:before="0" w:after="0"/>
        <w:jc w:val="center"/>
        <w:rPr>
          <w:rFonts w:ascii="Arial;sans-serif" w:hAnsi="Arial;sans-serif"/>
          <w:b/>
          <w:sz w:val="20"/>
        </w:rPr>
      </w:pPr>
      <w:r>
        <w:rPr>
          <w:rFonts w:ascii="Arial;sans-serif" w:hAnsi="Arial;sans-serif"/>
          <w:b/>
          <w:sz w:val="20"/>
        </w:rPr>
        <w:t>NOTE REGARDING TRADEMARKS</w:t>
      </w:r>
    </w:p>
    <w:p>
      <w:pPr>
        <w:pStyle w:val="TextBody"/>
        <w:spacing w:before="0" w:after="0"/>
        <w:jc w:val="left"/>
        <w:rPr/>
      </w:pPr>
      <w:r>
        <w:rPr/>
        <w:t> </w:t>
      </w:r>
    </w:p>
    <w:p>
      <w:pPr>
        <w:pStyle w:val="TextBody"/>
        <w:spacing w:before="0" w:after="0"/>
        <w:jc w:val="left"/>
        <w:rPr>
          <w:rFonts w:ascii="Arial;sans-serif" w:hAnsi="Arial;sans-serif"/>
          <w:b w:val="false"/>
          <w:sz w:val="19"/>
        </w:rPr>
      </w:pPr>
      <w:r>
        <w:rPr>
          <w:rFonts w:ascii="Arial;sans-serif" w:hAnsi="Arial;sans-serif"/>
          <w:b w:val="false"/>
          <w:sz w:val="19"/>
        </w:rPr>
        <w:t>We own or have rights to various trademarks, service marks and trade names that are used in connection with the operation of our business, including our company name, Candel Therapeutics, our logo, and the names of our CAN-2409 and CAN-3110 product candidates. This Form 10-Q may also contain trademarks, service marks and trade names of third parties, which are the property of their respective owners. Our use or display of third parties’ trademarks, service marks, trade names or products in this Form 10-Q is not intended to and does not imply a relationship with, or endorsement or sponsorship by, us. Solely for convenience, the trademarks, service marks and trade names referred to in this Form 10-Q may appear without the ®, TM or SM symbols, but the omission of such references is not intended to indicate, in any way, that we will not assert, to the fullest extent under applicable law, our rights or the right of the applicable owner of these trademarks, service marks and trade names.</w:t>
      </w:r>
    </w:p>
    <w:p>
      <w:pPr>
        <w:pStyle w:val="TextBody"/>
        <w:spacing w:before="240" w:after="0"/>
        <w:jc w:val="center"/>
        <w:rPr>
          <w:rFonts w:ascii="Arial;sans-serif" w:hAnsi="Arial;sans-serif"/>
          <w:b w:val="false"/>
          <w:sz w:val="20"/>
        </w:rPr>
      </w:pPr>
      <w:r>
        <w:rPr>
          <w:rFonts w:ascii="Arial;sans-serif" w:hAnsi="Arial;sans-serif"/>
          <w:b w:val="false"/>
          <w:sz w:val="20"/>
        </w:rPr>
        <w:t>i</w:t>
      </w:r>
    </w:p>
    <w:p>
      <w:pPr>
        <w:pStyle w:val="HorizontalLine"/>
        <w:rPr/>
      </w:pPr>
      <w:r>
        <w:rPr/>
      </w:r>
    </w:p>
    <w:p>
      <w:pPr>
        <w:pStyle w:val="TextBody"/>
        <w:spacing w:before="0" w:after="0"/>
        <w:jc w:val="center"/>
        <w:rPr>
          <w:rFonts w:ascii="Arial;sans-serif" w:hAnsi="Arial;sans-serif"/>
          <w:b/>
          <w:sz w:val="20"/>
        </w:rPr>
      </w:pPr>
      <w:r>
        <w:rPr>
          <w:rFonts w:ascii="Arial;sans-serif" w:hAnsi="Arial;sans-serif"/>
          <w:b/>
          <w:sz w:val="20"/>
        </w:rPr>
        <w:t>Table of Contents</w:t>
      </w:r>
    </w:p>
    <w:p>
      <w:pPr>
        <w:pStyle w:val="TextBody"/>
        <w:spacing w:before="0" w:after="0"/>
        <w:jc w:val="left"/>
        <w:rPr/>
      </w:pPr>
      <w:r>
        <w:rPr/>
        <w:t> </w:t>
      </w:r>
    </w:p>
    <w:tbl>
      <w:tblPr>
        <w:tblW w:w="9273" w:type="dxa"/>
        <w:jc w:val="left"/>
        <w:tblInd w:w="0" w:type="dxa"/>
        <w:tblCellMar>
          <w:top w:w="28" w:type="dxa"/>
          <w:left w:w="28" w:type="dxa"/>
          <w:bottom w:w="28" w:type="dxa"/>
          <w:right w:w="28" w:type="dxa"/>
        </w:tblCellMar>
      </w:tblPr>
      <w:tblGrid>
        <w:gridCol w:w="886"/>
        <w:gridCol w:w="7846"/>
        <w:gridCol w:w="541"/>
      </w:tblGrid>
      <w:tr>
        <w:trPr/>
        <w:tc>
          <w:tcPr>
            <w:tcW w:w="886" w:type="dxa"/>
            <w:tcBorders/>
            <w:shd w:fill="auto" w:val="clear"/>
            <w:vAlign w:val="center"/>
          </w:tcPr>
          <w:p>
            <w:pPr>
              <w:pStyle w:val="TableContents"/>
              <w:spacing w:before="0" w:after="283"/>
              <w:rPr>
                <w:sz w:val="4"/>
                <w:szCs w:val="4"/>
              </w:rPr>
            </w:pPr>
            <w:r>
              <w:rPr>
                <w:sz w:val="4"/>
                <w:szCs w:val="4"/>
              </w:rPr>
            </w:r>
          </w:p>
        </w:tc>
        <w:tc>
          <w:tcPr>
            <w:tcW w:w="7846"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8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4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PART I.</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financial_information">
              <w:r>
                <w:rPr>
                  <w:rStyle w:val="InternetLink"/>
                  <w:rFonts w:ascii="Arial;sans-serif" w:hAnsi="Arial;sans-serif"/>
                  <w:b w:val="false"/>
                  <w:sz w:val="20"/>
                  <w:u w:val="single"/>
                </w:rPr>
                <w:t>FINANCIAL INFORMATION</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financial_statements">
              <w:r>
                <w:rPr>
                  <w:rStyle w:val="InternetLink"/>
                  <w:rFonts w:ascii="Arial;sans-serif" w:hAnsi="Arial;sans-serif"/>
                  <w:b w:val="false"/>
                  <w:sz w:val="20"/>
                  <w:u w:val="single"/>
                </w:rPr>
                <w:t>Financial Statements (Unaudited)</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balance_sheets">
              <w:r>
                <w:rPr>
                  <w:rStyle w:val="InternetLink"/>
                  <w:rFonts w:ascii="Arial;sans-serif" w:hAnsi="Arial;sans-serif"/>
                  <w:b w:val="false"/>
                  <w:sz w:val="20"/>
                  <w:u w:val="single"/>
                </w:rPr>
                <w:t>Condensed Consolidated Balance Sheets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operat">
              <w:r>
                <w:rPr>
                  <w:rStyle w:val="InternetLink"/>
                  <w:rFonts w:ascii="Arial;sans-serif" w:hAnsi="Arial;sans-serif"/>
                  <w:b w:val="false"/>
                  <w:sz w:val="20"/>
                  <w:u w:val="single"/>
                </w:rPr>
                <w:t>Condensed Consolidated Statements of Operations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conver">
              <w:r>
                <w:rPr>
                  <w:rStyle w:val="InternetLink"/>
                  <w:rFonts w:ascii="Arial;sans-serif" w:hAnsi="Arial;sans-serif"/>
                  <w:b w:val="false"/>
                  <w:sz w:val="20"/>
                  <w:u w:val="single"/>
                </w:rPr>
                <w:t>Condensed Consolidated Statements of Stockholders’ Equity</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cash_f">
              <w:r>
                <w:rPr>
                  <w:rStyle w:val="InternetLink"/>
                  <w:rFonts w:ascii="Arial;sans-serif" w:hAnsi="Arial;sans-serif"/>
                  <w:b w:val="false"/>
                  <w:sz w:val="20"/>
                  <w:u w:val="single"/>
                </w:rPr>
                <w:t>Condensed Consolidated Statements of Cash Flows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Arial;sans-serif" w:hAnsi="Arial;sans-serif"/>
                <w:b w:val="false"/>
                <w:sz w:val="20"/>
              </w:rPr>
            </w:pPr>
            <w:r>
              <w:rPr>
                <w:rFonts w:ascii="Arial;sans-serif" w:hAnsi="Arial;sans-serif"/>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to_condensed_consolidated_financia">
              <w:r>
                <w:rPr>
                  <w:rStyle w:val="InternetLink"/>
                  <w:rFonts w:ascii="Arial;sans-serif" w:hAnsi="Arial;sans-serif"/>
                  <w:b w:val="false"/>
                  <w:sz w:val="20"/>
                  <w:u w:val="single"/>
                </w:rPr>
                <w:t>Notes to Condensed Consolidated Financial Statements (Unaudited)</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_analysis_f">
              <w:r>
                <w:rPr>
                  <w:rStyle w:val="InternetLink"/>
                  <w:rFonts w:ascii="Arial;sans-serif" w:hAnsi="Arial;sans-serif"/>
                  <w:b w:val="false"/>
                  <w:sz w:val="20"/>
                  <w:u w:val="single"/>
                </w:rPr>
                <w:t>Management’s Discussion and Analysis of Financial Condition and Results of Operations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qualitative_disclosu">
              <w:r>
                <w:rPr>
                  <w:rStyle w:val="InternetLink"/>
                  <w:rFonts w:ascii="Arial;sans-serif" w:hAnsi="Arial;sans-serif"/>
                  <w:b w:val="false"/>
                  <w:sz w:val="20"/>
                  <w:u w:val="single"/>
                </w:rPr>
                <w:t>Quantitative and Qualitative Disclosures About Market Risk</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procedures">
              <w:r>
                <w:rPr>
                  <w:rStyle w:val="InternetLink"/>
                  <w:rFonts w:ascii="Arial;sans-serif" w:hAnsi="Arial;sans-serif"/>
                  <w:b w:val="false"/>
                  <w:sz w:val="20"/>
                  <w:u w:val="single"/>
                </w:rPr>
                <w:t>Controls and Procedures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PART II.</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or_information">
              <w:r>
                <w:rPr>
                  <w:rStyle w:val="InternetLink"/>
                  <w:rFonts w:ascii="Arial;sans-serif" w:hAnsi="Arial;sans-serif"/>
                  <w:b w:val="false"/>
                  <w:sz w:val="20"/>
                  <w:u w:val="single"/>
                </w:rPr>
                <w:t>OTHER INFORMATION</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1.</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Arial;sans-serif" w:hAnsi="Arial;sans-serif"/>
                  <w:b w:val="false"/>
                  <w:sz w:val="20"/>
                  <w:u w:val="single"/>
                </w:rPr>
                <w:t>Legal Proceedings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1A.</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Arial;sans-serif" w:hAnsi="Arial;sans-serif"/>
                  <w:b w:val="false"/>
                  <w:sz w:val="20"/>
                  <w:u w:val="single"/>
                </w:rPr>
                <w:t>Risk Factors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2.</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equity_securit">
              <w:r>
                <w:rPr>
                  <w:rStyle w:val="InternetLink"/>
                  <w:rFonts w:ascii="Arial;sans-serif" w:hAnsi="Arial;sans-serif"/>
                  <w:b w:val="false"/>
                  <w:sz w:val="20"/>
                  <w:u w:val="single"/>
                </w:rPr>
                <w:t>Unregistered Sales of Equity Securities and Use of Proceeds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3.</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no">
              <w:r>
                <w:rPr>
                  <w:rStyle w:val="InternetLink"/>
                  <w:rFonts w:ascii="Arial;sans-serif" w:hAnsi="Arial;sans-serif"/>
                  <w:b w:val="false"/>
                  <w:sz w:val="20"/>
                  <w:u w:val="single"/>
                </w:rPr>
                <w:t>Defaults Upon Senior Securities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4.</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Arial;sans-serif" w:hAnsi="Arial;sans-serif"/>
                  <w:b w:val="false"/>
                  <w:sz w:val="20"/>
                  <w:u w:val="single"/>
                </w:rPr>
                <w:t>Mine Safety Disclosures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5.</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r_information">
              <w:r>
                <w:rPr>
                  <w:rStyle w:val="InternetLink"/>
                  <w:rFonts w:ascii="Arial;sans-serif" w:hAnsi="Arial;sans-serif"/>
                  <w:b w:val="false"/>
                  <w:sz w:val="20"/>
                  <w:u w:val="single"/>
                </w:rPr>
                <w:t>Other Information</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Item 6.</w:t>
            </w:r>
          </w:p>
        </w:tc>
        <w:tc>
          <w:tcPr>
            <w:tcW w:w="784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Arial;sans-serif" w:hAnsi="Arial;sans-serif"/>
                  <w:b w:val="false"/>
                  <w:sz w:val="20"/>
                  <w:u w:val="single"/>
                </w:rPr>
                <w:t>Exhibits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86</w:t>
            </w:r>
          </w:p>
        </w:tc>
      </w:tr>
      <w:tr>
        <w:trPr/>
        <w:tc>
          <w:tcPr>
            <w:tcW w:w="873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Arial;sans-serif" w:hAnsi="Arial;sans-serif"/>
                  <w:b w:val="false"/>
                  <w:sz w:val="20"/>
                  <w:u w:val="single"/>
                </w:rPr>
                <w:t>Signatures</w:t>
              </w:r>
            </w:hyperlink>
          </w:p>
        </w:tc>
        <w:tc>
          <w:tcPr>
            <w:tcW w:w="54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ii</w:t>
      </w:r>
    </w:p>
    <w:p>
      <w:pPr>
        <w:pStyle w:val="HorizontalLine"/>
        <w:rPr/>
      </w:pPr>
      <w:r>
        <w:rPr/>
      </w:r>
    </w:p>
    <w:p>
      <w:pPr>
        <w:pStyle w:val="TextBody"/>
        <w:spacing w:before="0" w:after="0"/>
        <w:jc w:val="center"/>
        <w:rPr>
          <w:rFonts w:ascii="Arial;sans-serif" w:hAnsi="Arial;sans-serif"/>
          <w:b/>
          <w:sz w:val="20"/>
        </w:rPr>
      </w:pPr>
      <w:bookmarkStart w:id="2" w:name="part_ifinancial_information"/>
      <w:bookmarkEnd w:id="2"/>
      <w:r>
        <w:rPr>
          <w:rFonts w:ascii="Arial;sans-serif" w:hAnsi="Arial;sans-serif"/>
          <w:b/>
          <w:sz w:val="20"/>
        </w:rPr>
        <w:t>PART I—FINANCIAL INFORMATION</w:t>
      </w:r>
    </w:p>
    <w:p>
      <w:pPr>
        <w:pStyle w:val="TextBody"/>
        <w:spacing w:before="120" w:after="0"/>
        <w:jc w:val="left"/>
        <w:rPr>
          <w:rFonts w:ascii="Arial;sans-serif" w:hAnsi="Arial;sans-serif"/>
          <w:b/>
          <w:sz w:val="20"/>
        </w:rPr>
      </w:pPr>
      <w:bookmarkStart w:id="3" w:name="item_1_financial_statements"/>
      <w:bookmarkEnd w:id="3"/>
      <w:r>
        <w:rPr>
          <w:rFonts w:ascii="Arial;sans-serif" w:hAnsi="Arial;sans-serif"/>
          <w:b/>
          <w:sz w:val="20"/>
        </w:rPr>
        <w:t>Item 1. Financial Statements.</w:t>
      </w:r>
    </w:p>
    <w:p>
      <w:pPr>
        <w:pStyle w:val="TextBody"/>
        <w:spacing w:before="120" w:after="0"/>
        <w:jc w:val="center"/>
        <w:rPr>
          <w:rFonts w:ascii="Times New Roman" w:hAnsi="Times New Roman"/>
          <w:sz w:val="20"/>
        </w:rPr>
      </w:pPr>
      <w:r>
        <w:rPr>
          <w:rFonts w:ascii="Arial;sans-serif" w:hAnsi="Arial;sans-serif"/>
          <w:b/>
          <w:caps/>
          <w:sz w:val="20"/>
        </w:rPr>
        <w:t>Candel Therapeutics, Inc.</w:t>
      </w:r>
      <w:r>
        <w:rPr>
          <w:rFonts w:ascii="Times New Roman" w:hAnsi="Times New Roman"/>
          <w:caps/>
          <w:sz w:val="20"/>
        </w:rPr>
        <w:t xml:space="preserve"> </w:t>
      </w:r>
    </w:p>
    <w:p>
      <w:pPr>
        <w:pStyle w:val="TextBody"/>
        <w:spacing w:before="120" w:after="0"/>
        <w:jc w:val="center"/>
        <w:rPr>
          <w:rFonts w:ascii="Times New Roman" w:hAnsi="Times New Roman"/>
          <w:sz w:val="20"/>
        </w:rPr>
      </w:pPr>
      <w:bookmarkStart w:id="4" w:name="condensed_consolidated_balance_sheets"/>
      <w:bookmarkEnd w:id="4"/>
      <w:r>
        <w:rPr>
          <w:rFonts w:ascii="Arial;sans-serif" w:hAnsi="Arial;sans-serif"/>
          <w:b/>
          <w:sz w:val="20"/>
        </w:rPr>
        <w:t>Condensed Consolidated Balance Sheets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20"/>
        </w:rPr>
        <w:t>(In thousands, except share and per share amounts)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20"/>
        </w:rPr>
        <w:t>(Unaudited)</w:t>
      </w:r>
      <w:r>
        <w:rPr>
          <w:rFonts w:ascii="Times New Roman" w:hAnsi="Times New Roman"/>
          <w:sz w:val="20"/>
        </w:rPr>
        <w:t xml:space="preserve"> </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6856"/>
        <w:gridCol w:w="146"/>
        <w:gridCol w:w="211"/>
        <w:gridCol w:w="856"/>
        <w:gridCol w:w="166"/>
        <w:gridCol w:w="146"/>
        <w:gridCol w:w="231"/>
        <w:gridCol w:w="874"/>
        <w:gridCol w:w="1053"/>
      </w:tblGrid>
      <w:tr>
        <w:trPr/>
        <w:tc>
          <w:tcPr>
            <w:tcW w:w="6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r>
      <w:tr>
        <w:trPr/>
        <w:tc>
          <w:tcPr>
            <w:tcW w:w="68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5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Assets</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firstLine="560"/>
              <w:jc w:val="left"/>
              <w:rPr/>
            </w:pPr>
            <w:r>
              <w:rPr/>
              <w:t> </w:t>
            </w:r>
          </w:p>
        </w:tc>
      </w:tr>
      <w:tr>
        <w:trPr/>
        <w:tc>
          <w:tcPr>
            <w:tcW w:w="685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59,258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70,058</w:t>
            </w:r>
          </w:p>
        </w:tc>
        <w:tc>
          <w:tcPr>
            <w:tcW w:w="1053" w:type="dxa"/>
            <w:tcBorders/>
            <w:shd w:fill="auto" w:val="clear"/>
            <w:vAlign w:val="center"/>
          </w:tcPr>
          <w:p>
            <w:pPr>
              <w:pStyle w:val="TableContents"/>
              <w:spacing w:before="0" w:after="0"/>
              <w:ind w:left="0" w:right="0" w:firstLine="560"/>
              <w:jc w:val="left"/>
              <w:rPr/>
            </w:pPr>
            <w:r>
              <w:rPr/>
              <w:t> </w:t>
            </w:r>
          </w:p>
        </w:tc>
      </w:tr>
      <w:tr>
        <w:trPr/>
        <w:tc>
          <w:tcPr>
            <w:tcW w:w="685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1,887</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40"/>
              <w:jc w:val="left"/>
              <w:rPr/>
            </w:pPr>
            <w:r>
              <w:rPr/>
              <w:t> </w:t>
            </w:r>
          </w:p>
        </w:tc>
      </w:tr>
      <w:tr>
        <w:trPr/>
        <w:tc>
          <w:tcPr>
            <w:tcW w:w="6856" w:type="dxa"/>
            <w:tcBorders/>
            <w:shd w:fill="auto" w:val="clear"/>
            <w:vAlign w:val="center"/>
          </w:tcPr>
          <w:p>
            <w:pPr>
              <w:pStyle w:val="TableContents"/>
              <w:spacing w:before="0" w:after="0"/>
              <w:ind w:left="840" w:right="0" w:hanging="0"/>
              <w:jc w:val="left"/>
              <w:rPr>
                <w:rFonts w:ascii="Arial;sans-serif" w:hAnsi="Arial;sans-serif"/>
                <w:b/>
                <w:sz w:val="20"/>
              </w:rPr>
            </w:pPr>
            <w:r>
              <w:rPr>
                <w:rFonts w:ascii="Arial;sans-serif" w:hAnsi="Arial;sans-serif"/>
                <w:b/>
                <w:sz w:val="20"/>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61,875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71,945</w:t>
            </w:r>
          </w:p>
        </w:tc>
        <w:tc>
          <w:tcPr>
            <w:tcW w:w="1053" w:type="dxa"/>
            <w:tcBorders/>
            <w:shd w:fill="auto" w:val="cle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Fixed assets,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4,098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4,424</w:t>
            </w:r>
          </w:p>
        </w:tc>
        <w:tc>
          <w:tcPr>
            <w:tcW w:w="1053" w:type="dxa"/>
            <w:tcBorders/>
            <w:shd w:fill="auto" w:val="cle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Lease right of 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999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1,056</w:t>
            </w:r>
          </w:p>
        </w:tc>
        <w:tc>
          <w:tcPr>
            <w:tcW w:w="1053" w:type="dxa"/>
            <w:tcBorders/>
            <w:shd w:fill="auto" w:val="cle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266</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40"/>
              <w:jc w:val="left"/>
              <w:rPr/>
            </w:pPr>
            <w:r>
              <w:rPr/>
              <w:t> </w:t>
            </w:r>
          </w:p>
        </w:tc>
      </w:tr>
      <w:tr>
        <w:trPr/>
        <w:tc>
          <w:tcPr>
            <w:tcW w:w="6856" w:type="dxa"/>
            <w:tcBorders/>
            <w:shd w:fill="auto" w:val="clear"/>
            <w:vAlign w:val="center"/>
          </w:tcPr>
          <w:p>
            <w:pPr>
              <w:pStyle w:val="TableContents"/>
              <w:spacing w:before="0" w:after="0"/>
              <w:ind w:left="840" w:right="0" w:hanging="0"/>
              <w:jc w:val="left"/>
              <w:rPr>
                <w:rFonts w:ascii="Arial;sans-serif" w:hAnsi="Arial;sans-serif"/>
                <w:b/>
                <w:sz w:val="20"/>
              </w:rPr>
            </w:pPr>
            <w:r>
              <w:rPr>
                <w:rFonts w:ascii="Arial;sans-serif" w:hAnsi="Arial;sans-serif"/>
                <w:b/>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67,238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77,691</w:t>
            </w:r>
          </w:p>
        </w:tc>
        <w:tc>
          <w:tcPr>
            <w:tcW w:w="10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5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firstLine="560"/>
              <w:jc w:val="left"/>
              <w:rPr/>
            </w:pPr>
            <w:r>
              <w:rPr/>
              <w:t> </w:t>
            </w:r>
          </w:p>
        </w:tc>
      </w:tr>
      <w:tr>
        <w:trPr/>
        <w:tc>
          <w:tcPr>
            <w:tcW w:w="685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380</w:t>
            </w:r>
          </w:p>
        </w:tc>
        <w:tc>
          <w:tcPr>
            <w:tcW w:w="1053" w:type="dxa"/>
            <w:tcBorders/>
            <w:shd w:fill="auto" w:val="clear"/>
            <w:vAlign w:val="center"/>
          </w:tcPr>
          <w:p>
            <w:pPr>
              <w:pStyle w:val="TableContents"/>
              <w:spacing w:before="0" w:after="0"/>
              <w:ind w:left="0" w:right="0" w:firstLine="560"/>
              <w:jc w:val="left"/>
              <w:rPr/>
            </w:pPr>
            <w:r>
              <w:rPr/>
              <w:t> </w:t>
            </w:r>
          </w:p>
        </w:tc>
      </w:tr>
      <w:tr>
        <w:trPr/>
        <w:tc>
          <w:tcPr>
            <w:tcW w:w="685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4,723</w:t>
            </w:r>
          </w:p>
        </w:tc>
        <w:tc>
          <w:tcPr>
            <w:tcW w:w="1053" w:type="dxa"/>
            <w:tcBorders/>
            <w:shd w:fill="auto" w:val="clear"/>
            <w:vAlign w:val="center"/>
          </w:tcPr>
          <w:p>
            <w:pPr>
              <w:pStyle w:val="TableContents"/>
              <w:spacing w:before="0" w:after="0"/>
              <w:ind w:left="0" w:right="0" w:firstLine="560"/>
              <w:jc w:val="left"/>
              <w:rPr/>
            </w:pPr>
            <w:r>
              <w:rPr/>
              <w:t> </w:t>
            </w:r>
          </w:p>
        </w:tc>
      </w:tr>
      <w:tr>
        <w:trPr/>
        <w:tc>
          <w:tcPr>
            <w:tcW w:w="685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Current portion of term loan payable to a bank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pPr>
            <w:r>
              <w:rPr/>
              <w:t>—</w:t>
            </w:r>
          </w:p>
        </w:tc>
        <w:tc>
          <w:tcPr>
            <w:tcW w:w="1053" w:type="dxa"/>
            <w:tcBorders/>
            <w:shd w:fill="auto" w:val="clear"/>
            <w:vAlign w:val="center"/>
          </w:tcPr>
          <w:p>
            <w:pPr>
              <w:pStyle w:val="TableContents"/>
              <w:spacing w:before="0" w:after="0"/>
              <w:ind w:left="0" w:right="0" w:firstLine="560"/>
              <w:jc w:val="left"/>
              <w:rPr/>
            </w:pPr>
            <w:r>
              <w:rPr/>
              <w:t> </w:t>
            </w:r>
          </w:p>
        </w:tc>
      </w:tr>
      <w:tr>
        <w:trPr/>
        <w:tc>
          <w:tcPr>
            <w:tcW w:w="685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Current portion of lease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464</w:t>
            </w:r>
          </w:p>
        </w:tc>
        <w:tc>
          <w:tcPr>
            <w:tcW w:w="1053" w:type="dxa"/>
            <w:tcBorders/>
            <w:shd w:fill="auto" w:val="clear"/>
            <w:vAlign w:val="center"/>
          </w:tcPr>
          <w:p>
            <w:pPr>
              <w:pStyle w:val="TableContents"/>
              <w:spacing w:before="0" w:after="0"/>
              <w:ind w:left="0" w:right="0" w:firstLine="560"/>
              <w:jc w:val="left"/>
              <w:rPr/>
            </w:pPr>
            <w:r>
              <w:rPr/>
              <w:t> </w:t>
            </w:r>
          </w:p>
        </w:tc>
      </w:tr>
      <w:tr>
        <w:trPr/>
        <w:tc>
          <w:tcPr>
            <w:tcW w:w="685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40"/>
              <w:jc w:val="left"/>
              <w:rPr/>
            </w:pPr>
            <w:r>
              <w:rPr/>
              <w:t> </w:t>
            </w:r>
          </w:p>
        </w:tc>
      </w:tr>
      <w:tr>
        <w:trPr/>
        <w:tc>
          <w:tcPr>
            <w:tcW w:w="6856" w:type="dxa"/>
            <w:tcBorders/>
            <w:shd w:fill="auto" w:val="clear"/>
            <w:vAlign w:val="center"/>
          </w:tcPr>
          <w:p>
            <w:pPr>
              <w:pStyle w:val="TableContents"/>
              <w:spacing w:before="0" w:after="0"/>
              <w:ind w:left="840" w:right="0" w:hanging="0"/>
              <w:jc w:val="left"/>
              <w:rPr>
                <w:rFonts w:ascii="Arial;sans-serif" w:hAnsi="Arial;sans-serif"/>
                <w:b/>
                <w:sz w:val="20"/>
              </w:rPr>
            </w:pPr>
            <w:r>
              <w:rPr>
                <w:rFonts w:ascii="Arial;sans-serif" w:hAnsi="Arial;sans-serif"/>
                <w:b/>
                <w:sz w:val="20"/>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5,236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5,615</w:t>
            </w:r>
          </w:p>
        </w:tc>
        <w:tc>
          <w:tcPr>
            <w:tcW w:w="1053" w:type="dxa"/>
            <w:tcBorders/>
            <w:shd w:fill="auto" w:val="cle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144</w:t>
            </w:r>
          </w:p>
        </w:tc>
        <w:tc>
          <w:tcPr>
            <w:tcW w:w="1053" w:type="dxa"/>
            <w:tcBorders/>
            <w:shd w:fill="auto" w:val="cle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Term loan payable to a bank</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19,023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20,202</w:t>
            </w:r>
          </w:p>
        </w:tc>
        <w:tc>
          <w:tcPr>
            <w:tcW w:w="1053" w:type="dxa"/>
            <w:tcBorders/>
            <w:shd w:fill="auto" w:val="cle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Other long-term debt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648</w:t>
            </w:r>
          </w:p>
        </w:tc>
        <w:tc>
          <w:tcPr>
            <w:tcW w:w="1053" w:type="dxa"/>
            <w:tcBorders/>
            <w:shd w:fill="auto" w:val="cle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Lease liability,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1,486</w:t>
            </w:r>
          </w:p>
        </w:tc>
        <w:tc>
          <w:tcPr>
            <w:tcW w:w="1053" w:type="dxa"/>
            <w:tcBorders/>
            <w:shd w:fill="auto" w:val="cle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Warrant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1,882</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40"/>
              <w:jc w:val="left"/>
              <w:rPr/>
            </w:pPr>
            <w:r>
              <w:rPr/>
              <w:t> </w:t>
            </w:r>
          </w:p>
        </w:tc>
      </w:tr>
      <w:tr>
        <w:trPr/>
        <w:tc>
          <w:tcPr>
            <w:tcW w:w="6856" w:type="dxa"/>
            <w:tcBorders/>
            <w:shd w:fill="auto" w:val="clear"/>
            <w:vAlign w:val="center"/>
          </w:tcPr>
          <w:p>
            <w:pPr>
              <w:pStyle w:val="TableContents"/>
              <w:spacing w:before="0" w:after="0"/>
              <w:ind w:left="840" w:right="0" w:hanging="0"/>
              <w:jc w:val="left"/>
              <w:rPr>
                <w:rFonts w:ascii="Arial;sans-serif" w:hAnsi="Arial;sans-serif"/>
                <w:b/>
                <w:sz w:val="20"/>
              </w:rPr>
            </w:pPr>
            <w:r>
              <w:rPr>
                <w:rFonts w:ascii="Arial;sans-serif" w:hAnsi="Arial;sans-serif"/>
                <w:b/>
                <w:sz w:val="20"/>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27,586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29,977</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Commitments and contingencies (Note 15)</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firstLine="280"/>
              <w:jc w:val="left"/>
              <w:rPr/>
            </w:pPr>
            <w:r>
              <w:rPr/>
              <w:t> </w:t>
            </w:r>
          </w:p>
        </w:tc>
      </w:tr>
      <w:tr>
        <w:trPr/>
        <w:tc>
          <w:tcPr>
            <w:tcW w:w="68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106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05" w:type="dxa"/>
            <w:gridSpan w:val="2"/>
            <w:tcBorders/>
            <w:shd w:fill="auto" w:val="clear"/>
            <w:vAlign w:val="center"/>
          </w:tcPr>
          <w:p>
            <w:pPr>
              <w:pStyle w:val="TableContents"/>
              <w:spacing w:before="0" w:after="0"/>
              <w:ind w:left="0" w:right="0" w:hanging="0"/>
              <w:jc w:val="left"/>
              <w:rPr/>
            </w:pPr>
            <w:r>
              <w:rPr/>
              <w:t> </w:t>
            </w:r>
          </w:p>
        </w:tc>
        <w:tc>
          <w:tcPr>
            <w:tcW w:w="1053" w:type="dxa"/>
            <w:tcBorders/>
            <w:shd w:fill="auto" w:val="clear"/>
            <w:vAlign w:val="center"/>
          </w:tcPr>
          <w:p>
            <w:pPr>
              <w:pStyle w:val="TableContents"/>
              <w:spacing w:before="0" w:after="0"/>
              <w:ind w:left="0" w:right="0" w:firstLine="560"/>
              <w:jc w:val="left"/>
              <w:rPr/>
            </w:pPr>
            <w:r>
              <w:rPr/>
              <w:t> </w:t>
            </w:r>
          </w:p>
        </w:tc>
      </w:tr>
      <w:tr>
        <w:trPr/>
        <w:tc>
          <w:tcPr>
            <w:tcW w:w="6856" w:type="dxa"/>
            <w:tcBorders/>
            <w:shd w:fill="auto" w:val="clear"/>
            <w:vAlign w:val="center"/>
          </w:tcPr>
          <w:p>
            <w:pPr>
              <w:pStyle w:val="TableContents"/>
              <w:spacing w:before="0" w:after="0"/>
              <w:ind w:left="560" w:right="0" w:hanging="0"/>
              <w:jc w:val="left"/>
              <w:rPr>
                <w:rFonts w:ascii="Times New Roman" w:hAnsi="Times New Roman"/>
                <w:sz w:val="20"/>
              </w:rPr>
            </w:pPr>
            <w:r>
              <w:rPr>
                <w:rFonts w:ascii="Arial;sans-serif" w:hAnsi="Arial;sans-serif"/>
                <w:b w:val="false"/>
                <w:sz w:val="20"/>
              </w:rPr>
              <w:t>Preferred stock, $0.01</w:t>
            </w:r>
            <w:r>
              <w:rPr>
                <w:rFonts w:ascii="Times New Roman" w:hAnsi="Times New Roman"/>
                <w:sz w:val="20"/>
              </w:rPr>
              <w:t> </w:t>
            </w:r>
            <w:r>
              <w:rPr>
                <w:rFonts w:ascii="Arial;sans-serif" w:hAnsi="Arial;sans-serif"/>
                <w:b w:val="false"/>
                <w:sz w:val="20"/>
              </w:rPr>
              <w:t>par value; 10,000,000</w:t>
            </w:r>
            <w:r>
              <w:rPr>
                <w:rFonts w:ascii="Times New Roman" w:hAnsi="Times New Roman"/>
                <w:sz w:val="20"/>
              </w:rPr>
              <w:t> </w:t>
            </w:r>
            <w:r>
              <w:rPr>
                <w:rFonts w:ascii="Arial;sans-serif" w:hAnsi="Arial;sans-serif"/>
                <w:b w:val="false"/>
                <w:sz w:val="20"/>
              </w:rPr>
              <w:t>shares authorized at</w:t>
              <w:br/>
              <w:t>March 31, 2023 and December 31, 2022; no</w:t>
            </w:r>
            <w:r>
              <w:rPr>
                <w:rFonts w:ascii="Times New Roman" w:hAnsi="Times New Roman"/>
                <w:sz w:val="20"/>
              </w:rPr>
              <w:t> </w:t>
            </w:r>
            <w:r>
              <w:rPr>
                <w:rFonts w:ascii="Arial;sans-serif" w:hAnsi="Arial;sans-serif"/>
                <w:b w:val="false"/>
                <w:sz w:val="20"/>
              </w:rPr>
              <w:t>shares issued or outstanding at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pPr>
            <w:r>
              <w:rPr/>
              <w:t>—</w:t>
            </w:r>
          </w:p>
        </w:tc>
        <w:tc>
          <w:tcPr>
            <w:tcW w:w="1053" w:type="dxa"/>
            <w:tcBorders/>
            <w:shd w:fill="auto" w:val="clear"/>
            <w:vAlign w:val="center"/>
          </w:tcPr>
          <w:p>
            <w:pPr>
              <w:pStyle w:val="TableContents"/>
              <w:spacing w:before="0" w:after="0"/>
              <w:ind w:left="0" w:right="0" w:firstLine="560"/>
              <w:jc w:val="left"/>
              <w:rPr/>
            </w:pPr>
            <w:r>
              <w:rPr/>
              <w:t> </w:t>
            </w:r>
          </w:p>
        </w:tc>
      </w:tr>
      <w:tr>
        <w:trPr/>
        <w:tc>
          <w:tcPr>
            <w:tcW w:w="6856" w:type="dxa"/>
            <w:tcBorders/>
            <w:shd w:fill="auto" w:val="clear"/>
            <w:vAlign w:val="center"/>
          </w:tcPr>
          <w:p>
            <w:pPr>
              <w:pStyle w:val="TableContents"/>
              <w:spacing w:before="0" w:after="0"/>
              <w:ind w:left="560" w:right="0" w:hanging="0"/>
              <w:jc w:val="left"/>
              <w:rPr>
                <w:rFonts w:ascii="Times New Roman" w:hAnsi="Times New Roman"/>
                <w:sz w:val="20"/>
              </w:rPr>
            </w:pPr>
            <w:r>
              <w:rPr>
                <w:rFonts w:ascii="Arial;sans-serif" w:hAnsi="Arial;sans-serif"/>
                <w:b w:val="false"/>
                <w:sz w:val="20"/>
              </w:rPr>
              <w:t>Common stock, $0.01</w:t>
            </w:r>
            <w:r>
              <w:rPr>
                <w:rFonts w:ascii="Times New Roman" w:hAnsi="Times New Roman"/>
                <w:sz w:val="20"/>
              </w:rPr>
              <w:t> </w:t>
            </w:r>
            <w:r>
              <w:rPr>
                <w:rFonts w:ascii="Arial;sans-serif" w:hAnsi="Arial;sans-serif"/>
                <w:b w:val="false"/>
                <w:sz w:val="20"/>
              </w:rPr>
              <w:t>par value; 150,000,000</w:t>
            </w:r>
            <w:r>
              <w:rPr>
                <w:rFonts w:ascii="Times New Roman" w:hAnsi="Times New Roman"/>
                <w:sz w:val="20"/>
              </w:rPr>
              <w:t> </w:t>
            </w:r>
            <w:r>
              <w:rPr>
                <w:rFonts w:ascii="Arial;sans-serif" w:hAnsi="Arial;sans-serif"/>
                <w:b w:val="false"/>
                <w:sz w:val="20"/>
              </w:rPr>
              <w:t>shares authorized at March 31, 2023 and December 31, 2022; 29,042,418</w:t>
            </w:r>
            <w:r>
              <w:rPr>
                <w:rFonts w:ascii="Times New Roman" w:hAnsi="Times New Roman"/>
                <w:sz w:val="20"/>
              </w:rPr>
              <w:t> </w:t>
            </w:r>
            <w:r>
              <w:rPr>
                <w:rFonts w:ascii="Arial;sans-serif" w:hAnsi="Arial;sans-serif"/>
                <w:b w:val="false"/>
                <w:sz w:val="20"/>
              </w:rPr>
              <w:t>shares issued at March 31, 2023 and December 31, 2022; 28,919,810</w:t>
            </w:r>
            <w:r>
              <w:rPr>
                <w:rFonts w:ascii="Times New Roman" w:hAnsi="Times New Roman"/>
                <w:sz w:val="20"/>
              </w:rPr>
              <w:t> </w:t>
            </w:r>
            <w:r>
              <w:rPr>
                <w:rFonts w:ascii="Arial;sans-serif" w:hAnsi="Arial;sans-serif"/>
                <w:b w:val="false"/>
                <w:sz w:val="20"/>
              </w:rPr>
              <w:t>shares outstanding at March 31, 2023 and December 31, 2022.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290</w:t>
            </w:r>
          </w:p>
        </w:tc>
        <w:tc>
          <w:tcPr>
            <w:tcW w:w="1053" w:type="dxa"/>
            <w:tcBorders/>
            <w:shd w:fill="auto" w:val="clear"/>
            <w:vAlign w:val="center"/>
          </w:tcPr>
          <w:p>
            <w:pPr>
              <w:pStyle w:val="TableContents"/>
              <w:spacing w:before="0" w:after="0"/>
              <w:ind w:left="0" w:right="0" w:firstLine="560"/>
              <w:jc w:val="left"/>
              <w:rPr/>
            </w:pPr>
            <w:r>
              <w:rPr/>
              <w:t> </w:t>
            </w:r>
          </w:p>
        </w:tc>
      </w:tr>
      <w:tr>
        <w:trPr/>
        <w:tc>
          <w:tcPr>
            <w:tcW w:w="685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Treasury stock (at cost)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(448</w:t>
            </w:r>
          </w:p>
        </w:tc>
        <w:tc>
          <w:tcPr>
            <w:tcW w:w="1053" w:type="dxa"/>
            <w:tcBorders/>
            <w:shd w:fill="auto" w:val="cle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85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5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147,694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146,961</w:t>
            </w:r>
          </w:p>
        </w:tc>
        <w:tc>
          <w:tcPr>
            <w:tcW w:w="1053" w:type="dxa"/>
            <w:tcBorders/>
            <w:shd w:fill="auto" w:val="clear"/>
            <w:vAlign w:val="center"/>
          </w:tcPr>
          <w:p>
            <w:pPr>
              <w:pStyle w:val="TableContents"/>
              <w:spacing w:before="0" w:after="0"/>
              <w:ind w:left="0" w:right="0" w:firstLine="560"/>
              <w:jc w:val="left"/>
              <w:rPr/>
            </w:pPr>
            <w:r>
              <w:rPr/>
              <w:t> </w:t>
            </w:r>
          </w:p>
        </w:tc>
      </w:tr>
      <w:tr>
        <w:trPr/>
        <w:tc>
          <w:tcPr>
            <w:tcW w:w="6856"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(107,884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(99,089</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40"/>
              <w:jc w:val="left"/>
              <w:rPr>
                <w:rFonts w:ascii="Arial;sans-serif" w:hAnsi="Arial;sans-serif"/>
                <w:b w:val="false"/>
                <w:sz w:val="20"/>
              </w:rPr>
            </w:pPr>
            <w:r>
              <w:rPr>
                <w:rFonts w:ascii="Arial;sans-serif" w:hAnsi="Arial;sans-serif"/>
                <w:b w:val="false"/>
                <w:sz w:val="20"/>
              </w:rPr>
              <w:t>)</w:t>
            </w:r>
          </w:p>
        </w:tc>
      </w:tr>
      <w:tr>
        <w:trPr/>
        <w:tc>
          <w:tcPr>
            <w:tcW w:w="6856" w:type="dxa"/>
            <w:tcBorders/>
            <w:shd w:fill="auto" w:val="clear"/>
            <w:vAlign w:val="center"/>
          </w:tcPr>
          <w:p>
            <w:pPr>
              <w:pStyle w:val="TableContents"/>
              <w:spacing w:before="0" w:after="0"/>
              <w:ind w:left="840" w:right="0" w:hanging="0"/>
              <w:jc w:val="left"/>
              <w:rPr>
                <w:rFonts w:ascii="Arial;sans-serif" w:hAnsi="Arial;sans-serif"/>
                <w:b/>
                <w:sz w:val="20"/>
              </w:rPr>
            </w:pPr>
            <w:r>
              <w:rPr>
                <w:rFonts w:ascii="Arial;sans-serif" w:hAnsi="Arial;sans-serif"/>
                <w:b/>
                <w:sz w:val="20"/>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39,652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47,714</w:t>
            </w:r>
          </w:p>
        </w:tc>
        <w:tc>
          <w:tcPr>
            <w:tcW w:w="10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40"/>
              <w:jc w:val="left"/>
              <w:rPr/>
            </w:pPr>
            <w:r>
              <w:rPr/>
              <w:t> </w:t>
            </w:r>
          </w:p>
        </w:tc>
      </w:tr>
      <w:tr>
        <w:trPr/>
        <w:tc>
          <w:tcPr>
            <w:tcW w:w="6856" w:type="dxa"/>
            <w:tcBorders/>
            <w:shd w:fill="auto" w:val="clear"/>
            <w:vAlign w:val="center"/>
          </w:tcPr>
          <w:p>
            <w:pPr>
              <w:pStyle w:val="TableContents"/>
              <w:spacing w:before="0" w:after="0"/>
              <w:ind w:left="840" w:right="0" w:hanging="0"/>
              <w:jc w:val="left"/>
              <w:rPr>
                <w:rFonts w:ascii="Arial;sans-serif" w:hAnsi="Arial;sans-serif"/>
                <w:b/>
                <w:sz w:val="20"/>
              </w:rPr>
            </w:pPr>
            <w:r>
              <w:rPr>
                <w:rFonts w:ascii="Arial;sans-serif" w:hAnsi="Arial;sans-serif"/>
                <w:b/>
                <w:sz w:val="20"/>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67,238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77,691</w:t>
            </w:r>
          </w:p>
        </w:tc>
        <w:tc>
          <w:tcPr>
            <w:tcW w:w="10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Arial;sans-serif" w:hAnsi="Arial;sans-serif"/>
          <w:b w:val="false"/>
          <w:sz w:val="20"/>
        </w:rPr>
      </w:pPr>
      <w:r>
        <w:rPr>
          <w:rFonts w:ascii="Arial;sans-serif" w:hAnsi="Arial;sans-serif"/>
          <w:b w:val="false"/>
          <w:sz w:val="20"/>
        </w:rPr>
        <w:t>The accompanying notes are an integral part of these condensed consolidated financial statements.</w:t>
      </w:r>
    </w:p>
    <w:p>
      <w:pPr>
        <w:pStyle w:val="TextBody"/>
        <w:spacing w:before="240" w:after="0"/>
        <w:jc w:val="center"/>
        <w:rPr>
          <w:rFonts w:ascii="Arial;sans-serif" w:hAnsi="Arial;sans-serif"/>
          <w:b w:val="false"/>
          <w:sz w:val="20"/>
        </w:rPr>
      </w:pPr>
      <w:r>
        <w:rPr>
          <w:rFonts w:ascii="Arial;sans-serif" w:hAnsi="Arial;sans-serif"/>
          <w:b w:val="false"/>
          <w:sz w:val="20"/>
        </w:rPr>
        <w:t>1</w:t>
      </w:r>
    </w:p>
    <w:p>
      <w:pPr>
        <w:pStyle w:val="HorizontalLine"/>
        <w:rPr/>
      </w:pPr>
      <w:r>
        <w:rPr/>
      </w:r>
    </w:p>
    <w:p>
      <w:pPr>
        <w:pStyle w:val="TextBody"/>
        <w:spacing w:before="0" w:after="0"/>
        <w:jc w:val="center"/>
        <w:rPr>
          <w:rFonts w:ascii="Times New Roman" w:hAnsi="Times New Roman"/>
          <w:sz w:val="20"/>
        </w:rPr>
      </w:pPr>
      <w:r>
        <w:rPr>
          <w:rFonts w:ascii="Arial;sans-serif" w:hAnsi="Arial;sans-serif"/>
          <w:b/>
          <w:caps/>
          <w:sz w:val="20"/>
        </w:rPr>
        <w:t>Candel Therapeutics, Inc.</w:t>
      </w:r>
      <w:r>
        <w:rPr>
          <w:rFonts w:ascii="Times New Roman" w:hAnsi="Times New Roman"/>
          <w:caps/>
          <w:sz w:val="20"/>
        </w:rPr>
        <w:t xml:space="preserve"> </w:t>
      </w:r>
    </w:p>
    <w:p>
      <w:pPr>
        <w:pStyle w:val="TextBody"/>
        <w:spacing w:before="120" w:after="0"/>
        <w:jc w:val="center"/>
        <w:rPr>
          <w:rFonts w:ascii="Arial;sans-serif" w:hAnsi="Arial;sans-serif"/>
          <w:b/>
          <w:sz w:val="20"/>
        </w:rPr>
      </w:pPr>
      <w:bookmarkStart w:id="5" w:name="condensed_consolidated_statements_operat"/>
      <w:bookmarkEnd w:id="5"/>
      <w:r>
        <w:rPr>
          <w:rFonts w:ascii="Arial;sans-serif" w:hAnsi="Arial;sans-serif"/>
          <w:b/>
          <w:sz w:val="20"/>
        </w:rPr>
        <w:t>Condensed Consolidated Statements of Operations</w:t>
      </w:r>
    </w:p>
    <w:p>
      <w:pPr>
        <w:pStyle w:val="TextBody"/>
        <w:spacing w:before="0" w:after="0"/>
        <w:jc w:val="center"/>
        <w:rPr>
          <w:rFonts w:ascii="Times New Roman" w:hAnsi="Times New Roman"/>
          <w:sz w:val="20"/>
        </w:rPr>
      </w:pPr>
      <w:r>
        <w:rPr>
          <w:rFonts w:ascii="Arial;sans-serif" w:hAnsi="Arial;sans-serif"/>
          <w:b w:val="false"/>
          <w:sz w:val="20"/>
        </w:rPr>
        <w:t>(In thousands, except share and per share amounts)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20"/>
        </w:rPr>
        <w:t>(Unaudited)</w:t>
      </w:r>
      <w:r>
        <w:rPr>
          <w:rFonts w:ascii="Times New Roman" w:hAnsi="Times New Roman"/>
          <w:sz w:val="20"/>
        </w:rPr>
        <w:t xml:space="preserve"> </w:t>
      </w:r>
    </w:p>
    <w:p>
      <w:pPr>
        <w:pStyle w:val="TextBody"/>
        <w:spacing w:before="0" w:after="0"/>
        <w:jc w:val="left"/>
        <w:rPr/>
      </w:pPr>
      <w:r>
        <w:rPr/>
        <w:t> </w:t>
      </w:r>
    </w:p>
    <w:tbl>
      <w:tblPr>
        <w:tblW w:w="9684" w:type="dxa"/>
        <w:jc w:val="left"/>
        <w:tblInd w:w="0" w:type="dxa"/>
        <w:tblCellMar>
          <w:top w:w="28" w:type="dxa"/>
          <w:left w:w="28" w:type="dxa"/>
          <w:bottom w:w="28" w:type="dxa"/>
          <w:right w:w="28" w:type="dxa"/>
        </w:tblCellMar>
      </w:tblPr>
      <w:tblGrid>
        <w:gridCol w:w="5701"/>
        <w:gridCol w:w="146"/>
        <w:gridCol w:w="211"/>
        <w:gridCol w:w="1036"/>
        <w:gridCol w:w="166"/>
        <w:gridCol w:w="146"/>
        <w:gridCol w:w="211"/>
        <w:gridCol w:w="1036"/>
        <w:gridCol w:w="1031"/>
      </w:tblGrid>
      <w:tr>
        <w:trPr/>
        <w:tc>
          <w:tcPr>
            <w:tcW w:w="5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r>
      <w:tr>
        <w:trPr/>
        <w:tc>
          <w:tcPr>
            <w:tcW w:w="57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THREE MONTHS ENDED</w:t>
              <w:br/>
              <w:t>MARCH 31,</w:t>
            </w:r>
          </w:p>
        </w:tc>
        <w:tc>
          <w:tcPr>
            <w:tcW w:w="1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8"/>
              </w:rPr>
            </w:pPr>
            <w:r>
              <w:rPr>
                <w:rFonts w:ascii="Arial;sans-serif" w:hAnsi="Arial;sans-serif"/>
                <w:b/>
                <w:sz w:val="18"/>
              </w:rPr>
              <w:t>2022</w:t>
            </w:r>
          </w:p>
        </w:tc>
        <w:tc>
          <w:tcPr>
            <w:tcW w:w="1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0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Research and development service revenue, related party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31</w:t>
            </w:r>
          </w:p>
        </w:tc>
        <w:tc>
          <w:tcPr>
            <w:tcW w:w="1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0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031" w:type="dxa"/>
            <w:tcBorders/>
            <w:shd w:fill="auto" w:val="clear"/>
            <w:vAlign w:val="center"/>
          </w:tcPr>
          <w:p>
            <w:pPr>
              <w:pStyle w:val="TableContents"/>
              <w:spacing w:before="0" w:after="0"/>
              <w:ind w:left="0" w:right="0" w:firstLine="280"/>
              <w:jc w:val="right"/>
              <w:rPr/>
            </w:pPr>
            <w:r>
              <w:rPr/>
              <w:t> </w:t>
            </w:r>
          </w:p>
        </w:tc>
      </w:tr>
      <w:tr>
        <w:trPr/>
        <w:tc>
          <w:tcPr>
            <w:tcW w:w="5701" w:type="dxa"/>
            <w:tcBorders/>
            <w:shd w:fill="auto" w:val="clear"/>
            <w:vAlign w:val="center"/>
          </w:tcPr>
          <w:p>
            <w:pPr>
              <w:pStyle w:val="TableContents"/>
              <w:spacing w:before="0" w:after="0"/>
              <w:ind w:left="280" w:right="0" w:hanging="0"/>
              <w:jc w:val="left"/>
              <w:rPr>
                <w:rFonts w:ascii="Arial;sans-serif" w:hAnsi="Arial;sans-serif"/>
                <w:b w:val="false"/>
                <w:sz w:val="18"/>
              </w:rPr>
            </w:pPr>
            <w:r>
              <w:rPr>
                <w:rFonts w:ascii="Arial;sans-serif" w:hAnsi="Arial;sans-serif"/>
                <w:b w:val="false"/>
                <w:sz w:val="18"/>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5,417</w:t>
            </w:r>
          </w:p>
        </w:tc>
        <w:tc>
          <w:tcPr>
            <w:tcW w:w="1031" w:type="dxa"/>
            <w:tcBorders/>
            <w:shd w:fill="auto" w:val="clear"/>
            <w:vAlign w:val="center"/>
          </w:tcPr>
          <w:p>
            <w:pPr>
              <w:pStyle w:val="TableContents"/>
              <w:spacing w:before="0" w:after="0"/>
              <w:ind w:left="0" w:right="0" w:firstLine="280"/>
              <w:jc w:val="left"/>
              <w:rPr/>
            </w:pPr>
            <w:r>
              <w:rPr/>
              <w:t> </w:t>
            </w:r>
          </w:p>
        </w:tc>
      </w:tr>
      <w:tr>
        <w:trPr/>
        <w:tc>
          <w:tcPr>
            <w:tcW w:w="5701" w:type="dxa"/>
            <w:tcBorders/>
            <w:shd w:fill="auto" w:val="clear"/>
            <w:vAlign w:val="center"/>
          </w:tcPr>
          <w:p>
            <w:pPr>
              <w:pStyle w:val="TableContents"/>
              <w:spacing w:before="0" w:after="0"/>
              <w:ind w:left="280" w:right="0" w:hanging="0"/>
              <w:jc w:val="left"/>
              <w:rPr>
                <w:rFonts w:ascii="Arial;sans-serif" w:hAnsi="Arial;sans-serif"/>
                <w:b w:val="false"/>
                <w:sz w:val="18"/>
              </w:rPr>
            </w:pPr>
            <w:r>
              <w:rPr>
                <w:rFonts w:ascii="Arial;sans-serif" w:hAnsi="Arial;sans-serif"/>
                <w:b w:val="false"/>
                <w:sz w:val="18"/>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4,164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3,600</w:t>
            </w:r>
          </w:p>
        </w:tc>
        <w:tc>
          <w:tcPr>
            <w:tcW w:w="1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40"/>
              <w:jc w:val="left"/>
              <w:rPr/>
            </w:pPr>
            <w:r>
              <w:rPr/>
              <w:t> </w:t>
            </w:r>
          </w:p>
        </w:tc>
      </w:tr>
      <w:tr>
        <w:trPr/>
        <w:tc>
          <w:tcPr>
            <w:tcW w:w="5701" w:type="dxa"/>
            <w:tcBorders/>
            <w:shd w:fill="auto" w:val="clear"/>
            <w:vAlign w:val="center"/>
          </w:tcPr>
          <w:p>
            <w:pPr>
              <w:pStyle w:val="TableContents"/>
              <w:spacing w:before="0" w:after="0"/>
              <w:ind w:left="840" w:right="0" w:hanging="0"/>
              <w:jc w:val="left"/>
              <w:rPr>
                <w:rFonts w:ascii="Arial;sans-serif" w:hAnsi="Arial;sans-serif"/>
                <w:b/>
                <w:sz w:val="18"/>
              </w:rPr>
            </w:pPr>
            <w:r>
              <w:rPr>
                <w:rFonts w:ascii="Arial;sans-serif" w:hAnsi="Arial;sans-serif"/>
                <w:b/>
                <w:sz w:val="18"/>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9,633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9,017</w:t>
            </w:r>
          </w:p>
        </w:tc>
        <w:tc>
          <w:tcPr>
            <w:tcW w:w="1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40"/>
              <w:jc w:val="left"/>
              <w:rPr/>
            </w:pPr>
            <w:r>
              <w:rPr/>
              <w:t> </w:t>
            </w:r>
          </w:p>
        </w:tc>
      </w:tr>
      <w:tr>
        <w:trPr/>
        <w:tc>
          <w:tcPr>
            <w:tcW w:w="5701" w:type="dxa"/>
            <w:tcBorders/>
            <w:shd w:fill="auto" w:val="clear"/>
            <w:vAlign w:val="center"/>
          </w:tcPr>
          <w:p>
            <w:pPr>
              <w:pStyle w:val="TableContents"/>
              <w:spacing w:before="0" w:after="0"/>
              <w:ind w:left="840" w:right="0" w:hanging="0"/>
              <w:jc w:val="left"/>
              <w:rPr>
                <w:rFonts w:ascii="Arial;sans-serif" w:hAnsi="Arial;sans-serif"/>
                <w:b/>
                <w:sz w:val="18"/>
              </w:rPr>
            </w:pPr>
            <w:r>
              <w:rPr>
                <w:rFonts w:ascii="Arial;sans-serif" w:hAnsi="Arial;sans-serif"/>
                <w:b/>
                <w:sz w:val="18"/>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(9,633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(8,986</w:t>
            </w:r>
          </w:p>
        </w:tc>
        <w:tc>
          <w:tcPr>
            <w:tcW w:w="1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70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031" w:type="dxa"/>
            <w:tcBorders/>
            <w:shd w:fill="auto" w:val="clear"/>
            <w:vAlign w:val="center"/>
          </w:tcPr>
          <w:p>
            <w:pPr>
              <w:pStyle w:val="TableContents"/>
              <w:spacing w:before="0" w:after="0"/>
              <w:ind w:left="0" w:right="0" w:firstLine="280"/>
              <w:jc w:val="right"/>
              <w:rPr/>
            </w:pPr>
            <w:r>
              <w:rPr/>
              <w:t> </w:t>
            </w:r>
          </w:p>
        </w:tc>
      </w:tr>
      <w:tr>
        <w:trPr/>
        <w:tc>
          <w:tcPr>
            <w:tcW w:w="5701" w:type="dxa"/>
            <w:tcBorders/>
            <w:shd w:fill="auto" w:val="clear"/>
            <w:vAlign w:val="center"/>
          </w:tcPr>
          <w:p>
            <w:pPr>
              <w:pStyle w:val="TableContents"/>
              <w:spacing w:before="0" w:after="0"/>
              <w:ind w:left="280" w:right="0" w:hanging="0"/>
              <w:jc w:val="left"/>
              <w:rPr>
                <w:rFonts w:ascii="Arial;sans-serif" w:hAnsi="Arial;sans-serif"/>
                <w:b w:val="false"/>
                <w:sz w:val="18"/>
              </w:rPr>
            </w:pPr>
            <w:r>
              <w:rPr>
                <w:rFonts w:ascii="Arial;sans-serif" w:hAnsi="Arial;sans-serif"/>
                <w:b w:val="false"/>
                <w:sz w:val="18"/>
              </w:rPr>
              <w:t>Grant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031" w:type="dxa"/>
            <w:tcBorders/>
            <w:shd w:fill="auto" w:val="clear"/>
            <w:vAlign w:val="center"/>
          </w:tcPr>
          <w:p>
            <w:pPr>
              <w:pStyle w:val="TableContents"/>
              <w:spacing w:before="0" w:after="0"/>
              <w:ind w:left="0" w:right="0" w:firstLine="280"/>
              <w:jc w:val="left"/>
              <w:rPr/>
            </w:pPr>
            <w:r>
              <w:rPr/>
              <w:t> </w:t>
            </w:r>
          </w:p>
        </w:tc>
      </w:tr>
      <w:tr>
        <w:trPr/>
        <w:tc>
          <w:tcPr>
            <w:tcW w:w="5701" w:type="dxa"/>
            <w:tcBorders/>
            <w:shd w:fill="auto" w:val="clear"/>
            <w:vAlign w:val="center"/>
          </w:tcPr>
          <w:p>
            <w:pPr>
              <w:pStyle w:val="TableContents"/>
              <w:spacing w:before="0" w:after="0"/>
              <w:ind w:left="280" w:right="0" w:hanging="0"/>
              <w:jc w:val="left"/>
              <w:rPr>
                <w:rFonts w:ascii="Arial;sans-serif" w:hAnsi="Arial;sans-serif"/>
                <w:b w:val="false"/>
                <w:sz w:val="18"/>
              </w:rPr>
            </w:pPr>
            <w:r>
              <w:rPr>
                <w:rFonts w:ascii="Arial;sans-serif" w:hAnsi="Arial;sans-serif"/>
                <w:b w:val="false"/>
                <w:sz w:val="18"/>
              </w:rPr>
              <w:t>Interest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(175</w:t>
            </w:r>
          </w:p>
        </w:tc>
        <w:tc>
          <w:tcPr>
            <w:tcW w:w="1031" w:type="dxa"/>
            <w:tcBorders/>
            <w:shd w:fill="auto" w:val="clear"/>
            <w:vAlign w:val="center"/>
          </w:tcPr>
          <w:p>
            <w:pPr>
              <w:pStyle w:val="TableContents"/>
              <w:spacing w:before="0" w:after="0"/>
              <w:ind w:left="0" w:right="0" w:firstLine="280"/>
              <w:jc w:val="left"/>
              <w:rPr>
                <w:rFonts w:ascii="Arial;sans-serif" w:hAnsi="Arial;sans-serif"/>
                <w:b w:val="false"/>
                <w:sz w:val="18"/>
              </w:rPr>
            </w:pPr>
            <w:r>
              <w:rPr>
                <w:rFonts w:ascii="Arial;sans-serif" w:hAnsi="Arial;sans-serif"/>
                <w:b w:val="false"/>
                <w:sz w:val="18"/>
              </w:rPr>
              <w:t>)</w:t>
            </w:r>
          </w:p>
        </w:tc>
      </w:tr>
      <w:tr>
        <w:trPr/>
        <w:tc>
          <w:tcPr>
            <w:tcW w:w="5701" w:type="dxa"/>
            <w:tcBorders/>
            <w:shd w:fill="auto" w:val="clear"/>
            <w:vAlign w:val="center"/>
          </w:tcPr>
          <w:p>
            <w:pPr>
              <w:pStyle w:val="TableContents"/>
              <w:spacing w:before="0" w:after="0"/>
              <w:ind w:left="280" w:right="0" w:hanging="0"/>
              <w:jc w:val="left"/>
              <w:rPr>
                <w:rFonts w:ascii="Arial;sans-serif" w:hAnsi="Arial;sans-serif"/>
                <w:b w:val="false"/>
                <w:sz w:val="18"/>
              </w:rPr>
            </w:pPr>
            <w:r>
              <w:rPr>
                <w:rFonts w:ascii="Arial;sans-serif" w:hAnsi="Arial;sans-serif"/>
                <w:b w:val="false"/>
                <w:sz w:val="18"/>
              </w:rPr>
              <w:t>Change in fair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724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8,287</w:t>
            </w:r>
          </w:p>
        </w:tc>
        <w:tc>
          <w:tcPr>
            <w:tcW w:w="1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40"/>
              <w:jc w:val="left"/>
              <w:rPr/>
            </w:pPr>
            <w:r>
              <w:rPr/>
              <w:t> </w:t>
            </w:r>
          </w:p>
        </w:tc>
      </w:tr>
      <w:tr>
        <w:trPr/>
        <w:tc>
          <w:tcPr>
            <w:tcW w:w="5701" w:type="dxa"/>
            <w:tcBorders/>
            <w:shd w:fill="auto" w:val="clear"/>
            <w:vAlign w:val="center"/>
          </w:tcPr>
          <w:p>
            <w:pPr>
              <w:pStyle w:val="TableContents"/>
              <w:spacing w:before="0" w:after="0"/>
              <w:ind w:left="840" w:right="0" w:hanging="0"/>
              <w:jc w:val="left"/>
              <w:rPr>
                <w:rFonts w:ascii="Arial;sans-serif" w:hAnsi="Arial;sans-serif"/>
                <w:b/>
                <w:sz w:val="18"/>
              </w:rPr>
            </w:pPr>
            <w:r>
              <w:rPr>
                <w:rFonts w:ascii="Arial;sans-serif" w:hAnsi="Arial;sans-serif"/>
                <w:b/>
                <w:sz w:val="18"/>
              </w:rPr>
              <w:t>Total 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8,112</w:t>
            </w:r>
          </w:p>
        </w:tc>
        <w:tc>
          <w:tcPr>
            <w:tcW w:w="1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70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(874</w:t>
            </w:r>
          </w:p>
        </w:tc>
        <w:tc>
          <w:tcPr>
            <w:tcW w:w="10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70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Net loss per share,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(0.03</w:t>
            </w:r>
          </w:p>
        </w:tc>
        <w:tc>
          <w:tcPr>
            <w:tcW w:w="10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8"/>
              </w:rPr>
            </w:pPr>
            <w:r>
              <w:rPr>
                <w:rFonts w:ascii="Arial;sans-serif" w:hAnsi="Arial;sans-serif"/>
                <w:b w:val="false"/>
                <w:sz w:val="18"/>
              </w:rPr>
              <w:t>)</w:t>
            </w:r>
          </w:p>
        </w:tc>
      </w:tr>
      <w:tr>
        <w:trPr/>
        <w:tc>
          <w:tcPr>
            <w:tcW w:w="5701" w:type="dxa"/>
            <w:tcBorders/>
            <w:shd w:fill="auto" w:val="clear"/>
            <w:vAlign w:val="center"/>
          </w:tcPr>
          <w:p>
            <w:pPr>
              <w:pStyle w:val="TableContents"/>
              <w:spacing w:before="0" w:after="0"/>
              <w:ind w:left="0" w:right="0" w:hanging="0"/>
              <w:jc w:val="left"/>
              <w:rPr>
                <w:rFonts w:ascii="Arial;sans-serif" w:hAnsi="Arial;sans-serif"/>
                <w:b/>
                <w:sz w:val="18"/>
              </w:rPr>
            </w:pPr>
            <w:r>
              <w:rPr>
                <w:rFonts w:ascii="Arial;sans-serif" w:hAnsi="Arial;sans-serif"/>
                <w:b/>
                <w:sz w:val="18"/>
              </w:rPr>
              <w:t>Weighted-average common shares outstanding,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28,919,810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8"/>
              </w:rPr>
            </w:pPr>
            <w:r>
              <w:rPr>
                <w:rFonts w:ascii="Arial;sans-serif" w:hAnsi="Arial;sans-serif"/>
                <w:b w:val="false"/>
                <w:sz w:val="18"/>
              </w:rPr>
              <w:t>28,690,511</w:t>
            </w:r>
          </w:p>
        </w:tc>
        <w:tc>
          <w:tcPr>
            <w:tcW w:w="10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40" w:after="0"/>
        <w:jc w:val="center"/>
        <w:rPr>
          <w:rFonts w:ascii="Times New Roman" w:hAnsi="Times New Roman"/>
          <w:sz w:val="20"/>
        </w:rPr>
      </w:pPr>
      <w:r>
        <w:rPr>
          <w:rFonts w:ascii="Arial;sans-serif" w:hAnsi="Arial;sans-serif"/>
          <w:b w:val="false"/>
          <w:sz w:val="20"/>
        </w:rPr>
        <w:t>The accompanying notes are an integral part of these condensed consolidated financial statements.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2</w:t>
      </w:r>
    </w:p>
    <w:p>
      <w:pPr>
        <w:pStyle w:val="HorizontalLine"/>
        <w:rPr/>
      </w:pPr>
      <w:r>
        <w:rPr/>
      </w:r>
    </w:p>
    <w:p>
      <w:pPr>
        <w:pStyle w:val="TextBody"/>
        <w:spacing w:before="0" w:after="0"/>
        <w:jc w:val="center"/>
        <w:rPr>
          <w:rFonts w:ascii="Times New Roman" w:hAnsi="Times New Roman"/>
          <w:sz w:val="20"/>
        </w:rPr>
      </w:pPr>
      <w:r>
        <w:rPr>
          <w:rFonts w:ascii="Arial;sans-serif" w:hAnsi="Arial;sans-serif"/>
          <w:b/>
          <w:caps/>
          <w:sz w:val="20"/>
        </w:rPr>
        <w:t>Candel ThErapeutics, Inc.</w:t>
      </w:r>
      <w:r>
        <w:rPr>
          <w:rFonts w:ascii="Times New Roman" w:hAnsi="Times New Roman"/>
          <w:caps/>
          <w:sz w:val="20"/>
        </w:rPr>
        <w:t xml:space="preserve"> </w:t>
      </w:r>
    </w:p>
    <w:p>
      <w:pPr>
        <w:pStyle w:val="TextBody"/>
        <w:spacing w:before="120" w:after="0"/>
        <w:jc w:val="center"/>
        <w:rPr>
          <w:rFonts w:ascii="Times New Roman" w:hAnsi="Times New Roman"/>
          <w:sz w:val="20"/>
        </w:rPr>
      </w:pPr>
      <w:bookmarkStart w:id="6" w:name="condensed_consolidated_statements_conver"/>
      <w:bookmarkEnd w:id="6"/>
      <w:r>
        <w:rPr>
          <w:rFonts w:ascii="Arial;sans-serif" w:hAnsi="Arial;sans-serif"/>
          <w:b/>
          <w:sz w:val="20"/>
        </w:rPr>
        <w:t>Condensed Consolidated Statements of</w:t>
      </w:r>
      <w:r>
        <w:rPr>
          <w:rFonts w:ascii="Times New Roman" w:hAnsi="Times New Roman"/>
          <w:sz w:val="20"/>
        </w:rPr>
        <w:t xml:space="preserve"> </w:t>
      </w:r>
      <w:r>
        <w:rPr>
          <w:rFonts w:ascii="Arial;sans-serif" w:hAnsi="Arial;sans-serif"/>
          <w:b/>
          <w:sz w:val="20"/>
        </w:rPr>
        <w:t>Stockholders’ Equity</w:t>
      </w:r>
    </w:p>
    <w:p>
      <w:pPr>
        <w:pStyle w:val="TextBody"/>
        <w:spacing w:before="0" w:after="0"/>
        <w:jc w:val="center"/>
        <w:rPr>
          <w:rFonts w:ascii="Times New Roman" w:hAnsi="Times New Roman"/>
          <w:sz w:val="20"/>
        </w:rPr>
      </w:pPr>
      <w:r>
        <w:rPr>
          <w:rFonts w:ascii="Arial;sans-serif" w:hAnsi="Arial;sans-serif"/>
          <w:b w:val="false"/>
          <w:sz w:val="20"/>
        </w:rPr>
        <w:t>(In thousands, except share and per share amounts)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20"/>
        </w:rPr>
        <w:t>(Unaudited)</w:t>
      </w:r>
      <w:r>
        <w:rPr>
          <w:rFonts w:ascii="Times New Roman" w:hAnsi="Times New Roman"/>
          <w:sz w:val="20"/>
        </w:rPr>
        <w:t xml:space="preserve"> </w:t>
      </w:r>
    </w:p>
    <w:p>
      <w:pPr>
        <w:pStyle w:val="TextBody"/>
        <w:spacing w:before="0" w:after="0"/>
        <w:jc w:val="left"/>
        <w:rPr/>
      </w:pPr>
      <w:r>
        <w:rPr/>
        <w:t> </w:t>
      </w:r>
    </w:p>
    <w:tbl>
      <w:tblPr>
        <w:tblW w:w="9615" w:type="dxa"/>
        <w:jc w:val="left"/>
        <w:tblInd w:w="0" w:type="dxa"/>
        <w:tblCellMar>
          <w:top w:w="28" w:type="dxa"/>
          <w:left w:w="28" w:type="dxa"/>
          <w:bottom w:w="28" w:type="dxa"/>
          <w:right w:w="28" w:type="dxa"/>
        </w:tblCellMar>
      </w:tblPr>
      <w:tblGrid>
        <w:gridCol w:w="1951"/>
        <w:gridCol w:w="146"/>
        <w:gridCol w:w="146"/>
        <w:gridCol w:w="796"/>
        <w:gridCol w:w="146"/>
        <w:gridCol w:w="146"/>
        <w:gridCol w:w="190"/>
        <w:gridCol w:w="366"/>
        <w:gridCol w:w="146"/>
        <w:gridCol w:w="146"/>
        <w:gridCol w:w="146"/>
        <w:gridCol w:w="646"/>
        <w:gridCol w:w="151"/>
        <w:gridCol w:w="146"/>
        <w:gridCol w:w="181"/>
        <w:gridCol w:w="376"/>
        <w:gridCol w:w="151"/>
        <w:gridCol w:w="146"/>
        <w:gridCol w:w="181"/>
        <w:gridCol w:w="601"/>
        <w:gridCol w:w="151"/>
        <w:gridCol w:w="146"/>
        <w:gridCol w:w="200"/>
        <w:gridCol w:w="716"/>
        <w:gridCol w:w="151"/>
        <w:gridCol w:w="146"/>
        <w:gridCol w:w="256"/>
        <w:gridCol w:w="749"/>
        <w:gridCol w:w="196"/>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9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TREASURY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ADDITIONAL</w:t>
              <w:br/>
              <w:t>PAID-IN</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6" w:type="dxa"/>
            <w:gridSpan w:val="2"/>
            <w:tcBorders/>
            <w:shd w:fill="auto" w:val="cle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shd w:fill="auto" w:val="cle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STOCKHOLDERS’</w:t>
            </w:r>
          </w:p>
        </w:tc>
        <w:tc>
          <w:tcPr>
            <w:tcW w:w="196" w:type="dxa"/>
            <w:tcBorders/>
            <w:shd w:fill="auto" w:val="cle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CAPITAL</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EQUITY</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sz w:val="13"/>
              </w:rPr>
            </w:pPr>
            <w:r>
              <w:rPr>
                <w:rFonts w:ascii="Arial;sans-serif" w:hAnsi="Arial;sans-serif"/>
                <w:b/>
                <w:sz w:val="13"/>
              </w:rPr>
              <w:t>Balance,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29,042,418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366"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290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(122,608</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376"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(448</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146,961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716"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(99,089</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749"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47,714</w:t>
            </w:r>
          </w:p>
        </w:tc>
        <w:tc>
          <w:tcPr>
            <w:tcW w:w="196"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798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749"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798</w:t>
            </w:r>
          </w:p>
        </w:tc>
        <w:tc>
          <w:tcPr>
            <w:tcW w:w="196"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Change in fair value of</w:t>
              <w:br/>
              <w:t>   NC Ohio Trust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(65</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shd w:fill="auto" w:val="clear"/>
            <w:vAlign w:val="center"/>
          </w:tcPr>
          <w:p>
            <w:pPr>
              <w:pStyle w:val="TableContents"/>
              <w:spacing w:before="0" w:after="0"/>
              <w:ind w:left="0" w:right="0" w:hanging="0"/>
              <w:jc w:val="left"/>
              <w:rPr/>
            </w:pPr>
            <w:r>
              <w:rPr/>
              <w:t> </w:t>
            </w:r>
          </w:p>
        </w:tc>
        <w:tc>
          <w:tcPr>
            <w:tcW w:w="200" w:type="dxa"/>
            <w:tcBorders/>
            <w:shd w:fill="auto" w:val="clear"/>
            <w:vAlign w:val="center"/>
          </w:tcPr>
          <w:p>
            <w:pPr>
              <w:pStyle w:val="TableContents"/>
              <w:spacing w:before="0" w:after="0"/>
              <w:ind w:left="0" w:right="0" w:hanging="0"/>
              <w:jc w:val="left"/>
              <w:rPr/>
            </w:pPr>
            <w:r>
              <w:rPr/>
              <w:t> </w:t>
            </w:r>
          </w:p>
        </w:tc>
        <w:tc>
          <w:tcPr>
            <w:tcW w:w="71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749"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(65</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(8,795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(8,795</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sz w:val="13"/>
              </w:rPr>
            </w:pPr>
            <w:r>
              <w:rPr>
                <w:rFonts w:ascii="Arial;sans-serif" w:hAnsi="Arial;sans-serif"/>
                <w:b/>
                <w:sz w:val="13"/>
              </w:rPr>
              <w:t>Balance,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29,042,418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3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290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(122,608</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(448</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147,694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7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(107,884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7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39,652</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tbl>
      <w:tblPr>
        <w:tblW w:w="9368" w:type="dxa"/>
        <w:jc w:val="left"/>
        <w:tblInd w:w="0" w:type="dxa"/>
        <w:tblCellMar>
          <w:top w:w="28" w:type="dxa"/>
          <w:left w:w="28" w:type="dxa"/>
          <w:bottom w:w="28" w:type="dxa"/>
          <w:right w:w="28" w:type="dxa"/>
        </w:tblCellMar>
      </w:tblPr>
      <w:tblGrid>
        <w:gridCol w:w="1951"/>
        <w:gridCol w:w="146"/>
        <w:gridCol w:w="146"/>
        <w:gridCol w:w="796"/>
        <w:gridCol w:w="146"/>
        <w:gridCol w:w="146"/>
        <w:gridCol w:w="190"/>
        <w:gridCol w:w="366"/>
        <w:gridCol w:w="146"/>
        <w:gridCol w:w="146"/>
        <w:gridCol w:w="164"/>
        <w:gridCol w:w="392"/>
        <w:gridCol w:w="146"/>
        <w:gridCol w:w="146"/>
        <w:gridCol w:w="190"/>
        <w:gridCol w:w="366"/>
        <w:gridCol w:w="146"/>
        <w:gridCol w:w="146"/>
        <w:gridCol w:w="181"/>
        <w:gridCol w:w="601"/>
        <w:gridCol w:w="151"/>
        <w:gridCol w:w="146"/>
        <w:gridCol w:w="220"/>
        <w:gridCol w:w="696"/>
        <w:gridCol w:w="151"/>
        <w:gridCol w:w="146"/>
        <w:gridCol w:w="256"/>
        <w:gridCol w:w="749"/>
        <w:gridCol w:w="196"/>
      </w:tblGrid>
      <w:tr>
        <w:trPr/>
        <w:tc>
          <w:tcPr>
            <w:tcW w:w="19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90"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0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TREASURY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ADDITIONAL</w:t>
              <w:br/>
              <w:t>PAID-IN</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6" w:type="dxa"/>
            <w:gridSpan w:val="2"/>
            <w:tcBorders/>
            <w:shd w:fill="auto" w:val="cle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shd w:fill="auto" w:val="cle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STOCKHOLDERS’</w:t>
            </w:r>
          </w:p>
        </w:tc>
        <w:tc>
          <w:tcPr>
            <w:tcW w:w="196" w:type="dxa"/>
            <w:tcBorders/>
            <w:shd w:fill="auto" w:val="cle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CAPITAL</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1"/>
              </w:rPr>
            </w:pPr>
            <w:r>
              <w:rPr>
                <w:rFonts w:ascii="Arial;sans-serif" w:hAnsi="Arial;sans-serif"/>
                <w:b/>
                <w:sz w:val="11"/>
              </w:rPr>
              <w:t>EQUITY</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sz w:val="13"/>
              </w:rPr>
            </w:pPr>
            <w:r>
              <w:rPr>
                <w:rFonts w:ascii="Arial;sans-serif" w:hAnsi="Arial;sans-serif"/>
                <w:b/>
                <w:sz w:val="13"/>
              </w:rPr>
              <w:t>Balance,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28,689,842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366"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286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3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144,146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696"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(80,295</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749"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64,137</w:t>
            </w:r>
          </w:p>
        </w:tc>
        <w:tc>
          <w:tcPr>
            <w:tcW w:w="196"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Options 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3,309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749"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6</w:t>
            </w:r>
          </w:p>
        </w:tc>
        <w:tc>
          <w:tcPr>
            <w:tcW w:w="196"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828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749"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828</w:t>
            </w:r>
          </w:p>
        </w:tc>
        <w:tc>
          <w:tcPr>
            <w:tcW w:w="196" w:type="dxa"/>
            <w:tcBorders/>
            <w:shd w:fill="auto" w:val="clear"/>
            <w:vAlign w:val="center"/>
          </w:tcPr>
          <w:p>
            <w:pPr>
              <w:pStyle w:val="TableContents"/>
              <w:spacing w:before="0" w:after="0"/>
              <w:ind w:left="0" w:right="0" w:hanging="0"/>
              <w:jc w:val="left"/>
              <w:rPr/>
            </w:pPr>
            <w:r>
              <w:rPr/>
              <w:t> </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Change in fair value of</w:t>
              <w:br/>
              <w:t>   NC Ohio Trust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3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3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(335</w:t>
            </w:r>
          </w:p>
        </w:tc>
        <w:tc>
          <w:tcPr>
            <w:tcW w:w="1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shd w:fill="auto" w:val="clear"/>
            <w:vAlign w:val="center"/>
          </w:tcPr>
          <w:p>
            <w:pPr>
              <w:pStyle w:val="TableContents"/>
              <w:spacing w:before="0" w:after="0"/>
              <w:ind w:left="0" w:right="0" w:hanging="0"/>
              <w:jc w:val="left"/>
              <w:rPr/>
            </w:pPr>
            <w:r>
              <w:rPr/>
              <w:t> </w:t>
            </w:r>
          </w:p>
        </w:tc>
        <w:tc>
          <w:tcPr>
            <w:tcW w:w="220"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c>
          <w:tcPr>
            <w:tcW w:w="749" w:type="dxa"/>
            <w:tcBorders/>
            <w:shd w:fill="auto" w:val="cle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(335</w:t>
            </w:r>
          </w:p>
        </w:tc>
        <w:tc>
          <w:tcPr>
            <w:tcW w:w="196"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(874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(874</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r>
      <w:tr>
        <w:trPr/>
        <w:tc>
          <w:tcPr>
            <w:tcW w:w="1951" w:type="dxa"/>
            <w:tcBorders/>
            <w:shd w:fill="auto" w:val="clear"/>
            <w:vAlign w:val="center"/>
          </w:tcPr>
          <w:p>
            <w:pPr>
              <w:pStyle w:val="TableContents"/>
              <w:spacing w:before="0" w:after="0"/>
              <w:ind w:left="0" w:right="0" w:hanging="0"/>
              <w:jc w:val="left"/>
              <w:rPr>
                <w:rFonts w:ascii="Arial;sans-serif" w:hAnsi="Arial;sans-serif"/>
                <w:b/>
                <w:sz w:val="13"/>
              </w:rPr>
            </w:pPr>
            <w:r>
              <w:rPr>
                <w:rFonts w:ascii="Arial;sans-serif" w:hAnsi="Arial;sans-serif"/>
                <w:b/>
                <w:sz w:val="13"/>
              </w:rPr>
              <w:t>Balance,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28,693,151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3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287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3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144,644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6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(81,169</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3"/>
              </w:rPr>
            </w:pPr>
            <w:r>
              <w:rPr>
                <w:rFonts w:ascii="Arial;sans-serif" w:hAnsi="Arial;sans-serif"/>
                <w:b w:val="false"/>
                <w:sz w:val="13"/>
              </w:rPr>
              <w:t>$</w:t>
            </w:r>
          </w:p>
        </w:tc>
        <w:tc>
          <w:tcPr>
            <w:tcW w:w="7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3"/>
              </w:rPr>
            </w:pPr>
            <w:r>
              <w:rPr>
                <w:rFonts w:ascii="Arial;sans-serif" w:hAnsi="Arial;sans-serif"/>
                <w:b w:val="false"/>
                <w:sz w:val="13"/>
              </w:rPr>
              <w:t>63,762</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Arial;sans-serif" w:hAnsi="Arial;sans-serif"/>
          <w:b w:val="false"/>
          <w:sz w:val="20"/>
        </w:rPr>
      </w:pPr>
      <w:r>
        <w:rPr>
          <w:rFonts w:ascii="Arial;sans-serif" w:hAnsi="Arial;sans-serif"/>
          <w:b w:val="false"/>
          <w:sz w:val="20"/>
        </w:rPr>
        <w:t>The accompanying notes are an integral part of these condensed consolidated financial statements.</w:t>
      </w:r>
    </w:p>
    <w:p>
      <w:pPr>
        <w:pStyle w:val="TextBody"/>
        <w:spacing w:before="240" w:after="0"/>
        <w:jc w:val="center"/>
        <w:rPr>
          <w:rFonts w:ascii="Arial;sans-serif" w:hAnsi="Arial;sans-serif"/>
          <w:b w:val="false"/>
          <w:sz w:val="20"/>
        </w:rPr>
      </w:pPr>
      <w:r>
        <w:rPr>
          <w:rFonts w:ascii="Arial;sans-serif" w:hAnsi="Arial;sans-serif"/>
          <w:b w:val="false"/>
          <w:sz w:val="20"/>
        </w:rPr>
        <w:t>3</w:t>
      </w:r>
    </w:p>
    <w:p>
      <w:pPr>
        <w:pStyle w:val="HorizontalLine"/>
        <w:rPr/>
      </w:pPr>
      <w:r>
        <w:rPr/>
      </w:r>
    </w:p>
    <w:p>
      <w:pPr>
        <w:pStyle w:val="TextBody"/>
        <w:spacing w:before="0" w:after="0"/>
        <w:jc w:val="center"/>
        <w:rPr>
          <w:rFonts w:ascii="Times New Roman" w:hAnsi="Times New Roman"/>
          <w:sz w:val="20"/>
        </w:rPr>
      </w:pPr>
      <w:r>
        <w:rPr>
          <w:rFonts w:ascii="Arial;sans-serif" w:hAnsi="Arial;sans-serif"/>
          <w:b/>
          <w:caps/>
          <w:sz w:val="20"/>
        </w:rPr>
        <w:t>Candel Therapeutics, Inc.</w:t>
      </w:r>
      <w:r>
        <w:rPr>
          <w:rFonts w:ascii="Times New Roman" w:hAnsi="Times New Roman"/>
          <w:caps/>
          <w:sz w:val="20"/>
        </w:rPr>
        <w:t xml:space="preserve"> </w:t>
      </w:r>
    </w:p>
    <w:p>
      <w:pPr>
        <w:pStyle w:val="TextBody"/>
        <w:spacing w:before="120" w:after="0"/>
        <w:jc w:val="center"/>
        <w:rPr>
          <w:rFonts w:ascii="Times New Roman" w:hAnsi="Times New Roman"/>
          <w:sz w:val="20"/>
        </w:rPr>
      </w:pPr>
      <w:bookmarkStart w:id="7" w:name="condensed_consolidated_statements_cash_f"/>
      <w:bookmarkEnd w:id="7"/>
      <w:r>
        <w:rPr>
          <w:rFonts w:ascii="Arial;sans-serif" w:hAnsi="Arial;sans-serif"/>
          <w:b/>
          <w:sz w:val="20"/>
        </w:rPr>
        <w:t>Condensed Consolidated Statements of Cash Flows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20"/>
        </w:rPr>
        <w:t>(In thousands, except share and per share amounts)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Arial;sans-serif" w:hAnsi="Arial;sans-serif"/>
          <w:b w:val="false"/>
          <w:sz w:val="20"/>
        </w:rPr>
        <w:t>(Unaudited)</w:t>
      </w:r>
      <w:r>
        <w:rPr>
          <w:rFonts w:ascii="Times New Roman" w:hAnsi="Times New Roman"/>
          <w:sz w:val="20"/>
        </w:rPr>
        <w:t xml:space="preserve"> </w:t>
      </w:r>
    </w:p>
    <w:p>
      <w:pPr>
        <w:pStyle w:val="TextBody"/>
        <w:spacing w:before="0" w:after="0"/>
        <w:jc w:val="left"/>
        <w:rPr/>
      </w:pPr>
      <w:r>
        <w:rPr/>
        <w:t> </w:t>
      </w:r>
    </w:p>
    <w:tbl>
      <w:tblPr>
        <w:tblW w:w="9884" w:type="dxa"/>
        <w:jc w:val="left"/>
        <w:tblInd w:w="0" w:type="dxa"/>
        <w:tblCellMar>
          <w:top w:w="28" w:type="dxa"/>
          <w:left w:w="28" w:type="dxa"/>
          <w:bottom w:w="28" w:type="dxa"/>
          <w:right w:w="28" w:type="dxa"/>
        </w:tblCellMar>
      </w:tblPr>
      <w:tblGrid>
        <w:gridCol w:w="6511"/>
        <w:gridCol w:w="146"/>
        <w:gridCol w:w="211"/>
        <w:gridCol w:w="751"/>
        <w:gridCol w:w="166"/>
        <w:gridCol w:w="146"/>
        <w:gridCol w:w="211"/>
        <w:gridCol w:w="691"/>
        <w:gridCol w:w="1051"/>
      </w:tblGrid>
      <w:tr>
        <w:trPr/>
        <w:tc>
          <w:tcPr>
            <w:tcW w:w="6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6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6" w:type="dxa"/>
            <w:gridSpan w:val="6"/>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1051" w:type="dxa"/>
            <w:tcBorders/>
            <w:shd w:fill="auto" w:val="clear"/>
            <w:vAlign w:val="center"/>
          </w:tcPr>
          <w:p>
            <w:pPr>
              <w:pStyle w:val="TableContents"/>
              <w:spacing w:before="0" w:after="0"/>
              <w:ind w:left="0" w:right="0" w:hanging="0"/>
              <w:jc w:val="center"/>
              <w:rPr/>
            </w:pPr>
            <w:r>
              <w:rPr/>
              <w:t> </w:t>
            </w:r>
          </w:p>
        </w:tc>
      </w:tr>
      <w:tr>
        <w:trPr/>
        <w:tc>
          <w:tcPr>
            <w:tcW w:w="6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051" w:type="dxa"/>
            <w:tcBorders/>
            <w:shd w:fill="auto" w:val="clear"/>
            <w:vAlign w:val="center"/>
          </w:tcPr>
          <w:p>
            <w:pPr>
              <w:pStyle w:val="TableContents"/>
              <w:spacing w:before="0" w:after="0"/>
              <w:ind w:left="0" w:right="0" w:firstLine="280"/>
              <w:jc w:val="right"/>
              <w:rPr/>
            </w:pPr>
            <w:r>
              <w:rPr/>
              <w:t> </w:t>
            </w:r>
          </w:p>
        </w:tc>
      </w:tr>
      <w:tr>
        <w:trPr/>
        <w:tc>
          <w:tcPr>
            <w:tcW w:w="651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(8,795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(874</w:t>
            </w:r>
          </w:p>
        </w:tc>
        <w:tc>
          <w:tcPr>
            <w:tcW w:w="1051" w:type="dxa"/>
            <w:tcBorders/>
            <w:shd w:fill="auto" w:val="clear"/>
            <w:vAlign w:val="center"/>
          </w:tcPr>
          <w:p>
            <w:pPr>
              <w:pStyle w:val="TableContents"/>
              <w:spacing w:before="0" w:after="0"/>
              <w:ind w:left="0" w:right="0" w:firstLine="560"/>
              <w:jc w:val="left"/>
              <w:rPr>
                <w:rFonts w:ascii="Arial;sans-serif" w:hAnsi="Arial;sans-serif"/>
                <w:b w:val="false"/>
                <w:sz w:val="20"/>
              </w:rPr>
            </w:pPr>
            <w:r>
              <w:rPr>
                <w:rFonts w:ascii="Arial;sans-serif" w:hAnsi="Arial;sans-serif"/>
                <w:b w:val="false"/>
                <w:sz w:val="20"/>
              </w:rPr>
              <w:t>)</w:t>
            </w:r>
          </w:p>
        </w:tc>
      </w:tr>
      <w:tr>
        <w:trPr/>
        <w:tc>
          <w:tcPr>
            <w:tcW w:w="6511"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051" w:type="dxa"/>
            <w:tcBorders/>
            <w:shd w:fill="auto" w:val="clear"/>
            <w:vAlign w:val="center"/>
          </w:tcPr>
          <w:p>
            <w:pPr>
              <w:pStyle w:val="TableContents"/>
              <w:spacing w:before="0" w:after="0"/>
              <w:ind w:left="0" w:right="0" w:firstLine="840"/>
              <w:jc w:val="righ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165</w:t>
            </w:r>
          </w:p>
        </w:tc>
        <w:tc>
          <w:tcPr>
            <w:tcW w:w="1051" w:type="dxa"/>
            <w:tcBorders/>
            <w:shd w:fill="auto" w:val="clear"/>
            <w:vAlign w:val="center"/>
          </w:tcPr>
          <w:p>
            <w:pPr>
              <w:pStyle w:val="TableContents"/>
              <w:spacing w:before="0" w:after="0"/>
              <w:ind w:left="0" w:right="0" w:firstLine="840"/>
              <w:jc w:val="lef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Loss on the sale of fixed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051" w:type="dxa"/>
            <w:tcBorders/>
            <w:shd w:fill="auto" w:val="clear"/>
            <w:vAlign w:val="center"/>
          </w:tcPr>
          <w:p>
            <w:pPr>
              <w:pStyle w:val="TableContents"/>
              <w:spacing w:before="0" w:after="0"/>
              <w:ind w:left="0" w:right="0" w:firstLine="840"/>
              <w:jc w:val="lef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Non-cash stock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492</w:t>
            </w:r>
          </w:p>
        </w:tc>
        <w:tc>
          <w:tcPr>
            <w:tcW w:w="1051" w:type="dxa"/>
            <w:tcBorders/>
            <w:shd w:fill="auto" w:val="clear"/>
            <w:vAlign w:val="center"/>
          </w:tcPr>
          <w:p>
            <w:pPr>
              <w:pStyle w:val="TableContents"/>
              <w:spacing w:before="0" w:after="0"/>
              <w:ind w:left="0" w:right="0" w:firstLine="840"/>
              <w:jc w:val="lef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Non-cash lease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w:t>
            </w:r>
          </w:p>
        </w:tc>
        <w:tc>
          <w:tcPr>
            <w:tcW w:w="1051" w:type="dxa"/>
            <w:tcBorders/>
            <w:shd w:fill="auto" w:val="clear"/>
            <w:vAlign w:val="center"/>
          </w:tcPr>
          <w:p>
            <w:pPr>
              <w:pStyle w:val="TableContents"/>
              <w:spacing w:before="0" w:after="0"/>
              <w:ind w:left="0" w:right="0" w:firstLine="840"/>
              <w:jc w:val="lef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Non-cash interest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w:t>
            </w:r>
          </w:p>
        </w:tc>
        <w:tc>
          <w:tcPr>
            <w:tcW w:w="1051" w:type="dxa"/>
            <w:tcBorders/>
            <w:shd w:fill="auto" w:val="clear"/>
            <w:vAlign w:val="center"/>
          </w:tcPr>
          <w:p>
            <w:pPr>
              <w:pStyle w:val="TableContents"/>
              <w:spacing w:before="0" w:after="0"/>
              <w:ind w:left="0" w:right="0" w:firstLine="840"/>
              <w:jc w:val="lef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Change in fair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(724</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(8,287</w:t>
            </w:r>
          </w:p>
        </w:tc>
        <w:tc>
          <w:tcPr>
            <w:tcW w:w="1051" w:type="dxa"/>
            <w:tcBorders/>
            <w:shd w:fill="auto" w:val="clear"/>
            <w:vAlign w:val="center"/>
          </w:tcPr>
          <w:p>
            <w:pPr>
              <w:pStyle w:val="TableContents"/>
              <w:spacing w:before="0" w:after="0"/>
              <w:ind w:left="0" w:right="0" w:firstLine="840"/>
              <w:jc w:val="left"/>
              <w:rPr>
                <w:rFonts w:ascii="Arial;sans-serif" w:hAnsi="Arial;sans-serif"/>
                <w:b w:val="false"/>
                <w:sz w:val="20"/>
              </w:rPr>
            </w:pPr>
            <w:r>
              <w:rPr>
                <w:rFonts w:ascii="Arial;sans-serif" w:hAnsi="Arial;sans-serif"/>
                <w:b w:val="false"/>
                <w:sz w:val="20"/>
              </w:rPr>
              <w:t>)</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Accretion of debt discount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1051" w:type="dxa"/>
            <w:tcBorders/>
            <w:shd w:fill="auto" w:val="clear"/>
            <w:vAlign w:val="center"/>
          </w:tcPr>
          <w:p>
            <w:pPr>
              <w:pStyle w:val="TableContents"/>
              <w:spacing w:before="0" w:after="0"/>
              <w:ind w:left="0" w:right="0" w:firstLine="560"/>
              <w:jc w:val="left"/>
              <w:rPr/>
            </w:pPr>
            <w:r>
              <w:rPr/>
              <w:t> </w:t>
            </w:r>
          </w:p>
        </w:tc>
      </w:tr>
      <w:tr>
        <w:trPr/>
        <w:tc>
          <w:tcPr>
            <w:tcW w:w="6511"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9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051" w:type="dxa"/>
            <w:tcBorders/>
            <w:shd w:fill="auto" w:val="clear"/>
            <w:vAlign w:val="center"/>
          </w:tcPr>
          <w:p>
            <w:pPr>
              <w:pStyle w:val="TableContents"/>
              <w:spacing w:before="0" w:after="0"/>
              <w:ind w:left="0" w:right="0" w:firstLine="840"/>
              <w:jc w:val="righ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(730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979</w:t>
            </w:r>
          </w:p>
        </w:tc>
        <w:tc>
          <w:tcPr>
            <w:tcW w:w="1051" w:type="dxa"/>
            <w:tcBorders/>
            <w:shd w:fill="auto" w:val="clear"/>
            <w:vAlign w:val="center"/>
          </w:tcPr>
          <w:p>
            <w:pPr>
              <w:pStyle w:val="TableContents"/>
              <w:spacing w:before="0" w:after="0"/>
              <w:ind w:left="0" w:right="0" w:firstLine="840"/>
              <w:jc w:val="lef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(579</w:t>
            </w:r>
          </w:p>
        </w:tc>
        <w:tc>
          <w:tcPr>
            <w:tcW w:w="1051" w:type="dxa"/>
            <w:tcBorders/>
            <w:shd w:fill="auto" w:val="clear"/>
            <w:vAlign w:val="center"/>
          </w:tcPr>
          <w:p>
            <w:pPr>
              <w:pStyle w:val="TableContents"/>
              <w:spacing w:before="0" w:after="0"/>
              <w:ind w:left="0" w:right="0" w:firstLine="840"/>
              <w:jc w:val="left"/>
              <w:rPr>
                <w:rFonts w:ascii="Arial;sans-serif" w:hAnsi="Arial;sans-serif"/>
                <w:b w:val="false"/>
                <w:sz w:val="20"/>
              </w:rPr>
            </w:pPr>
            <w:r>
              <w:rPr>
                <w:rFonts w:ascii="Arial;sans-serif" w:hAnsi="Arial;sans-serif"/>
                <w:b w:val="false"/>
                <w:sz w:val="20"/>
              </w:rPr>
              <w:t>)</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(1,790</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w:t>
            </w:r>
          </w:p>
        </w:tc>
        <w:tc>
          <w:tcPr>
            <w:tcW w:w="1051" w:type="dxa"/>
            <w:tcBorders/>
            <w:shd w:fill="auto" w:val="clear"/>
            <w:vAlign w:val="center"/>
          </w:tcPr>
          <w:p>
            <w:pPr>
              <w:pStyle w:val="TableContents"/>
              <w:spacing w:before="0" w:after="0"/>
              <w:ind w:left="0" w:right="0" w:firstLine="840"/>
              <w:jc w:val="lef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w:t>
            </w:r>
          </w:p>
        </w:tc>
        <w:tc>
          <w:tcPr>
            <w:tcW w:w="1051" w:type="dxa"/>
            <w:tcBorders/>
            <w:shd w:fill="auto" w:val="clear"/>
            <w:vAlign w:val="center"/>
          </w:tcPr>
          <w:p>
            <w:pPr>
              <w:pStyle w:val="TableContents"/>
              <w:spacing w:before="0" w:after="0"/>
              <w:ind w:left="0" w:right="0" w:firstLine="840"/>
              <w:jc w:val="left"/>
              <w:rPr>
                <w:rFonts w:ascii="Arial;sans-serif" w:hAnsi="Arial;sans-serif"/>
                <w:b w:val="false"/>
                <w:sz w:val="20"/>
              </w:rPr>
            </w:pPr>
            <w:r>
              <w:rPr>
                <w:rFonts w:ascii="Arial;sans-serif" w:hAnsi="Arial;sans-serif"/>
                <w:b w:val="false"/>
                <w:sz w:val="20"/>
              </w:rPr>
              <w:t>)</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Lease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651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(10,819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(8,053</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r>
      <w:tr>
        <w:trPr/>
        <w:tc>
          <w:tcPr>
            <w:tcW w:w="65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051" w:type="dxa"/>
            <w:tcBorders/>
            <w:shd w:fill="auto" w:val="clear"/>
            <w:vAlign w:val="center"/>
          </w:tcPr>
          <w:p>
            <w:pPr>
              <w:pStyle w:val="TableContents"/>
              <w:spacing w:before="0" w:after="0"/>
              <w:ind w:left="0" w:right="0" w:firstLine="840"/>
              <w:jc w:val="righ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Purchase of fixed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(138</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(171</w:t>
            </w:r>
          </w:p>
        </w:tc>
        <w:tc>
          <w:tcPr>
            <w:tcW w:w="1051" w:type="dxa"/>
            <w:tcBorders/>
            <w:shd w:fill="auto" w:val="clear"/>
            <w:vAlign w:val="center"/>
          </w:tcPr>
          <w:p>
            <w:pPr>
              <w:pStyle w:val="TableContents"/>
              <w:spacing w:before="0" w:after="0"/>
              <w:ind w:left="0" w:right="0" w:firstLine="840"/>
              <w:jc w:val="left"/>
              <w:rPr>
                <w:rFonts w:ascii="Arial;sans-serif" w:hAnsi="Arial;sans-serif"/>
                <w:b w:val="false"/>
                <w:sz w:val="20"/>
              </w:rPr>
            </w:pPr>
            <w:r>
              <w:rPr>
                <w:rFonts w:ascii="Arial;sans-serif" w:hAnsi="Arial;sans-serif"/>
                <w:b w:val="false"/>
                <w:sz w:val="20"/>
              </w:rPr>
              <w:t>)</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Proceeds from the sale of fixed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651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(171</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r>
      <w:tr>
        <w:trPr/>
        <w:tc>
          <w:tcPr>
            <w:tcW w:w="65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051" w:type="dxa"/>
            <w:tcBorders/>
            <w:shd w:fill="auto" w:val="clear"/>
            <w:vAlign w:val="center"/>
          </w:tcPr>
          <w:p>
            <w:pPr>
              <w:pStyle w:val="TableContents"/>
              <w:spacing w:before="0" w:after="0"/>
              <w:ind w:left="0" w:right="0" w:firstLine="840"/>
              <w:jc w:val="righ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Net proceeds from bank term loan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19,910</w:t>
            </w:r>
          </w:p>
        </w:tc>
        <w:tc>
          <w:tcPr>
            <w:tcW w:w="1051" w:type="dxa"/>
            <w:tcBorders/>
            <w:shd w:fill="auto" w:val="clear"/>
            <w:vAlign w:val="center"/>
          </w:tcPr>
          <w:p>
            <w:pPr>
              <w:pStyle w:val="TableContents"/>
              <w:spacing w:before="0" w:after="0"/>
              <w:ind w:left="0" w:right="0" w:firstLine="840"/>
              <w:jc w:val="lef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Proceeds from option exercises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19,916</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increase (decrease) in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(10,800</w:t>
            </w:r>
          </w:p>
        </w:tc>
        <w:tc>
          <w:tcPr>
            <w:tcW w:w="16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11,692</w:t>
            </w:r>
          </w:p>
        </w:tc>
        <w:tc>
          <w:tcPr>
            <w:tcW w:w="1051" w:type="dxa"/>
            <w:tcBorders/>
            <w:shd w:fill="auto" w:val="clear"/>
            <w:vAlign w:val="center"/>
          </w:tcPr>
          <w:p>
            <w:pPr>
              <w:pStyle w:val="TableContents"/>
              <w:spacing w:before="0" w:after="0"/>
              <w:ind w:left="0" w:right="0" w:hanging="0"/>
              <w:jc w:val="left"/>
              <w:rPr/>
            </w:pPr>
            <w:r>
              <w:rPr/>
              <w:t> </w:t>
            </w:r>
          </w:p>
        </w:tc>
      </w:tr>
      <w:tr>
        <w:trPr/>
        <w:tc>
          <w:tcPr>
            <w:tcW w:w="65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cash equivalents and restricted cash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70,324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83,066</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Cash, cash equivalents and restricted cash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59,524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sz w:val="20"/>
              </w:rPr>
            </w:pPr>
            <w:r>
              <w:rPr>
                <w:rFonts w:ascii="Arial;sans-serif" w:hAnsi="Arial;sans-serif"/>
                <w:b/>
                <w:sz w:val="20"/>
              </w:rPr>
              <w:t>94,758</w:t>
            </w:r>
          </w:p>
        </w:tc>
        <w:tc>
          <w:tcPr>
            <w:tcW w:w="10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Supplemental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9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051" w:type="dxa"/>
            <w:tcBorders/>
            <w:shd w:fill="auto" w:val="clear"/>
            <w:vAlign w:val="center"/>
          </w:tcPr>
          <w:p>
            <w:pPr>
              <w:pStyle w:val="TableContents"/>
              <w:spacing w:before="0" w:after="0"/>
              <w:ind w:left="0" w:right="0" w:firstLine="840"/>
              <w:jc w:val="righ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Cash paid for taxes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w:t>
            </w:r>
          </w:p>
        </w:tc>
        <w:tc>
          <w:tcPr>
            <w:tcW w:w="1051" w:type="dxa"/>
            <w:tcBorders/>
            <w:shd w:fill="auto" w:val="clear"/>
            <w:vAlign w:val="center"/>
          </w:tcPr>
          <w:p>
            <w:pPr>
              <w:pStyle w:val="TableContents"/>
              <w:spacing w:before="0" w:after="0"/>
              <w:ind w:left="0" w:right="0" w:firstLine="840"/>
              <w:jc w:val="lef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Cash paid for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117</w:t>
            </w:r>
          </w:p>
        </w:tc>
        <w:tc>
          <w:tcPr>
            <w:tcW w:w="1051" w:type="dxa"/>
            <w:tcBorders/>
            <w:shd w:fill="auto" w:val="clear"/>
            <w:vAlign w:val="center"/>
          </w:tcPr>
          <w:p>
            <w:pPr>
              <w:pStyle w:val="TableContents"/>
              <w:spacing w:before="0" w:after="0"/>
              <w:ind w:left="0" w:right="0" w:hanging="0"/>
              <w:jc w:val="left"/>
              <w:rPr/>
            </w:pPr>
            <w:r>
              <w:rPr/>
              <w:t> </w:t>
            </w:r>
          </w:p>
        </w:tc>
      </w:tr>
      <w:tr>
        <w:trPr/>
        <w:tc>
          <w:tcPr>
            <w:tcW w:w="651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Supplemental disclosures of non-cash information:</w:t>
            </w:r>
          </w:p>
        </w:tc>
        <w:tc>
          <w:tcPr>
            <w:tcW w:w="146" w:type="dxa"/>
            <w:tcBorders/>
            <w:shd w:fill="auto" w:val="clear"/>
            <w:vAlign w:val="center"/>
          </w:tcPr>
          <w:p>
            <w:pPr>
              <w:pStyle w:val="TableContents"/>
              <w:spacing w:before="0" w:after="0"/>
              <w:ind w:left="0" w:right="0" w:hanging="0"/>
              <w:jc w:val="left"/>
              <w:rPr/>
            </w:pPr>
            <w:r>
              <w:rPr/>
              <w:t> </w:t>
            </w:r>
          </w:p>
        </w:tc>
        <w:tc>
          <w:tcPr>
            <w:tcW w:w="9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right"/>
              <w:rPr/>
            </w:pPr>
            <w:r>
              <w:rPr/>
              <w:t> </w:t>
            </w:r>
          </w:p>
        </w:tc>
        <w:tc>
          <w:tcPr>
            <w:tcW w:w="1051" w:type="dxa"/>
            <w:tcBorders/>
            <w:shd w:fill="auto" w:val="clear"/>
            <w:vAlign w:val="center"/>
          </w:tcPr>
          <w:p>
            <w:pPr>
              <w:pStyle w:val="TableContents"/>
              <w:spacing w:before="0" w:after="0"/>
              <w:ind w:left="0" w:right="0" w:firstLine="840"/>
              <w:jc w:val="righ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Lease liability arising from obtaining right-of-use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2,368</w:t>
            </w:r>
          </w:p>
        </w:tc>
        <w:tc>
          <w:tcPr>
            <w:tcW w:w="1051" w:type="dxa"/>
            <w:tcBorders/>
            <w:shd w:fill="auto" w:val="clear"/>
            <w:vAlign w:val="center"/>
          </w:tcPr>
          <w:p>
            <w:pPr>
              <w:pStyle w:val="TableContents"/>
              <w:spacing w:before="0" w:after="0"/>
              <w:ind w:left="0" w:right="0" w:firstLine="840"/>
              <w:jc w:val="left"/>
              <w:rPr/>
            </w:pPr>
            <w:r>
              <w:rPr/>
              <w:t> </w:t>
            </w:r>
          </w:p>
        </w:tc>
      </w:tr>
      <w:tr>
        <w:trPr/>
        <w:tc>
          <w:tcPr>
            <w:tcW w:w="6511" w:type="dxa"/>
            <w:tcBorders/>
            <w:shd w:fill="auto" w:val="clear"/>
            <w:vAlign w:val="center"/>
          </w:tcPr>
          <w:p>
            <w:pPr>
              <w:pStyle w:val="TableContents"/>
              <w:spacing w:before="0" w:after="0"/>
              <w:ind w:left="840" w:right="0" w:hanging="0"/>
              <w:jc w:val="left"/>
              <w:rPr>
                <w:rFonts w:ascii="Arial;sans-serif" w:hAnsi="Arial;sans-serif"/>
                <w:b w:val="false"/>
                <w:sz w:val="20"/>
              </w:rPr>
            </w:pPr>
            <w:r>
              <w:rPr>
                <w:rFonts w:ascii="Arial;sans-serif" w:hAnsi="Arial;sans-serif"/>
                <w:b w:val="false"/>
                <w:sz w:val="20"/>
              </w:rPr>
              <w:t>Capital expenditures in 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421</w:t>
            </w:r>
          </w:p>
        </w:tc>
        <w:tc>
          <w:tcPr>
            <w:tcW w:w="105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Arial;sans-serif" w:hAnsi="Arial;sans-serif"/>
          <w:b w:val="false"/>
          <w:sz w:val="20"/>
        </w:rPr>
      </w:pPr>
      <w:r>
        <w:rPr>
          <w:rFonts w:ascii="Arial;sans-serif" w:hAnsi="Arial;sans-serif"/>
          <w:b w:val="false"/>
          <w:sz w:val="20"/>
        </w:rPr>
        <w:t>The accompanying notes are an integral part of these condensed consolidated financial statements.</w:t>
      </w:r>
    </w:p>
    <w:p>
      <w:pPr>
        <w:pStyle w:val="TextBody"/>
        <w:spacing w:before="240" w:after="0"/>
        <w:jc w:val="center"/>
        <w:rPr>
          <w:rFonts w:ascii="Arial;sans-serif" w:hAnsi="Arial;sans-serif"/>
          <w:b w:val="false"/>
          <w:sz w:val="20"/>
        </w:rPr>
      </w:pPr>
      <w:r>
        <w:rPr>
          <w:rFonts w:ascii="Arial;sans-serif" w:hAnsi="Arial;sans-serif"/>
          <w:b w:val="false"/>
          <w:sz w:val="20"/>
        </w:rPr>
        <w:t>4</w:t>
      </w:r>
    </w:p>
    <w:p>
      <w:pPr>
        <w:pStyle w:val="HorizontalLine"/>
        <w:rPr/>
      </w:pPr>
      <w:r>
        <w:rPr/>
      </w:r>
    </w:p>
    <w:p>
      <w:pPr>
        <w:pStyle w:val="TextBody"/>
        <w:spacing w:before="0" w:after="0"/>
        <w:jc w:val="center"/>
        <w:rPr>
          <w:rFonts w:ascii="Arial;sans-serif" w:hAnsi="Arial;sans-serif"/>
          <w:b/>
          <w:caps/>
          <w:sz w:val="20"/>
        </w:rPr>
      </w:pPr>
      <w:r>
        <w:rPr>
          <w:rFonts w:ascii="Arial;sans-serif" w:hAnsi="Arial;sans-serif"/>
          <w:b/>
          <w:caps/>
          <w:sz w:val="20"/>
        </w:rPr>
        <w:t>Candel Therapeutics, Inc.</w:t>
      </w:r>
    </w:p>
    <w:p>
      <w:pPr>
        <w:pStyle w:val="TextBody"/>
        <w:spacing w:before="120" w:after="0"/>
        <w:jc w:val="center"/>
        <w:rPr>
          <w:rFonts w:ascii="Arial;sans-serif" w:hAnsi="Arial;sans-serif"/>
          <w:b/>
          <w:sz w:val="20"/>
        </w:rPr>
      </w:pPr>
      <w:bookmarkStart w:id="8" w:name="notes_to_condensed_consolidated_financia"/>
      <w:bookmarkEnd w:id="8"/>
      <w:r>
        <w:rPr>
          <w:rFonts w:ascii="Arial;sans-serif" w:hAnsi="Arial;sans-serif"/>
          <w:b/>
          <w:sz w:val="20"/>
        </w:rPr>
        <w:t>Notes to Condensed Consolidated Financial Statements</w:t>
      </w:r>
    </w:p>
    <w:p>
      <w:pPr>
        <w:pStyle w:val="TextBody"/>
        <w:spacing w:before="0" w:after="0"/>
        <w:jc w:val="center"/>
        <w:rPr>
          <w:rFonts w:ascii="Arial;sans-serif" w:hAnsi="Arial;sans-serif"/>
          <w:b w:val="false"/>
          <w:sz w:val="20"/>
        </w:rPr>
      </w:pPr>
      <w:r>
        <w:rPr>
          <w:rFonts w:ascii="Arial;sans-serif" w:hAnsi="Arial;sans-serif"/>
          <w:b w:val="false"/>
          <w:sz w:val="20"/>
        </w:rPr>
        <w:t>(Unaudited)</w:t>
      </w:r>
    </w:p>
    <w:p>
      <w:pPr>
        <w:pStyle w:val="TextBody"/>
        <w:spacing w:before="0" w:after="0"/>
        <w:jc w:val="left"/>
        <w:rPr/>
      </w:pPr>
      <w:r>
        <w:rPr/>
        <w:t> </w:t>
      </w:r>
    </w:p>
    <w:p>
      <w:pPr>
        <w:pStyle w:val="TextBody"/>
        <w:spacing w:before="160" w:after="0"/>
        <w:jc w:val="left"/>
        <w:rPr>
          <w:rFonts w:ascii="Arial;sans-serif" w:hAnsi="Arial;sans-serif"/>
          <w:b/>
          <w:sz w:val="20"/>
        </w:rPr>
      </w:pPr>
      <w:r>
        <w:rPr>
          <w:rFonts w:ascii="Arial;sans-serif" w:hAnsi="Arial;sans-serif"/>
          <w:b/>
          <w:sz w:val="20"/>
        </w:rPr>
        <w:t>1. Organization and Basis of Presentation</w:t>
      </w:r>
    </w:p>
    <w:p>
      <w:pPr>
        <w:pStyle w:val="TextBody"/>
        <w:spacing w:before="120" w:after="0"/>
        <w:jc w:val="left"/>
        <w:rPr>
          <w:rFonts w:ascii="Times New Roman" w:hAnsi="Times New Roman"/>
          <w:sz w:val="20"/>
        </w:rPr>
      </w:pPr>
      <w:r>
        <w:rPr>
          <w:rFonts w:ascii="Arial;sans-serif" w:hAnsi="Arial;sans-serif"/>
          <w:b w:val="false"/>
          <w:sz w:val="19"/>
        </w:rPr>
        <w:t>Candel Therapeutics, Inc., formerly known as Advantagene, Inc. (the Company) is a clinical stage biopharmaceutical company that was incorporated in Delaware in June 2003. On November 30, 2020, the Company changed its name to Candel Therapeutics, Inc. The Company is focused on developing and commercializing viral immunotherapies to help patients fight cancer. The Company’s engineered viruses are designed to induce immunogenic cell death through direct viral – mediated cytotoxicity in cancer cells, thus releasing tumor neo-antigens and creating a pro-inflammatory microenvironment at the site of injection. The Company has established two off the shelf viral immunotherapy platforms and its two</w:t>
      </w:r>
      <w:r>
        <w:rPr>
          <w:rFonts w:ascii="Times New Roman" w:hAnsi="Times New Roman"/>
          <w:sz w:val="20"/>
        </w:rPr>
        <w:t xml:space="preserve"> </w:t>
      </w:r>
      <w:r>
        <w:rPr>
          <w:rFonts w:ascii="Arial;sans-serif" w:hAnsi="Arial;sans-serif"/>
          <w:b w:val="false"/>
          <w:sz w:val="19"/>
        </w:rPr>
        <w:t>product candidates, CAN-2409 and CAN-3110, are in clinical trials for a number of tumor types. In addition, the Company recently announced a collaboration with the University of Pennsylvania (UPenn) to study the impact of novel viral immunotherapies based on Candel's propriety enLIGHTEN Discovery Platform to strengthen the effects of UPenn's investigational CAR-T cell therapies in solid tumor models.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Since inception, the Company has funded its operations primarily with proceeds from the sale of its convertible notes and capital stock and from debt borrowings. The Company has incurred recurring losses since its inception, including a net loss of $8.8</w:t>
      </w:r>
      <w:r>
        <w:rPr>
          <w:rFonts w:ascii="Times New Roman" w:hAnsi="Times New Roman"/>
          <w:sz w:val="20"/>
        </w:rPr>
        <w:t xml:space="preserve"> </w:t>
      </w:r>
      <w:r>
        <w:rPr>
          <w:rFonts w:ascii="Arial;sans-serif" w:hAnsi="Arial;sans-serif"/>
          <w:b w:val="false"/>
          <w:sz w:val="19"/>
        </w:rPr>
        <w:t>million</w:t>
      </w:r>
      <w:r>
        <w:rPr>
          <w:rFonts w:ascii="Times New Roman" w:hAnsi="Times New Roman"/>
          <w:sz w:val="20"/>
        </w:rPr>
        <w:t xml:space="preserve"> </w:t>
      </w:r>
      <w:r>
        <w:rPr>
          <w:rFonts w:ascii="Arial;sans-serif" w:hAnsi="Arial;sans-serif"/>
          <w:b w:val="false"/>
          <w:sz w:val="19"/>
        </w:rPr>
        <w:t>and $0.9</w:t>
      </w:r>
      <w:r>
        <w:rPr>
          <w:rFonts w:ascii="Times New Roman" w:hAnsi="Times New Roman"/>
          <w:sz w:val="20"/>
        </w:rPr>
        <w:t xml:space="preserve"> </w:t>
      </w:r>
      <w:r>
        <w:rPr>
          <w:rFonts w:ascii="Arial;sans-serif" w:hAnsi="Arial;sans-serif"/>
          <w:b w:val="false"/>
          <w:sz w:val="19"/>
        </w:rPr>
        <w:t>million</w:t>
      </w:r>
      <w:r>
        <w:rPr>
          <w:rFonts w:ascii="Times New Roman" w:hAnsi="Times New Roman"/>
          <w:sz w:val="20"/>
        </w:rPr>
        <w:t xml:space="preserve"> </w:t>
      </w:r>
      <w:r>
        <w:rPr>
          <w:rFonts w:ascii="Arial;sans-serif" w:hAnsi="Arial;sans-serif"/>
          <w:b w:val="false"/>
          <w:sz w:val="19"/>
        </w:rPr>
        <w:t>for the three months ended March 31, 2023 and 2022, respectively. In addition, as of March 31, 2023, the Company had an accumulated deficit of $107.9</w:t>
      </w:r>
      <w:r>
        <w:rPr>
          <w:rFonts w:ascii="Times New Roman" w:hAnsi="Times New Roman"/>
          <w:sz w:val="20"/>
        </w:rPr>
        <w:t xml:space="preserve"> </w:t>
      </w:r>
      <w:r>
        <w:rPr>
          <w:rFonts w:ascii="Arial;sans-serif" w:hAnsi="Arial;sans-serif"/>
          <w:b w:val="false"/>
          <w:sz w:val="19"/>
        </w:rPr>
        <w:t>million. The Company expects to continue to generate operating losses for the foreseeable future.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On July 29, 2021, the Company completed its initial public offering of common stock (the IPO) at which time the Company issued 9,000,000</w:t>
      </w:r>
      <w:r>
        <w:rPr>
          <w:rFonts w:ascii="Times New Roman" w:hAnsi="Times New Roman"/>
          <w:sz w:val="20"/>
        </w:rPr>
        <w:t xml:space="preserve"> </w:t>
      </w:r>
      <w:r>
        <w:rPr>
          <w:rFonts w:ascii="Arial;sans-serif" w:hAnsi="Arial;sans-serif"/>
          <w:b w:val="false"/>
          <w:sz w:val="19"/>
        </w:rPr>
        <w:t>shares of its common stock at a price to the public of $8.00</w:t>
      </w:r>
      <w:r>
        <w:rPr>
          <w:rFonts w:ascii="Times New Roman" w:hAnsi="Times New Roman"/>
          <w:sz w:val="20"/>
        </w:rPr>
        <w:t xml:space="preserve"> </w:t>
      </w:r>
      <w:r>
        <w:rPr>
          <w:rFonts w:ascii="Arial;sans-serif" w:hAnsi="Arial;sans-serif"/>
          <w:b w:val="false"/>
          <w:sz w:val="19"/>
        </w:rPr>
        <w:t>per share, and on August 13, 2021, the Company issued an additional 887,994</w:t>
      </w:r>
      <w:r>
        <w:rPr>
          <w:rFonts w:ascii="Times New Roman" w:hAnsi="Times New Roman"/>
          <w:sz w:val="20"/>
        </w:rPr>
        <w:t xml:space="preserve"> </w:t>
      </w:r>
      <w:r>
        <w:rPr>
          <w:rFonts w:ascii="Arial;sans-serif" w:hAnsi="Arial;sans-serif"/>
          <w:b w:val="false"/>
          <w:sz w:val="19"/>
        </w:rPr>
        <w:t>shares of common stock at $8.00</w:t>
      </w:r>
      <w:r>
        <w:rPr>
          <w:rFonts w:ascii="Times New Roman" w:hAnsi="Times New Roman"/>
          <w:sz w:val="20"/>
        </w:rPr>
        <w:t xml:space="preserve"> </w:t>
      </w:r>
      <w:r>
        <w:rPr>
          <w:rFonts w:ascii="Arial;sans-serif" w:hAnsi="Arial;sans-serif"/>
          <w:b w:val="false"/>
          <w:sz w:val="19"/>
        </w:rPr>
        <w:t>per share as a partial exercise of the underwriters’ option to purchase additional shares, resulting in net proceeds to the Company of $71.3</w:t>
      </w:r>
      <w:r>
        <w:rPr>
          <w:rFonts w:ascii="Times New Roman" w:hAnsi="Times New Roman"/>
          <w:sz w:val="20"/>
        </w:rPr>
        <w:t xml:space="preserve"> </w:t>
      </w:r>
      <w:r>
        <w:rPr>
          <w:rFonts w:ascii="Arial;sans-serif" w:hAnsi="Arial;sans-serif"/>
          <w:b w:val="false"/>
          <w:sz w:val="19"/>
        </w:rPr>
        <w:t>million, after deducting underwriting discounts and commissions and offering expenses. Upon closing of the IPO, all outstanding shares of the Company’s convertible preferred stock automatically converted into 7,066,398</w:t>
      </w:r>
      <w:r>
        <w:rPr>
          <w:rFonts w:ascii="Times New Roman" w:hAnsi="Times New Roman"/>
          <w:sz w:val="20"/>
        </w:rPr>
        <w:t xml:space="preserve"> </w:t>
      </w:r>
      <w:r>
        <w:rPr>
          <w:rFonts w:ascii="Arial;sans-serif" w:hAnsi="Arial;sans-serif"/>
          <w:b w:val="false"/>
          <w:sz w:val="19"/>
        </w:rPr>
        <w:t>shares of common stock.</w:t>
      </w:r>
    </w:p>
    <w:p>
      <w:pPr>
        <w:pStyle w:val="TextBody"/>
        <w:spacing w:before="120" w:after="0"/>
        <w:jc w:val="left"/>
        <w:rPr>
          <w:rFonts w:ascii="Times New Roman" w:hAnsi="Times New Roman"/>
          <w:sz w:val="20"/>
        </w:rPr>
      </w:pPr>
      <w:r>
        <w:rPr>
          <w:rFonts w:ascii="Arial;sans-serif" w:hAnsi="Arial;sans-serif"/>
          <w:b w:val="false"/>
          <w:sz w:val="19"/>
        </w:rPr>
        <w:t>On August 5, 2022, the Company filed a shelf registration statement on Form S-3 (the Shelf) with the SEC, which covers the offering, issuance, and sale by us of up to an aggregate of $200.0</w:t>
      </w:r>
      <w:r>
        <w:rPr>
          <w:rFonts w:ascii="Times New Roman" w:hAnsi="Times New Roman"/>
          <w:sz w:val="20"/>
        </w:rPr>
        <w:t xml:space="preserve"> </w:t>
      </w:r>
      <w:r>
        <w:rPr>
          <w:rFonts w:ascii="Arial;sans-serif" w:hAnsi="Arial;sans-serif"/>
          <w:b w:val="false"/>
          <w:sz w:val="19"/>
        </w:rPr>
        <w:t>million of our common stock, preferred stock, debt securities, warrants and/or units of any combination thereof. We simultaneously entered into a sales agreement with Jefferies LLC, as sales agent, to provide for the issuance and sale by us of up to $75.0</w:t>
      </w:r>
      <w:r>
        <w:rPr>
          <w:rFonts w:ascii="Times New Roman" w:hAnsi="Times New Roman"/>
          <w:sz w:val="20"/>
        </w:rPr>
        <w:t xml:space="preserve"> </w:t>
      </w:r>
      <w:r>
        <w:rPr>
          <w:rFonts w:ascii="Arial;sans-serif" w:hAnsi="Arial;sans-serif"/>
          <w:b w:val="false"/>
          <w:sz w:val="19"/>
        </w:rPr>
        <w:t>million of our common stock from time to time in “at-the-market” offerings under the Shelf (the ATM Program). The Shelf was declared effective by the SEC on August 12, 2022. As of the date hereof, no sales have been made pursuant to the ATM Program.</w:t>
      </w:r>
    </w:p>
    <w:p>
      <w:pPr>
        <w:pStyle w:val="TextBody"/>
        <w:spacing w:before="120" w:after="0"/>
        <w:jc w:val="left"/>
        <w:rPr>
          <w:rFonts w:ascii="Arial;sans-serif" w:hAnsi="Arial;sans-serif"/>
          <w:b w:val="false"/>
          <w:sz w:val="19"/>
        </w:rPr>
      </w:pPr>
      <w:r>
        <w:rPr>
          <w:rFonts w:ascii="Arial;sans-serif" w:hAnsi="Arial;sans-serif"/>
          <w:b w:val="false"/>
          <w:sz w:val="19"/>
        </w:rPr>
        <w:t>The Company’s cash and cash equivalents were $59.3 million as of March 31, 2023. In accordance with the Financial Accounting Standards Board (FASB) Accounting Standards Codification, 205-40, Presentation of Financial Statements - Going Concern, management is required to assess the Company’s ability to continue as a going concern for the one-year look forward period following the date that the condensed consolidated financial statements are issued. Based on the Company's current operating plan and existing cash and cash equivalents, the Company has determined that substantial doubt exists regarding its ability to continue as a going concern for the one-year period following the date these condensed consolidated financial statements are issued. To sustain its future operations beyond such one-year period, the Company will require additional funding. The Company expects to finance its cash needs through a combination of public or private equity or debt financings, government grants, and other sources, which may include collaborations, strategic alliances and licensing arrangements with third parties. There is no assurance that the Company will be successful in obtaining sufficient funding on acceptable terms, if at all, and could be forced to delay, reduce, or eliminate some or all of its research, clinical trials, product development or future commercialization efforts, which could materially adversely affect its business prospects or its ability to continue as a going concern.</w:t>
      </w:r>
    </w:p>
    <w:p>
      <w:pPr>
        <w:pStyle w:val="TextBody"/>
        <w:spacing w:before="120" w:after="0"/>
        <w:jc w:val="left"/>
        <w:rPr>
          <w:rFonts w:ascii="Arial;sans-serif" w:hAnsi="Arial;sans-serif"/>
          <w:b w:val="false"/>
          <w:sz w:val="19"/>
        </w:rPr>
      </w:pPr>
      <w:r>
        <w:rPr>
          <w:rFonts w:ascii="Arial;sans-serif" w:hAnsi="Arial;sans-serif"/>
          <w:b w:val="false"/>
          <w:sz w:val="19"/>
        </w:rPr>
        <w:t>The accompanying condensed consolidated financial statements do not include any adjustments that might result from the outcome of this uncertainty. Accordingly, the condensed consolidated financial statements have been prepared on a basis that assumes the Company will continue as a going concern and that contemplates the realization of assets and satisfaction of liabilities and commitments in the ordinary course of business.</w:t>
      </w:r>
    </w:p>
    <w:p>
      <w:pPr>
        <w:pStyle w:val="TextBody"/>
        <w:spacing w:before="240" w:after="0"/>
        <w:jc w:val="center"/>
        <w:rPr>
          <w:rFonts w:ascii="Arial;sans-serif" w:hAnsi="Arial;sans-serif"/>
          <w:b w:val="false"/>
          <w:sz w:val="20"/>
        </w:rPr>
      </w:pPr>
      <w:r>
        <w:rPr>
          <w:rFonts w:ascii="Arial;sans-serif" w:hAnsi="Arial;sans-serif"/>
          <w:b w:val="false"/>
          <w:sz w:val="20"/>
        </w:rPr>
        <w:t>5</w:t>
      </w:r>
    </w:p>
    <w:p>
      <w:pPr>
        <w:pStyle w:val="HorizontalLine"/>
        <w:rPr/>
      </w:pPr>
      <w:r>
        <w:rPr/>
      </w:r>
    </w:p>
    <w:p>
      <w:pPr>
        <w:pStyle w:val="TextBody"/>
        <w:spacing w:before="120" w:after="0"/>
        <w:jc w:val="left"/>
        <w:rPr/>
      </w:pPr>
      <w:r>
        <w:rPr/>
        <w:t> </w:t>
      </w:r>
    </w:p>
    <w:p>
      <w:pPr>
        <w:pStyle w:val="TextBody"/>
        <w:spacing w:before="160" w:after="0"/>
        <w:jc w:val="left"/>
        <w:rPr>
          <w:rFonts w:ascii="Times New Roman" w:hAnsi="Times New Roman"/>
          <w:sz w:val="20"/>
        </w:rPr>
      </w:pPr>
      <w:r>
        <w:rPr>
          <w:rFonts w:ascii="Arial;sans-serif" w:hAnsi="Arial;sans-serif"/>
          <w:b/>
          <w:sz w:val="20"/>
        </w:rPr>
        <w:t>2. Summary of Significant Accounting Policies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Basis of Presentation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 xml:space="preserve">The </w:t>
      </w:r>
      <w:r>
        <w:rPr>
          <w:rFonts w:ascii="Arial;sans-serif" w:hAnsi="Arial;sans-serif"/>
          <w:b w:val="false"/>
          <w:sz w:val="19"/>
        </w:rPr>
        <w:t>accompanying condensed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financial statements are to the FASB</w:t>
      </w:r>
      <w:r>
        <w:rPr>
          <w:rFonts w:ascii="Times New Roman" w:hAnsi="Times New Roman"/>
          <w:sz w:val="20"/>
        </w:rPr>
        <w:t xml:space="preserve"> </w:t>
      </w:r>
      <w:r>
        <w:rPr>
          <w:rFonts w:ascii="Arial;sans-serif" w:hAnsi="Arial;sans-serif"/>
          <w:b w:val="false"/>
          <w:i/>
          <w:sz w:val="19"/>
        </w:rPr>
        <w:t xml:space="preserve">Accounting Standards </w:t>
      </w:r>
      <w:r>
        <w:rPr>
          <w:rFonts w:ascii="Arial;sans-serif" w:hAnsi="Arial;sans-serif"/>
          <w:b w:val="false"/>
          <w:sz w:val="19"/>
        </w:rPr>
        <w:t>Codification (ASC)</w:t>
      </w:r>
      <w:r>
        <w:rPr>
          <w:rFonts w:ascii="Arial;sans-serif" w:hAnsi="Arial;sans-serif"/>
          <w:b w:val="false"/>
          <w:sz w:val="20"/>
        </w:rPr>
        <w:t>.</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Principles of Consolidation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condensed consolidated financial statements include the accounts of Candel Therapeutics, Inc. and its wholly owned subsidiary Candel Therapeutics Securities Corporation. All intercompany transactions and balances have been eliminated.</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Segment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 maker, the Company's chief executive officer, views the Company's operations and manages its business as a single</w:t>
      </w:r>
      <w:r>
        <w:rPr>
          <w:rFonts w:ascii="Times New Roman" w:hAnsi="Times New Roman"/>
          <w:sz w:val="20"/>
        </w:rPr>
        <w:t xml:space="preserve"> </w:t>
      </w:r>
      <w:r>
        <w:rPr>
          <w:rFonts w:ascii="Arial;sans-serif" w:hAnsi="Arial;sans-serif"/>
          <w:b w:val="false"/>
          <w:sz w:val="19"/>
        </w:rPr>
        <w:t>operating segment. The Company only operates in the United States.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Emerging Growth Company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is (i)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Unaudited Interim Financial Information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accompanying condensed consolidated balance sheet as of March 31, 2023, the condensed consolidated statements of operations for the three months ended March 31, 2023 and 2022, the condensed consolidated statements of stockholders’ equity (deficit) for the three months ended March 31, 2023 and 2022, the condensed consolidated statements of cash flows for the three months ended March 31, 2023 and 2022, and the related interim disclosures are unaudited. These unaudited condensed consolidated financial statements include all adjustments necessary, consisting of only normal recurring adjustments, to fairly state the financial position and the results of the Company’s operations and cash flows for interim periods in accordance with U.S. GAAP. Interim period results are not necessarily indicative of results of operations or cash flows for a full year or any subsequent interim period. The accompanying condensed consolidated financial statements should be read in conjunction with the Company’s audited consolidated financial statements and notes thereto for the year ended December 31, 2022 included in the Company’s Annual Report on Form 10-K (Form 10-K) on file with the SEC.</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Use of Estimates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 xml:space="preserve">The </w:t>
      </w:r>
      <w:r>
        <w:rPr>
          <w:rFonts w:ascii="Arial;sans-serif" w:hAnsi="Arial;sans-serif"/>
          <w:b w:val="false"/>
          <w:sz w:val="19"/>
        </w:rPr>
        <w:t>preparation of the Company’s condensed consolidated financial statements in conformity with GAAP requires management to make estimates and assumptions that affect the reported amounts of assets, liabilities, and related disclosure of contingent assets and liabilities at the date of the financial statements and reported amounts of revenue and expenses during the reporting period. On an ongoing basis, the Company’s management evaluates its estimates, which include but are not limited to management’s judgments of accrued expenses, valuation of stock-based option awards, valuations of warrants, and income taxes. Actual results could differ from those estimates.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Cash and Cash Equivalents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considers all highly liquid investments purchased with original final maturities of 90</w:t>
      </w:r>
      <w:r>
        <w:rPr>
          <w:rFonts w:ascii="Times New Roman" w:hAnsi="Times New Roman"/>
          <w:sz w:val="20"/>
        </w:rPr>
        <w:t xml:space="preserve"> </w:t>
      </w:r>
      <w:r>
        <w:rPr>
          <w:rFonts w:ascii="Arial;sans-serif" w:hAnsi="Arial;sans-serif"/>
          <w:b w:val="false"/>
          <w:sz w:val="19"/>
        </w:rPr>
        <w:t>days or less from the date of purchase to be cash equivalents. Cash and cash equivalents comprise marketable securities with maturities of less than 90</w:t>
      </w:r>
      <w:r>
        <w:rPr>
          <w:rFonts w:ascii="Times New Roman" w:hAnsi="Times New Roman"/>
          <w:sz w:val="20"/>
        </w:rPr>
        <w:t xml:space="preserve"> </w:t>
      </w:r>
      <w:r>
        <w:rPr>
          <w:rFonts w:ascii="Arial;sans-serif" w:hAnsi="Arial;sans-serif"/>
          <w:b w:val="false"/>
          <w:sz w:val="19"/>
        </w:rPr>
        <w:t>days when purchased. Cash equivalents are reported at fair value.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6</w:t>
      </w:r>
    </w:p>
    <w:p>
      <w:pPr>
        <w:pStyle w:val="HorizontalLine"/>
        <w:rPr/>
      </w:pPr>
      <w:r>
        <w:rPr/>
      </w:r>
    </w:p>
    <w:p>
      <w:pPr>
        <w:pStyle w:val="TextBody"/>
        <w:spacing w:before="160" w:after="0"/>
        <w:jc w:val="left"/>
        <w:rPr>
          <w:rFonts w:ascii="Times New Roman" w:hAnsi="Times New Roman"/>
          <w:sz w:val="20"/>
        </w:rPr>
      </w:pPr>
      <w:r>
        <w:rPr>
          <w:rFonts w:ascii="Arial;sans-serif" w:hAnsi="Arial;sans-serif"/>
          <w:b/>
          <w:i/>
          <w:sz w:val="20"/>
        </w:rPr>
        <w:t>Restricted Cash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had $0.3</w:t>
      </w:r>
      <w:r>
        <w:rPr>
          <w:rFonts w:ascii="Times New Roman" w:hAnsi="Times New Roman"/>
          <w:sz w:val="20"/>
        </w:rPr>
        <w:t xml:space="preserve"> </w:t>
      </w:r>
      <w:r>
        <w:rPr>
          <w:rFonts w:ascii="Arial;sans-serif" w:hAnsi="Arial;sans-serif"/>
          <w:b w:val="false"/>
          <w:sz w:val="19"/>
        </w:rPr>
        <w:t>million</w:t>
      </w:r>
      <w:r>
        <w:rPr>
          <w:rFonts w:ascii="Times New Roman" w:hAnsi="Times New Roman"/>
          <w:sz w:val="20"/>
        </w:rPr>
        <w:t xml:space="preserve"> </w:t>
      </w:r>
      <w:r>
        <w:rPr>
          <w:rFonts w:ascii="Arial;sans-serif" w:hAnsi="Arial;sans-serif"/>
          <w:b w:val="false"/>
          <w:sz w:val="19"/>
        </w:rPr>
        <w:t>of restricted cash as of both March 31, 2023 and December 31, 2022, which represents cash held as a security deposit under the terms of the Company’s Needham, Massachusetts facility lease.</w:t>
      </w:r>
    </w:p>
    <w:p>
      <w:pPr>
        <w:pStyle w:val="TextBody"/>
        <w:spacing w:before="160" w:after="0"/>
        <w:jc w:val="left"/>
        <w:rPr>
          <w:rFonts w:ascii="Times New Roman" w:hAnsi="Times New Roman"/>
          <w:sz w:val="20"/>
        </w:rPr>
      </w:pPr>
      <w:r>
        <w:rPr>
          <w:rFonts w:ascii="Arial;sans-serif" w:hAnsi="Arial;sans-serif"/>
          <w:b/>
          <w:i/>
          <w:sz w:val="20"/>
        </w:rPr>
        <w:t>Fair Value Measurements</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spacing w:before="180" w:after="0"/>
        <w:jc w:val="left"/>
        <w:rPr/>
      </w:pPr>
      <w:r>
        <w:rPr/>
        <w:t>•</w:t>
      </w:r>
    </w:p>
    <w:p>
      <w:pPr>
        <w:pStyle w:val="TextBody"/>
        <w:spacing w:before="180" w:after="0"/>
        <w:jc w:val="left"/>
        <w:rPr>
          <w:rFonts w:ascii="Arial;sans-serif" w:hAnsi="Arial;sans-serif"/>
          <w:b w:val="false"/>
          <w:sz w:val="19"/>
        </w:rPr>
      </w:pPr>
      <w:r>
        <w:rPr>
          <w:rFonts w:ascii="Arial;sans-serif" w:hAnsi="Arial;sans-serif"/>
          <w:b w:val="false"/>
          <w:sz w:val="19"/>
        </w:rPr>
        <w:t>Level 1—Quoted prices in active markets for identical assets or liabilities.</w:t>
      </w:r>
    </w:p>
    <w:p>
      <w:pPr>
        <w:pStyle w:val="TextBody"/>
        <w:spacing w:before="40" w:after="0"/>
        <w:jc w:val="left"/>
        <w:rPr/>
      </w:pPr>
      <w:r>
        <w:rPr/>
        <w:t>•</w:t>
      </w:r>
    </w:p>
    <w:p>
      <w:pPr>
        <w:pStyle w:val="TextBody"/>
        <w:spacing w:before="40" w:after="0"/>
        <w:jc w:val="left"/>
        <w:rPr>
          <w:rFonts w:ascii="Arial;sans-serif" w:hAnsi="Arial;sans-serif"/>
          <w:b w:val="false"/>
          <w:sz w:val="19"/>
        </w:rPr>
      </w:pPr>
      <w:r>
        <w:rPr>
          <w:rFonts w:ascii="Arial;sans-serif" w:hAnsi="Arial;sans-serif"/>
          <w:b w:val="false"/>
          <w:sz w:val="19"/>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spacing w:before="40" w:after="0"/>
        <w:jc w:val="left"/>
        <w:rPr/>
      </w:pPr>
      <w:r>
        <w:rPr/>
        <w:t>•</w:t>
      </w:r>
    </w:p>
    <w:p>
      <w:pPr>
        <w:pStyle w:val="TextBody"/>
        <w:spacing w:before="40" w:after="283"/>
        <w:jc w:val="left"/>
        <w:rPr>
          <w:rFonts w:ascii="Arial;sans-serif" w:hAnsi="Arial;sans-serif"/>
          <w:b w:val="false"/>
          <w:sz w:val="19"/>
        </w:rPr>
      </w:pPr>
      <w:r>
        <w:rPr>
          <w:rFonts w:ascii="Arial;sans-serif" w:hAnsi="Arial;sans-serif"/>
          <w:b w:val="false"/>
          <w:sz w:val="19"/>
        </w:rPr>
        <w:t>Level 3—Unobservable inputs that are supported by little or no market activity that are significant to determining the fair value of the assets or liabilities, including pricing models, discounted cash flow methodologies and similar techniques.</w:t>
      </w:r>
    </w:p>
    <w:p>
      <w:pPr>
        <w:pStyle w:val="TextBody"/>
        <w:spacing w:before="120" w:after="0"/>
        <w:jc w:val="left"/>
        <w:rPr>
          <w:rFonts w:ascii="Times New Roman" w:hAnsi="Times New Roman"/>
          <w:sz w:val="20"/>
        </w:rPr>
      </w:pPr>
      <w:r>
        <w:rPr>
          <w:rFonts w:ascii="Arial;sans-serif" w:hAnsi="Arial;sans-serif"/>
          <w:b w:val="false"/>
          <w:sz w:val="19"/>
        </w:rPr>
        <w:t>The carrying values of cash and cash equivalents (considered as Level 1 measurements), accounts payable, and accrued expenses approximate their fair values due to the short-term nature of these assets and liabilities. The Company’s warrant liability is carried at fair value and is classified as Level 3 measurement.</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Property and Equipment</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 xml:space="preserve">Property and equipment consist of laboratory and manufacturing equipment, networking and computer equipment, furniture and fixtures and leasehold improvements. Property and equipment are recorded at cost, and depreciated using the straight-line method over the estimated useful lives of the respective assets: </w:t>
      </w:r>
    </w:p>
    <w:p>
      <w:pPr>
        <w:pStyle w:val="TextBody"/>
        <w:spacing w:before="0" w:after="0"/>
        <w:jc w:val="left"/>
        <w:rPr/>
      </w:pPr>
      <w:r>
        <w:rPr/>
        <w:t> </w:t>
      </w:r>
    </w:p>
    <w:tbl>
      <w:tblPr>
        <w:tblW w:w="7768" w:type="dxa"/>
        <w:jc w:val="left"/>
        <w:tblInd w:w="0" w:type="dxa"/>
        <w:tblCellMar>
          <w:top w:w="28" w:type="dxa"/>
          <w:left w:w="28" w:type="dxa"/>
          <w:bottom w:w="28" w:type="dxa"/>
          <w:right w:w="28" w:type="dxa"/>
        </w:tblCellMar>
      </w:tblPr>
      <w:tblGrid>
        <w:gridCol w:w="3286"/>
        <w:gridCol w:w="146"/>
        <w:gridCol w:w="4336"/>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36" w:type="dxa"/>
            <w:tcBorders/>
            <w:shd w:fill="auto" w:val="clear"/>
            <w:vAlign w:val="center"/>
          </w:tcPr>
          <w:p>
            <w:pPr>
              <w:pStyle w:val="TableContents"/>
              <w:spacing w:before="0" w:after="283"/>
              <w:rPr>
                <w:sz w:val="4"/>
                <w:szCs w:val="4"/>
              </w:rPr>
            </w:pPr>
            <w:r>
              <w:rPr>
                <w:sz w:val="4"/>
                <w:szCs w:val="4"/>
              </w:rPr>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ASSET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ESTIMATED USEFUL LIFE</w:t>
            </w:r>
          </w:p>
        </w:tc>
      </w:tr>
      <w:tr>
        <w:trPr/>
        <w:tc>
          <w:tcPr>
            <w:tcW w:w="3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Networking and computer equipment</w:t>
            </w:r>
          </w:p>
        </w:tc>
        <w:tc>
          <w:tcPr>
            <w:tcW w:w="146" w:type="dxa"/>
            <w:tcBorders/>
            <w:shd w:fill="auto" w:val="clear"/>
            <w:vAlign w:val="center"/>
          </w:tcPr>
          <w:p>
            <w:pPr>
              <w:pStyle w:val="TableContents"/>
              <w:spacing w:before="0" w:after="0"/>
              <w:ind w:left="0" w:right="0" w:hanging="0"/>
              <w:jc w:val="left"/>
              <w:rPr/>
            </w:pPr>
            <w:r>
              <w:rPr/>
              <w:t> </w:t>
            </w:r>
          </w:p>
        </w:tc>
        <w:tc>
          <w:tcPr>
            <w:tcW w:w="433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5</w:t>
            </w:r>
            <w:r>
              <w:rPr>
                <w:rFonts w:ascii="Times New Roman" w:hAnsi="Times New Roman"/>
                <w:sz w:val="20"/>
              </w:rPr>
              <w:t> </w:t>
            </w:r>
            <w:r>
              <w:rPr>
                <w:rFonts w:ascii="Arial;sans-serif" w:hAnsi="Arial;sans-serif"/>
                <w:b w:val="false"/>
                <w:sz w:val="20"/>
              </w:rPr>
              <w:t>years</w:t>
            </w:r>
          </w:p>
        </w:tc>
      </w:tr>
      <w:tr>
        <w:trPr/>
        <w:tc>
          <w:tcPr>
            <w:tcW w:w="3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Laboratory equipment</w:t>
            </w:r>
          </w:p>
        </w:tc>
        <w:tc>
          <w:tcPr>
            <w:tcW w:w="146" w:type="dxa"/>
            <w:tcBorders/>
            <w:shd w:fill="auto" w:val="clear"/>
            <w:vAlign w:val="center"/>
          </w:tcPr>
          <w:p>
            <w:pPr>
              <w:pStyle w:val="TableContents"/>
              <w:spacing w:before="0" w:after="0"/>
              <w:ind w:left="0" w:right="0" w:hanging="0"/>
              <w:jc w:val="left"/>
              <w:rPr/>
            </w:pPr>
            <w:r>
              <w:rPr/>
              <w:t> </w:t>
            </w:r>
          </w:p>
        </w:tc>
        <w:tc>
          <w:tcPr>
            <w:tcW w:w="433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5</w:t>
            </w:r>
            <w:r>
              <w:rPr>
                <w:rFonts w:ascii="Times New Roman" w:hAnsi="Times New Roman"/>
                <w:sz w:val="20"/>
              </w:rPr>
              <w:t> </w:t>
            </w:r>
            <w:r>
              <w:rPr>
                <w:rFonts w:ascii="Arial;sans-serif" w:hAnsi="Arial;sans-serif"/>
                <w:b w:val="false"/>
                <w:sz w:val="20"/>
              </w:rPr>
              <w:t>years</w:t>
            </w:r>
          </w:p>
        </w:tc>
      </w:tr>
      <w:tr>
        <w:trPr/>
        <w:tc>
          <w:tcPr>
            <w:tcW w:w="3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Manufacturing equipment</w:t>
            </w:r>
          </w:p>
        </w:tc>
        <w:tc>
          <w:tcPr>
            <w:tcW w:w="146" w:type="dxa"/>
            <w:tcBorders/>
            <w:shd w:fill="auto" w:val="clear"/>
            <w:vAlign w:val="center"/>
          </w:tcPr>
          <w:p>
            <w:pPr>
              <w:pStyle w:val="TableContents"/>
              <w:spacing w:before="0" w:after="0"/>
              <w:ind w:left="0" w:right="0" w:hanging="0"/>
              <w:jc w:val="left"/>
              <w:rPr/>
            </w:pPr>
            <w:r>
              <w:rPr/>
              <w:t> </w:t>
            </w:r>
          </w:p>
        </w:tc>
        <w:tc>
          <w:tcPr>
            <w:tcW w:w="433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5</w:t>
            </w:r>
            <w:r>
              <w:rPr>
                <w:rFonts w:ascii="Times New Roman" w:hAnsi="Times New Roman"/>
                <w:sz w:val="20"/>
              </w:rPr>
              <w:t> </w:t>
            </w:r>
            <w:r>
              <w:rPr>
                <w:rFonts w:ascii="Arial;sans-serif" w:hAnsi="Arial;sans-serif"/>
                <w:b w:val="false"/>
                <w:sz w:val="20"/>
              </w:rPr>
              <w:t>years</w:t>
            </w:r>
          </w:p>
        </w:tc>
      </w:tr>
      <w:tr>
        <w:trPr/>
        <w:tc>
          <w:tcPr>
            <w:tcW w:w="3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43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5 years</w:t>
            </w:r>
          </w:p>
        </w:tc>
      </w:tr>
      <w:tr>
        <w:trPr/>
        <w:tc>
          <w:tcPr>
            <w:tcW w:w="3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433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Shorter of the useful life or remaining lease term</w:t>
            </w:r>
          </w:p>
        </w:tc>
      </w:tr>
    </w:tbl>
    <w:p>
      <w:pPr>
        <w:pStyle w:val="TextBody"/>
        <w:spacing w:before="160" w:after="0"/>
        <w:jc w:val="left"/>
        <w:rPr>
          <w:rFonts w:ascii="Times New Roman" w:hAnsi="Times New Roman"/>
          <w:sz w:val="20"/>
        </w:rPr>
      </w:pPr>
      <w:r>
        <w:rPr>
          <w:rFonts w:ascii="Arial;sans-serif" w:hAnsi="Arial;sans-serif"/>
          <w:b/>
          <w:i/>
          <w:sz w:val="20"/>
        </w:rPr>
        <w:t>Leases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adopted ASC 842 as of January 1, 2022 and elected the transition method under ASU 2016-02 whereby the Company records a right-of-use asset and a lease liability on the balance sheet for all leases with terms longer than 12 months. The Company also elected to apply the practical expedients intended to ease transition. Accordingly, the Company has only applied ASC 842 to leases existing as of January 1, 2022. The Company determines if an arrangement is, or contains, a lease at inception.</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Lease right of use assets represent the Company’s right to use an underlying asset for the lease term and lease liabilities represent the Company’s obligation to make lease payments arising from the lease. Lease right of use assets and lease liabilities are recognized at the lease commencement date based on the present value of lease payments to be made over the lease term. The lease right of use asset is equal to the lease liability and adjusted for prepaid rent, initial direct costs, and incentives. As the Company’s leases do not provide an implicit rate, the Company uses its incremental borrowing rate based on the information available at the lease commencement date in determining the present value of lease payments. The lease terms may include options to extend or terminate the lease when it is reasonably certain that the Company will exercise that option. Operating lease expense is recognized on a straight-line basis over the lease term. The Company has elected to not apply the recognition requirements of ASC 842 for short-term leases, which is defined as a lease that, at the lease commencement date, has a lease term of 12 months or less and does not include an option to purchase the underlying asset that the Company is reasonably certain to exercise.</w:t>
      </w:r>
    </w:p>
    <w:p>
      <w:pPr>
        <w:pStyle w:val="TextBody"/>
        <w:spacing w:before="120" w:after="0"/>
        <w:jc w:val="left"/>
        <w:rPr>
          <w:rFonts w:ascii="Times New Roman" w:hAnsi="Times New Roman"/>
          <w:sz w:val="20"/>
        </w:rPr>
      </w:pPr>
      <w:r>
        <w:rPr>
          <w:rFonts w:ascii="Arial;sans-serif" w:hAnsi="Arial;sans-serif"/>
          <w:b w:val="false"/>
          <w:sz w:val="19"/>
        </w:rPr>
        <w:t>For real estate lease agreements entered into or modified after the adoption of ASC 842 that include lease and non-lease components, the Company has elected to account for the lease and non-lease components, such as common area maintenance charges, as a single lease component</w:t>
      </w:r>
      <w:r>
        <w:rPr>
          <w:rFonts w:ascii="Times New Roman" w:hAnsi="Times New Roman"/>
          <w:sz w:val="20"/>
        </w:rPr>
        <w:t xml:space="preserve"> </w:t>
      </w:r>
      <w:r>
        <w:rPr>
          <w:rFonts w:ascii="Arial;sans-serif" w:hAnsi="Arial;sans-serif"/>
          <w:b w:val="false"/>
          <w:sz w:val="19"/>
        </w:rPr>
        <w:t>term.</w:t>
      </w:r>
    </w:p>
    <w:p>
      <w:pPr>
        <w:pStyle w:val="TextBody"/>
        <w:spacing w:before="240" w:after="0"/>
        <w:jc w:val="center"/>
        <w:rPr>
          <w:rFonts w:ascii="Arial;sans-serif" w:hAnsi="Arial;sans-serif"/>
          <w:b w:val="false"/>
          <w:sz w:val="20"/>
        </w:rPr>
      </w:pPr>
      <w:r>
        <w:rPr>
          <w:rFonts w:ascii="Arial;sans-serif" w:hAnsi="Arial;sans-serif"/>
          <w:b w:val="false"/>
          <w:sz w:val="20"/>
        </w:rPr>
        <w:t>7</w:t>
      </w:r>
    </w:p>
    <w:p>
      <w:pPr>
        <w:pStyle w:val="HorizontalLine"/>
        <w:rPr/>
      </w:pPr>
      <w:r>
        <w:rPr/>
      </w:r>
    </w:p>
    <w:p>
      <w:pPr>
        <w:pStyle w:val="TextBody"/>
        <w:spacing w:before="160" w:after="0"/>
        <w:jc w:val="left"/>
        <w:rPr>
          <w:rFonts w:ascii="Times New Roman" w:hAnsi="Times New Roman"/>
          <w:sz w:val="20"/>
        </w:rPr>
      </w:pPr>
      <w:r>
        <w:rPr>
          <w:rFonts w:ascii="Arial;sans-serif" w:hAnsi="Arial;sans-serif"/>
          <w:b/>
          <w:i/>
          <w:sz w:val="20"/>
        </w:rPr>
        <w:t>Concentrations of Credit Risk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Financial instruments that potentially expose the Company to concentrations of credit risk consist primarily of cash and cash equivalents. Periodically, the Company maintains deposits in accredited financial institutions in-excess of the federally insured limits. The Company deposits its cash in financial institutions with a high credit quality and has not experienced any losses on such accounts and does not believe it is exposed to any unusual credit risk beyond the normal risk associated with commercial banking relationships.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Impairment of Long-lived Assets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Long-lived assets consist of fixed assets and operating lease assets.</w:t>
      </w:r>
      <w:r>
        <w:rPr>
          <w:rFonts w:ascii="Times New Roman" w:hAnsi="Times New Roman"/>
          <w:sz w:val="20"/>
        </w:rPr>
        <w:t xml:space="preserve"> </w:t>
      </w:r>
    </w:p>
    <w:p>
      <w:pPr>
        <w:pStyle w:val="TextBody"/>
        <w:spacing w:before="160" w:after="0"/>
        <w:jc w:val="left"/>
        <w:rPr>
          <w:rFonts w:ascii="Arial;sans-serif" w:hAnsi="Arial;sans-serif"/>
          <w:b/>
          <w:i/>
          <w:sz w:val="20"/>
        </w:rPr>
      </w:pPr>
      <w:r>
        <w:rPr>
          <w:rFonts w:ascii="Arial;sans-serif" w:hAnsi="Arial;sans-serif"/>
          <w:b/>
          <w:i/>
          <w:sz w:val="20"/>
        </w:rPr>
        <w:t>Revenue Recognition</w:t>
      </w:r>
    </w:p>
    <w:p>
      <w:pPr>
        <w:pStyle w:val="TextBody"/>
        <w:spacing w:before="120" w:after="0"/>
        <w:jc w:val="left"/>
        <w:rPr>
          <w:rFonts w:ascii="Times New Roman" w:hAnsi="Times New Roman"/>
          <w:sz w:val="20"/>
        </w:rPr>
      </w:pPr>
      <w:r>
        <w:rPr>
          <w:rFonts w:ascii="Arial;sans-serif" w:hAnsi="Arial;sans-serif"/>
          <w:b w:val="false"/>
          <w:sz w:val="19"/>
        </w:rPr>
        <w:t>The Company applies Accounting Standards Codification (ASC), Topic 606, Revenue from Contracts with Customers,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then assesses whether or not each promised good or service is distinct. The Company then recognizes as revenue the amount of the transaction price that is allocated to the respective performance obligation when (or as) the performance obligation is satisfied</w:t>
      </w:r>
      <w:r>
        <w:rPr>
          <w:rFonts w:ascii="Arial;sans-serif" w:hAnsi="Arial;sans-serif"/>
          <w:b w:val="false"/>
          <w:sz w:val="20"/>
        </w:rPr>
        <w:t>.</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Research and Development Costs and Accruals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Research and development expenses include salaries and benefits, materials and supplies, preclinical and clinical trial expenses, stock-based compensation expense, depreciation of equipment, contract services and other outside expenses. The Company has entered into various research and development-related contracts with clinical and research institutions, contract research organizations, and other companies. These agreements are generally cancelable, and related payments are recorded as research and development expenses as incurred. Costs of certain development activities, such as manufacturing, pre-clinical and clinical trial expenses, are recognized based on an evaluation of the progress to completion of specific tasks. Payments for these activities are based on the terms of the individual arrangements, which may differ from the pattern of costs incurred, and are reflected in the financial statements as prepaid or accrued research and development costs. Nonrefundable advance payments for goods or services to be received in the future for use in research and development activities are deferred and capitalized. The capitalized amounts are expensed as the related goods are delivered or the services are performed. Costs incurred in obtaining technology licenses and intellectual property are charged to research and development expenses as acquired in-process research and development if the technology licensed or intellectual property acquired has not reached technological feasibility and has no alternative future use.</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Patent Costs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All patent-related costs incurred in connection with preparing, filing, maintaining and prosecuting patent applications are expensed as incurred due to the uncertainty about the recovery of the expenditure. Amounts incurred are classified in general and administrative expenses.</w:t>
      </w:r>
      <w:r>
        <w:rPr>
          <w:rFonts w:ascii="Times New Roman" w:hAnsi="Times New Roman"/>
          <w:sz w:val="20"/>
        </w:rPr>
        <w:t xml:space="preserve"> </w:t>
      </w:r>
    </w:p>
    <w:p>
      <w:pPr>
        <w:pStyle w:val="TextBody"/>
        <w:spacing w:before="160" w:after="0"/>
        <w:jc w:val="left"/>
        <w:rPr>
          <w:rFonts w:ascii="Arial;sans-serif" w:hAnsi="Arial;sans-serif"/>
          <w:b/>
          <w:i/>
          <w:sz w:val="20"/>
        </w:rPr>
      </w:pPr>
      <w:r>
        <w:rPr>
          <w:rFonts w:ascii="Arial;sans-serif" w:hAnsi="Arial;sans-serif"/>
          <w:b/>
          <w:i/>
          <w:sz w:val="20"/>
        </w:rPr>
        <w:t>Stock-Based Compensation</w:t>
      </w:r>
    </w:p>
    <w:p>
      <w:pPr>
        <w:pStyle w:val="TextBody"/>
        <w:spacing w:before="120" w:after="0"/>
        <w:jc w:val="left"/>
        <w:rPr>
          <w:rFonts w:ascii="Times New Roman" w:hAnsi="Times New Roman"/>
          <w:sz w:val="20"/>
        </w:rPr>
      </w:pPr>
      <w:r>
        <w:rPr>
          <w:rFonts w:ascii="Arial;sans-serif" w:hAnsi="Arial;sans-serif"/>
          <w:b w:val="false"/>
          <w:sz w:val="19"/>
        </w:rPr>
        <w:t>The Company accounts for its stock-based compensation in accordance with ASC Topic 718,</w:t>
      </w:r>
      <w:r>
        <w:rPr>
          <w:rFonts w:ascii="Times New Roman" w:hAnsi="Times New Roman"/>
          <w:sz w:val="20"/>
        </w:rPr>
        <w:t xml:space="preserve"> </w:t>
      </w:r>
      <w:r>
        <w:rPr>
          <w:rFonts w:ascii="Arial;sans-serif" w:hAnsi="Arial;sans-serif"/>
          <w:b w:val="false"/>
          <w:i/>
          <w:sz w:val="19"/>
        </w:rPr>
        <w:t>Compensation—Stock Compensation</w:t>
      </w:r>
      <w:r>
        <w:rPr>
          <w:rFonts w:ascii="Times New Roman" w:hAnsi="Times New Roman"/>
          <w:sz w:val="20"/>
        </w:rPr>
        <w:t xml:space="preserve"> </w:t>
      </w:r>
      <w:r>
        <w:rPr>
          <w:rFonts w:ascii="Arial;sans-serif" w:hAnsi="Arial;sans-serif"/>
          <w:b w:val="false"/>
          <w:sz w:val="19"/>
        </w:rPr>
        <w:t>(ASC 718). ASC 718 requires all share-based payments to employees and directors to be recognized as expense in the consolidated statements of operations based on their grant date fair values. In addition, in accordance with FASB</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8</w:t>
      </w:r>
    </w:p>
    <w:p>
      <w:pPr>
        <w:pStyle w:val="HorizontalLine"/>
        <w:rPr/>
      </w:pPr>
      <w:r>
        <w:rPr/>
      </w:r>
    </w:p>
    <w:p>
      <w:pPr>
        <w:pStyle w:val="TextBody"/>
        <w:spacing w:before="120" w:after="0"/>
        <w:jc w:val="left"/>
        <w:rPr>
          <w:rFonts w:ascii="Times New Roman" w:hAnsi="Times New Roman"/>
          <w:sz w:val="20"/>
        </w:rPr>
      </w:pPr>
      <w:r>
        <w:rPr>
          <w:rFonts w:ascii="Arial;sans-serif" w:hAnsi="Arial;sans-serif"/>
          <w:b w:val="false"/>
          <w:sz w:val="19"/>
        </w:rPr>
        <w:t>Accounting Standards Update (ASU) 2016-09 which identifies areas for simplification of several areas of share-based payment transactions, the Company treats non-employee grants the same as employee grants. The Company estimates the fair value of options granted using the Black-Scholes option pricing model for stock option grants to both employees and non-employees. The Company believes the fair value of the stock options granted to non-employees is more reliably determinable than the fair value of the services provided.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Black-Scholes option pricing model requires inputs based on certain subjective assumptions, including (a) the expected stock price volatility, (b) the expected term of the award, (c) the risk-free interest rate and (d) expected dividends. Due to a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share-based payment as the basis for the expected term assumption. The risk-free interest rate is based on a treasury instrument whose term is consistent with the expected term of the stock options. The expected dividend yield is assumed to be zero</w:t>
      </w:r>
      <w:r>
        <w:rPr>
          <w:rFonts w:ascii="Times New Roman" w:hAnsi="Times New Roman"/>
          <w:sz w:val="20"/>
        </w:rPr>
        <w:t xml:space="preserve"> </w:t>
      </w:r>
      <w:r>
        <w:rPr>
          <w:rFonts w:ascii="Arial;sans-serif" w:hAnsi="Arial;sans-serif"/>
          <w:b w:val="false"/>
          <w:sz w:val="19"/>
        </w:rPr>
        <w:t>as the Company has never paid dividends and has no current plans to pay any dividends on its common stock.</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The Company generally expenses the fair value of its share-based compensation awards to employees and non-employees on a straight-line basis over the requisite service period, which is generally the vesting period.</w:t>
      </w:r>
    </w:p>
    <w:p>
      <w:pPr>
        <w:pStyle w:val="TextBody"/>
        <w:spacing w:before="160" w:after="0"/>
        <w:jc w:val="left"/>
        <w:rPr>
          <w:rFonts w:ascii="Arial;sans-serif" w:hAnsi="Arial;sans-serif"/>
          <w:b/>
          <w:i/>
          <w:sz w:val="20"/>
        </w:rPr>
      </w:pPr>
      <w:r>
        <w:rPr>
          <w:rFonts w:ascii="Arial;sans-serif" w:hAnsi="Arial;sans-serif"/>
          <w:b/>
          <w:i/>
          <w:sz w:val="20"/>
        </w:rPr>
        <w:t>Government Grants</w:t>
      </w:r>
    </w:p>
    <w:p>
      <w:pPr>
        <w:pStyle w:val="TextBody"/>
        <w:spacing w:before="120" w:after="0"/>
        <w:jc w:val="left"/>
        <w:rPr>
          <w:rFonts w:ascii="Times New Roman" w:hAnsi="Times New Roman"/>
          <w:sz w:val="20"/>
        </w:rPr>
      </w:pPr>
      <w:r>
        <w:rPr>
          <w:rFonts w:ascii="Arial;sans-serif" w:hAnsi="Arial;sans-serif"/>
          <w:b w:val="false"/>
          <w:sz w:val="20"/>
        </w:rPr>
        <w:t xml:space="preserve">The </w:t>
      </w:r>
      <w:r>
        <w:rPr>
          <w:rFonts w:ascii="Arial;sans-serif" w:hAnsi="Arial;sans-serif"/>
          <w:b w:val="false"/>
          <w:sz w:val="19"/>
        </w:rPr>
        <w:t>Company has applied for grants for the reimbursement of expenditures with the Massachusetts Life Sciences Center for certain qualified operating expenditures, including employee related costs. The Company recognizes government grants when there is reasonable assurance that the Company will comply with the conditions attached to the grant arrangement and the grant will be received.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Government grants are recorded as grant income and classified in other income in the condensed and consolidated statements of operations. The Company recognized government grants of $12,000</w:t>
      </w:r>
      <w:r>
        <w:rPr>
          <w:rFonts w:ascii="Times New Roman" w:hAnsi="Times New Roman"/>
          <w:sz w:val="20"/>
        </w:rPr>
        <w:t xml:space="preserve"> </w:t>
      </w:r>
      <w:r>
        <w:rPr>
          <w:rFonts w:ascii="Arial;sans-serif" w:hAnsi="Arial;sans-serif"/>
          <w:b w:val="false"/>
          <w:sz w:val="19"/>
        </w:rPr>
        <w:t>for the three months ended March 31, 2023. The Company did not recognize any government grants for the three months ended March 31, 2022. Grant income is recognized as a component of other income (expense), net in the condensed consolidated statements of operations</w:t>
      </w:r>
      <w:r>
        <w:rPr>
          <w:rFonts w:ascii="Arial;sans-serif" w:hAnsi="Arial;sans-serif"/>
          <w:b w:val="false"/>
          <w:sz w:val="20"/>
        </w:rPr>
        <w:t>.</w:t>
      </w:r>
      <w:r>
        <w:rPr>
          <w:rFonts w:ascii="Times New Roman" w:hAnsi="Times New Roman"/>
          <w:sz w:val="20"/>
        </w:rPr>
        <w:t xml:space="preserve"> </w:t>
      </w:r>
    </w:p>
    <w:p>
      <w:pPr>
        <w:pStyle w:val="TextBody"/>
        <w:spacing w:before="160" w:after="0"/>
        <w:jc w:val="left"/>
        <w:rPr>
          <w:rFonts w:ascii="Arial;sans-serif" w:hAnsi="Arial;sans-serif"/>
          <w:b/>
          <w:i/>
          <w:sz w:val="20"/>
        </w:rPr>
      </w:pPr>
      <w:r>
        <w:rPr>
          <w:rFonts w:ascii="Arial;sans-serif" w:hAnsi="Arial;sans-serif"/>
          <w:b/>
          <w:i/>
          <w:sz w:val="20"/>
        </w:rPr>
        <w:t>Income Taxes</w:t>
      </w:r>
    </w:p>
    <w:p>
      <w:pPr>
        <w:pStyle w:val="TextBody"/>
        <w:spacing w:before="120" w:after="0"/>
        <w:jc w:val="left"/>
        <w:rPr>
          <w:rFonts w:ascii="Times New Roman" w:hAnsi="Times New Roman"/>
          <w:sz w:val="20"/>
        </w:rPr>
      </w:pPr>
      <w:r>
        <w:rPr>
          <w:rFonts w:ascii="Arial;sans-serif" w:hAnsi="Arial;sans-serif"/>
          <w:b w:val="false"/>
          <w:sz w:val="20"/>
        </w:rPr>
        <w:t xml:space="preserve">The </w:t>
      </w:r>
      <w:r>
        <w:rPr>
          <w:rFonts w:ascii="Arial;sans-serif" w:hAnsi="Arial;sans-serif"/>
          <w:b w:val="false"/>
          <w:sz w:val="19"/>
        </w:rPr>
        <w:t>Company accounts for income taxes using the asset and liability method in accordance with ASC Topic 740, Income Taxes (ASC 740) which requires the recognition of deferred tax assets and liabilities for the expected future tax consequences of events that have been recognized in the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At March 31, 2023 and December 31, 2022, the Company has concluded that a full valuation allowance is necessary for its deferred tax assets (see Note 12).</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accounts for uncertainty in income taxes by applying the two-step process to determine the amount of tax benefit to be recognized in the financial statements. First, the tax position must be evaluated to determine the likelihood that it will be sustained upon external examination by the taxing authorities. If the tax position is deemed more-likely-than-not to be sustained, the tax is then assessed as the amount of benefits to be recognized in the consolidated financial statements. The amount of benefits that may be used are the largest amounts that have a greater than 50% likelihood of being realized upon ultimate settlement. The provision for income taxes includes the effects of any resulting tax reserves or unrecognized tax benefits that are considered appropriate, as well as the related net interest received.</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Net Loss Per Share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Basic net loss per share is computed by dividing net loss attributable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 In periods where the Company reports a net loss attributable to common stockholders, diluted net loss per share is the same as basic net loss per share, since dilutive shares of common stock are not assumed to have been issued</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9</w:t>
      </w:r>
    </w:p>
    <w:p>
      <w:pPr>
        <w:pStyle w:val="HorizontalLine"/>
        <w:rPr/>
      </w:pPr>
      <w:r>
        <w:rPr/>
      </w:r>
    </w:p>
    <w:p>
      <w:pPr>
        <w:pStyle w:val="TextBody"/>
        <w:spacing w:before="120" w:after="0"/>
        <w:jc w:val="left"/>
        <w:rPr>
          <w:rFonts w:ascii="Times New Roman" w:hAnsi="Times New Roman"/>
          <w:sz w:val="20"/>
        </w:rPr>
      </w:pPr>
      <w:r>
        <w:rPr>
          <w:rFonts w:ascii="Arial;sans-serif" w:hAnsi="Arial;sans-serif"/>
          <w:b w:val="false"/>
          <w:sz w:val="19"/>
        </w:rPr>
        <w:t>if their effect is anti-dilutive. Diluted net loss per share is the same as basic net loss per share for the three months ended March 31, 2023 and 2022</w:t>
      </w:r>
      <w:r>
        <w:rPr>
          <w:rFonts w:ascii="Times New Roman" w:hAnsi="Times New Roman"/>
          <w:sz w:val="20"/>
        </w:rPr>
        <w:t xml:space="preserve"> </w:t>
      </w:r>
      <w:r>
        <w:rPr>
          <w:rFonts w:ascii="Arial;sans-serif" w:hAnsi="Arial;sans-serif"/>
          <w:b w:val="false"/>
          <w:sz w:val="19"/>
        </w:rPr>
        <w:t>since all potential shares of common stock instruments are anti-dilutive as a result of the loss for such periods.</w:t>
      </w:r>
      <w:r>
        <w:rPr>
          <w:rFonts w:ascii="Times New Roman" w:hAnsi="Times New Roman"/>
          <w:sz w:val="20"/>
        </w:rPr>
        <w:t xml:space="preserve"> </w:t>
      </w:r>
    </w:p>
    <w:p>
      <w:pPr>
        <w:pStyle w:val="TextBody"/>
        <w:spacing w:before="120" w:after="0"/>
        <w:jc w:val="left"/>
        <w:rPr/>
      </w:pPr>
      <w:r>
        <w:rPr/>
        <w:t> </w:t>
      </w:r>
    </w:p>
    <w:p>
      <w:pPr>
        <w:pStyle w:val="TextBody"/>
        <w:spacing w:before="160" w:after="0"/>
        <w:jc w:val="left"/>
        <w:rPr>
          <w:rFonts w:ascii="Times New Roman" w:hAnsi="Times New Roman"/>
          <w:sz w:val="20"/>
        </w:rPr>
      </w:pPr>
      <w:r>
        <w:rPr>
          <w:rFonts w:ascii="Arial;sans-serif" w:hAnsi="Arial;sans-serif"/>
          <w:b/>
          <w:sz w:val="20"/>
        </w:rPr>
        <w:t>3. Fair Value of Financial Assets and Liabilities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following tables present information about the Company’s financial assets and liabilities measured at fair value on a recurring basis and indicate the level of the fair value hierarchy utilized to determine such fair values (in thousands):</w:t>
      </w:r>
      <w:r>
        <w:rPr>
          <w:rFonts w:ascii="Times New Roman" w:hAnsi="Times New Roman"/>
          <w:sz w:val="20"/>
        </w:rPr>
        <w:t xml:space="preserve"> </w:t>
      </w:r>
    </w:p>
    <w:p>
      <w:pPr>
        <w:pStyle w:val="TextBody"/>
        <w:spacing w:before="0" w:after="0"/>
        <w:jc w:val="left"/>
        <w:rPr/>
      </w:pPr>
      <w:r>
        <w:rPr/>
        <w:t> </w:t>
      </w:r>
    </w:p>
    <w:tbl>
      <w:tblPr>
        <w:tblW w:w="6073" w:type="dxa"/>
        <w:jc w:val="left"/>
        <w:tblInd w:w="0" w:type="dxa"/>
        <w:tblCellMar>
          <w:top w:w="28" w:type="dxa"/>
          <w:left w:w="28" w:type="dxa"/>
          <w:bottom w:w="28" w:type="dxa"/>
          <w:right w:w="28" w:type="dxa"/>
        </w:tblCellMar>
      </w:tblPr>
      <w:tblGrid>
        <w:gridCol w:w="1456"/>
        <w:gridCol w:w="146"/>
        <w:gridCol w:w="290"/>
        <w:gridCol w:w="475"/>
        <w:gridCol w:w="146"/>
        <w:gridCol w:w="146"/>
        <w:gridCol w:w="290"/>
        <w:gridCol w:w="475"/>
        <w:gridCol w:w="146"/>
        <w:gridCol w:w="146"/>
        <w:gridCol w:w="211"/>
        <w:gridCol w:w="586"/>
        <w:gridCol w:w="146"/>
        <w:gridCol w:w="146"/>
        <w:gridCol w:w="211"/>
        <w:gridCol w:w="586"/>
        <w:gridCol w:w="471"/>
      </w:tblGrid>
      <w:tr>
        <w:trPr/>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1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00"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FAIR VALUE MEASUREMENTS AS OF</w:t>
              <w:br/>
              <w:t>MARCH 31, 2023 USING:</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5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firstLine="280"/>
              <w:jc w:val="right"/>
              <w:rPr/>
            </w:pPr>
            <w:r>
              <w:rPr/>
              <w:t> </w:t>
            </w:r>
          </w:p>
        </w:tc>
      </w:tr>
      <w:tr>
        <w:trPr/>
        <w:tc>
          <w:tcPr>
            <w:tcW w:w="14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Warrant liability</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1,158</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14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1,158</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6073" w:type="dxa"/>
        <w:jc w:val="left"/>
        <w:tblInd w:w="0" w:type="dxa"/>
        <w:tblCellMar>
          <w:top w:w="28" w:type="dxa"/>
          <w:left w:w="28" w:type="dxa"/>
          <w:bottom w:w="28" w:type="dxa"/>
          <w:right w:w="28" w:type="dxa"/>
        </w:tblCellMar>
      </w:tblPr>
      <w:tblGrid>
        <w:gridCol w:w="1456"/>
        <w:gridCol w:w="146"/>
        <w:gridCol w:w="290"/>
        <w:gridCol w:w="475"/>
        <w:gridCol w:w="146"/>
        <w:gridCol w:w="146"/>
        <w:gridCol w:w="290"/>
        <w:gridCol w:w="475"/>
        <w:gridCol w:w="146"/>
        <w:gridCol w:w="146"/>
        <w:gridCol w:w="211"/>
        <w:gridCol w:w="586"/>
        <w:gridCol w:w="146"/>
        <w:gridCol w:w="146"/>
        <w:gridCol w:w="211"/>
        <w:gridCol w:w="586"/>
        <w:gridCol w:w="471"/>
      </w:tblGrid>
      <w:tr>
        <w:trPr/>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1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00"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FAIR VALUE MEASUREMENTS AS OF</w:t>
              <w:br/>
              <w:t>DECEMBER 31, 2022 USING:</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56"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Liabilities:</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firstLine="280"/>
              <w:jc w:val="right"/>
              <w:rPr/>
            </w:pPr>
            <w:r>
              <w:rPr/>
              <w:t> </w:t>
            </w:r>
          </w:p>
        </w:tc>
      </w:tr>
      <w:tr>
        <w:trPr/>
        <w:tc>
          <w:tcPr>
            <w:tcW w:w="14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Warrant liability</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1,882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145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4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1,882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1,882</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Arial;sans-serif" w:hAnsi="Arial;sans-serif"/>
          <w:b/>
          <w:i/>
          <w:sz w:val="20"/>
        </w:rPr>
        <w:t>Valuation of Warrant Liability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In connection with the November 13, 2018 issuance of Series B convertible preferred stock, the Company issued warrants to purchase shares of common stock of which certain warrants are shown as a liability on the balance sheet, see Note 10. The fair value of the warrant liability was determined based on significant inputs not observable in the market, which represents a Level 3 measurement within the fair value hierarchy. The fair value of the warrant liability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expected volatility of the price of the underlying common stock, and the remaining contractual term of the warrants. The most significant assumption in the model impacting the fair value of the common stock warrants is the fair value of the Company’s common stock as of each remeasurement date.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following table provides a roll forward of the aggregate fair values of the Company’s warrant liability, for which fair value is determined by Level 3</w:t>
      </w:r>
      <w:r>
        <w:rPr>
          <w:rFonts w:ascii="Times New Roman" w:hAnsi="Times New Roman"/>
          <w:sz w:val="20"/>
        </w:rPr>
        <w:t xml:space="preserve"> </w:t>
      </w:r>
      <w:r>
        <w:rPr>
          <w:rFonts w:ascii="Arial;sans-serif" w:hAnsi="Arial;sans-serif"/>
          <w:b w:val="false"/>
          <w:sz w:val="19"/>
        </w:rPr>
        <w:t>inputs (in thousands):</w:t>
      </w:r>
      <w:r>
        <w:rPr>
          <w:rFonts w:ascii="Times New Roman" w:hAnsi="Times New Roman"/>
          <w:sz w:val="20"/>
        </w:rPr>
        <w:t xml:space="preserve"> </w:t>
      </w:r>
    </w:p>
    <w:p>
      <w:pPr>
        <w:pStyle w:val="TextBody"/>
        <w:spacing w:before="0" w:after="0"/>
        <w:jc w:val="left"/>
        <w:rPr/>
      </w:pPr>
      <w:r>
        <w:rPr/>
        <w:t> </w:t>
      </w:r>
    </w:p>
    <w:tbl>
      <w:tblPr>
        <w:tblW w:w="4124" w:type="dxa"/>
        <w:jc w:val="left"/>
        <w:tblInd w:w="0" w:type="dxa"/>
        <w:tblCellMar>
          <w:top w:w="28" w:type="dxa"/>
          <w:left w:w="28" w:type="dxa"/>
          <w:bottom w:w="28" w:type="dxa"/>
          <w:right w:w="28" w:type="dxa"/>
        </w:tblCellMar>
      </w:tblPr>
      <w:tblGrid>
        <w:gridCol w:w="2806"/>
        <w:gridCol w:w="146"/>
        <w:gridCol w:w="254"/>
        <w:gridCol w:w="707"/>
        <w:gridCol w:w="211"/>
      </w:tblGrid>
      <w:tr>
        <w:trPr/>
        <w:tc>
          <w:tcPr>
            <w:tcW w:w="28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8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SERIES B</w:t>
              <w:br/>
              <w:t>WARRANT</w:t>
              <w:br/>
              <w:t>LIABILITY</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1,882</w:t>
            </w:r>
          </w:p>
        </w:tc>
        <w:tc>
          <w:tcPr>
            <w:tcW w:w="211" w:type="dxa"/>
            <w:tcBorders/>
            <w:shd w:fill="auto" w:val="clear"/>
            <w:vAlign w:val="center"/>
          </w:tcPr>
          <w:p>
            <w:pPr>
              <w:pStyle w:val="TableContents"/>
              <w:spacing w:before="0" w:after="0"/>
              <w:ind w:left="0" w:right="0" w:hanging="0"/>
              <w:jc w:val="left"/>
              <w:rPr/>
            </w:pPr>
            <w:r>
              <w:rPr/>
              <w:t> </w:t>
            </w:r>
          </w:p>
        </w:tc>
      </w:tr>
      <w:tr>
        <w:trPr/>
        <w:tc>
          <w:tcPr>
            <w:tcW w:w="28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Change in fair value</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8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1,158</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10</w:t>
      </w:r>
    </w:p>
    <w:p>
      <w:pPr>
        <w:pStyle w:val="HorizontalLine"/>
        <w:rPr/>
      </w:pPr>
      <w:r>
        <w:rPr/>
      </w:r>
    </w:p>
    <w:p>
      <w:pPr>
        <w:pStyle w:val="TextBody"/>
        <w:spacing w:before="160" w:after="0"/>
        <w:jc w:val="left"/>
        <w:rPr>
          <w:rFonts w:ascii="Times New Roman" w:hAnsi="Times New Roman"/>
          <w:sz w:val="20"/>
        </w:rPr>
      </w:pPr>
      <w:r>
        <w:rPr>
          <w:rFonts w:ascii="Arial;sans-serif" w:hAnsi="Arial;sans-serif"/>
          <w:b/>
          <w:sz w:val="20"/>
        </w:rPr>
        <w:t>4. Fixed Assets, Net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Fixed assets, net consisted of the</w:t>
      </w:r>
      <w:r>
        <w:rPr>
          <w:rFonts w:ascii="Times New Roman" w:hAnsi="Times New Roman"/>
          <w:sz w:val="20"/>
        </w:rPr>
        <w:t xml:space="preserve"> </w:t>
      </w:r>
      <w:r>
        <w:rPr>
          <w:rFonts w:ascii="Arial;sans-serif" w:hAnsi="Arial;sans-serif"/>
          <w:b w:val="false"/>
          <w:sz w:val="20"/>
        </w:rPr>
        <w:t>following (in thousands):</w:t>
      </w:r>
      <w:r>
        <w:rPr>
          <w:rFonts w:ascii="Times New Roman" w:hAnsi="Times New Roman"/>
          <w:sz w:val="20"/>
        </w:rPr>
        <w:t xml:space="preserve"> </w:t>
      </w:r>
    </w:p>
    <w:p>
      <w:pPr>
        <w:pStyle w:val="TextBody"/>
        <w:spacing w:before="0" w:after="0"/>
        <w:jc w:val="left"/>
        <w:rPr/>
      </w:pPr>
      <w:r>
        <w:rPr/>
        <w:t> </w:t>
      </w:r>
    </w:p>
    <w:tbl>
      <w:tblPr>
        <w:tblW w:w="6530" w:type="dxa"/>
        <w:jc w:val="left"/>
        <w:tblInd w:w="0" w:type="dxa"/>
        <w:tblCellMar>
          <w:top w:w="28" w:type="dxa"/>
          <w:left w:w="28" w:type="dxa"/>
          <w:bottom w:w="28" w:type="dxa"/>
          <w:right w:w="28" w:type="dxa"/>
        </w:tblCellMar>
      </w:tblPr>
      <w:tblGrid>
        <w:gridCol w:w="3286"/>
        <w:gridCol w:w="146"/>
        <w:gridCol w:w="243"/>
        <w:gridCol w:w="747"/>
        <w:gridCol w:w="166"/>
        <w:gridCol w:w="146"/>
        <w:gridCol w:w="321"/>
        <w:gridCol w:w="984"/>
        <w:gridCol w:w="491"/>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Laboratory equipment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1,134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1,055</w:t>
            </w:r>
          </w:p>
        </w:tc>
        <w:tc>
          <w:tcPr>
            <w:tcW w:w="4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Manufacturing equipment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1,201</w:t>
            </w:r>
          </w:p>
        </w:tc>
        <w:tc>
          <w:tcPr>
            <w:tcW w:w="4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159</w:t>
            </w:r>
          </w:p>
        </w:tc>
        <w:tc>
          <w:tcPr>
            <w:tcW w:w="4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Networking and computer equipment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pPr>
            <w:r>
              <w:rPr/>
              <w:t> </w:t>
            </w:r>
          </w:p>
        </w:tc>
        <w:tc>
          <w:tcPr>
            <w:tcW w:w="74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pPr>
            <w:r>
              <w:rPr/>
              <w:t> </w:t>
            </w:r>
          </w:p>
        </w:tc>
        <w:tc>
          <w:tcPr>
            <w:tcW w:w="98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81</w:t>
            </w:r>
          </w:p>
        </w:tc>
        <w:tc>
          <w:tcPr>
            <w:tcW w:w="4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3,057</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fixed assets</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7"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5,553</w:t>
            </w:r>
          </w:p>
        </w:tc>
        <w:tc>
          <w:tcPr>
            <w:tcW w:w="4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Less: 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(1,129</w:t>
            </w:r>
          </w:p>
        </w:tc>
        <w:tc>
          <w:tcPr>
            <w:tcW w:w="4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rFonts w:ascii="Arial;sans-serif" w:hAnsi="Arial;sans-serif"/>
                <w:b w:val="false"/>
                <w:sz w:val="20"/>
              </w:rPr>
            </w:pPr>
            <w:r>
              <w:rPr>
                <w:rFonts w:ascii="Arial;sans-serif" w:hAnsi="Arial;sans-serif"/>
                <w:b w:val="false"/>
                <w:sz w:val="20"/>
              </w:rPr>
              <w:t>)</w:t>
            </w:r>
          </w:p>
        </w:tc>
      </w:tr>
      <w:tr>
        <w:trPr/>
        <w:tc>
          <w:tcPr>
            <w:tcW w:w="3286" w:type="dxa"/>
            <w:tcBorders/>
            <w:shd w:fill="auto" w:val="clear"/>
            <w:vAlign w:val="center"/>
          </w:tcPr>
          <w:p>
            <w:pPr>
              <w:pStyle w:val="TableContents"/>
              <w:spacing w:before="0" w:after="0"/>
              <w:ind w:left="280" w:right="0" w:hanging="0"/>
              <w:jc w:val="left"/>
              <w:rPr>
                <w:rFonts w:ascii="Arial;sans-serif" w:hAnsi="Arial;sans-serif"/>
                <w:b/>
                <w:sz w:val="20"/>
              </w:rPr>
            </w:pPr>
            <w:r>
              <w:rPr>
                <w:rFonts w:ascii="Arial;sans-serif" w:hAnsi="Arial;sans-serif"/>
                <w:b/>
                <w:sz w:val="20"/>
              </w:rPr>
              <w:t>Fixed assets, net</w:t>
            </w:r>
          </w:p>
        </w:tc>
        <w:tc>
          <w:tcPr>
            <w:tcW w:w="146" w:type="dxa"/>
            <w:tcBorders/>
            <w:shd w:fill="auto" w:val="clear"/>
            <w:vAlign w:val="center"/>
          </w:tcPr>
          <w:p>
            <w:pPr>
              <w:pStyle w:val="TableContents"/>
              <w:spacing w:before="0" w:after="0"/>
              <w:ind w:left="0" w:right="0" w:hanging="0"/>
              <w:jc w:val="left"/>
              <w:rPr/>
            </w:pPr>
            <w:r>
              <w:rPr/>
              <w:t> </w:t>
            </w:r>
          </w:p>
        </w:tc>
        <w:tc>
          <w:tcPr>
            <w:tcW w:w="2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4,098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8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4,424</w:t>
            </w:r>
          </w:p>
        </w:tc>
        <w:tc>
          <w:tcPr>
            <w:tcW w:w="4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Arial;sans-serif" w:hAnsi="Arial;sans-serif"/>
          <w:b w:val="false"/>
          <w:sz w:val="19"/>
        </w:rPr>
        <w:t>Depreciation and amortization expense for each of the three months ended March 31, 2023 and 2022 was $0.2</w:t>
      </w:r>
      <w:r>
        <w:rPr>
          <w:rFonts w:ascii="Times New Roman" w:hAnsi="Times New Roman"/>
          <w:sz w:val="20"/>
        </w:rPr>
        <w:t xml:space="preserve"> </w:t>
      </w:r>
      <w:r>
        <w:rPr>
          <w:rFonts w:ascii="Arial;sans-serif" w:hAnsi="Arial;sans-serif"/>
          <w:b w:val="false"/>
          <w:sz w:val="19"/>
        </w:rPr>
        <w:t>million.</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sz w:val="20"/>
        </w:rPr>
        <w:t>5. Accrued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Accrued expenses consisted of the</w:t>
      </w:r>
      <w:r>
        <w:rPr>
          <w:rFonts w:ascii="Times New Roman" w:hAnsi="Times New Roman"/>
          <w:sz w:val="20"/>
        </w:rPr>
        <w:t xml:space="preserve"> </w:t>
      </w:r>
      <w:r>
        <w:rPr>
          <w:rFonts w:ascii="Arial;sans-serif" w:hAnsi="Arial;sans-serif"/>
          <w:b w:val="false"/>
          <w:sz w:val="19"/>
        </w:rPr>
        <w:t>following (in thousands):</w:t>
      </w:r>
      <w:r>
        <w:rPr>
          <w:rFonts w:ascii="Times New Roman" w:hAnsi="Times New Roman"/>
          <w:sz w:val="20"/>
        </w:rPr>
        <w:t xml:space="preserve"> </w:t>
      </w:r>
    </w:p>
    <w:p>
      <w:pPr>
        <w:pStyle w:val="TextBody"/>
        <w:spacing w:before="0" w:after="0"/>
        <w:jc w:val="left"/>
        <w:rPr/>
      </w:pPr>
      <w:r>
        <w:rPr/>
        <w:t> </w:t>
      </w:r>
    </w:p>
    <w:tbl>
      <w:tblPr>
        <w:tblW w:w="7230" w:type="dxa"/>
        <w:jc w:val="left"/>
        <w:tblInd w:w="0" w:type="dxa"/>
        <w:tblCellMar>
          <w:top w:w="28" w:type="dxa"/>
          <w:left w:w="28" w:type="dxa"/>
          <w:bottom w:w="28" w:type="dxa"/>
          <w:right w:w="28" w:type="dxa"/>
        </w:tblCellMar>
      </w:tblPr>
      <w:tblGrid>
        <w:gridCol w:w="4306"/>
        <w:gridCol w:w="146"/>
        <w:gridCol w:w="262"/>
        <w:gridCol w:w="728"/>
        <w:gridCol w:w="146"/>
        <w:gridCol w:w="146"/>
        <w:gridCol w:w="345"/>
        <w:gridCol w:w="960"/>
        <w:gridCol w:w="191"/>
      </w:tblGrid>
      <w:tr>
        <w:trPr/>
        <w:tc>
          <w:tcPr>
            <w:tcW w:w="4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3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Payroll and employee related expenses</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2,647</w:t>
            </w:r>
          </w:p>
        </w:tc>
        <w:tc>
          <w:tcPr>
            <w:tcW w:w="191" w:type="dxa"/>
            <w:tcBorders/>
            <w:shd w:fill="auto" w:val="clear"/>
            <w:vAlign w:val="center"/>
          </w:tcPr>
          <w:p>
            <w:pPr>
              <w:pStyle w:val="TableContents"/>
              <w:spacing w:before="0" w:after="0"/>
              <w:ind w:left="0" w:right="0" w:hanging="0"/>
              <w:jc w:val="left"/>
              <w:rPr/>
            </w:pPr>
            <w:r>
              <w:rPr/>
              <w:t> </w:t>
            </w:r>
          </w:p>
        </w:tc>
      </w:tr>
      <w:tr>
        <w:trPr/>
        <w:tc>
          <w:tcPr>
            <w:tcW w:w="43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Third-party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shd w:fill="auto" w:val="clear"/>
            <w:vAlign w:val="center"/>
          </w:tcPr>
          <w:p>
            <w:pPr>
              <w:pStyle w:val="TableContents"/>
              <w:spacing w:before="0" w:after="0"/>
              <w:ind w:left="0" w:right="0" w:hanging="0"/>
              <w:jc w:val="left"/>
              <w:rPr/>
            </w:pPr>
            <w:r>
              <w:rPr/>
              <w:t> </w:t>
            </w:r>
          </w:p>
        </w:tc>
        <w:tc>
          <w:tcPr>
            <w:tcW w:w="72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5" w:type="dxa"/>
            <w:tcBorders/>
            <w:shd w:fill="auto" w:val="clear"/>
            <w:vAlign w:val="center"/>
          </w:tcPr>
          <w:p>
            <w:pPr>
              <w:pStyle w:val="TableContents"/>
              <w:spacing w:before="0" w:after="0"/>
              <w:ind w:left="0" w:right="0" w:hanging="0"/>
              <w:jc w:val="left"/>
              <w:rPr/>
            </w:pPr>
            <w:r>
              <w:rPr/>
              <w:t> </w:t>
            </w:r>
          </w:p>
        </w:tc>
        <w:tc>
          <w:tcPr>
            <w:tcW w:w="96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1,486</w:t>
            </w:r>
          </w:p>
        </w:tc>
        <w:tc>
          <w:tcPr>
            <w:tcW w:w="191" w:type="dxa"/>
            <w:tcBorders/>
            <w:shd w:fill="auto" w:val="clear"/>
            <w:vAlign w:val="center"/>
          </w:tcPr>
          <w:p>
            <w:pPr>
              <w:pStyle w:val="TableContents"/>
              <w:spacing w:before="0" w:after="0"/>
              <w:ind w:left="0" w:right="0" w:hanging="0"/>
              <w:jc w:val="left"/>
              <w:rPr/>
            </w:pPr>
            <w:r>
              <w:rPr/>
              <w:t> </w:t>
            </w:r>
          </w:p>
        </w:tc>
      </w:tr>
      <w:tr>
        <w:trPr/>
        <w:tc>
          <w:tcPr>
            <w:tcW w:w="430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Professional fees and other</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590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0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2,867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9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4,723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sz w:val="20"/>
        </w:rPr>
      </w:pPr>
      <w:r>
        <w:rPr>
          <w:rFonts w:ascii="Arial;sans-serif" w:hAnsi="Arial;sans-serif"/>
          <w:b/>
          <w:sz w:val="20"/>
        </w:rPr>
        <w:t>6. Term Loan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On February 24, 2022, the Company entered into a four-year</w:t>
      </w:r>
      <w:r>
        <w:rPr>
          <w:rFonts w:ascii="Times New Roman" w:hAnsi="Times New Roman"/>
          <w:sz w:val="20"/>
        </w:rPr>
        <w:t xml:space="preserve"> </w:t>
      </w:r>
      <w:r>
        <w:rPr>
          <w:rFonts w:ascii="Arial;sans-serif" w:hAnsi="Arial;sans-serif"/>
          <w:b w:val="false"/>
          <w:sz w:val="19"/>
        </w:rPr>
        <w:t>loan and security agreement (the Loan Agreement) with Silicon Valley Bank (SVB) pursuant to which SVB has agreed to provide term loans to the Company in an aggregate principal amount of up to $25.0</w:t>
      </w:r>
      <w:r>
        <w:rPr>
          <w:rFonts w:ascii="Times New Roman" w:hAnsi="Times New Roman"/>
          <w:sz w:val="20"/>
        </w:rPr>
        <w:t xml:space="preserve"> </w:t>
      </w:r>
      <w:r>
        <w:rPr>
          <w:rFonts w:ascii="Arial;sans-serif" w:hAnsi="Arial;sans-serif"/>
          <w:b w:val="false"/>
          <w:sz w:val="19"/>
        </w:rPr>
        <w:t>million. The Company borrowed $20.0</w:t>
      </w:r>
      <w:r>
        <w:rPr>
          <w:rFonts w:ascii="Times New Roman" w:hAnsi="Times New Roman"/>
          <w:sz w:val="20"/>
        </w:rPr>
        <w:t xml:space="preserve"> </w:t>
      </w:r>
      <w:r>
        <w:rPr>
          <w:rFonts w:ascii="Arial;sans-serif" w:hAnsi="Arial;sans-serif"/>
          <w:b w:val="false"/>
          <w:sz w:val="19"/>
        </w:rPr>
        <w:t>million upon entering into the Loan Agreement. The Company could have borrowed up to an additional aggregate principal amount not to exceed $5.0</w:t>
      </w:r>
      <w:r>
        <w:rPr>
          <w:rFonts w:ascii="Times New Roman" w:hAnsi="Times New Roman"/>
          <w:sz w:val="20"/>
        </w:rPr>
        <w:t xml:space="preserve"> </w:t>
      </w:r>
      <w:r>
        <w:rPr>
          <w:rFonts w:ascii="Arial;sans-serif" w:hAnsi="Arial;sans-serif"/>
          <w:b w:val="false"/>
          <w:sz w:val="19"/>
        </w:rPr>
        <w:t>million, at any time on or prior to December 31, 2022, upon achievement of all of the following milestones, inclusively: (a) positive Phase 2 clinical activity data from the Company’s CAN-2409 NSCLC clinical trial, (b) dosing of its first patient in its Phase 3 CAN-2409 high-grade glioma clinical trial, and (c) receipt on or prior to December 31, 2022, of net cash proceeds in an amount equal to at least $75.0</w:t>
      </w:r>
      <w:r>
        <w:rPr>
          <w:rFonts w:ascii="Times New Roman" w:hAnsi="Times New Roman"/>
          <w:sz w:val="20"/>
        </w:rPr>
        <w:t xml:space="preserve"> </w:t>
      </w:r>
      <w:r>
        <w:rPr>
          <w:rFonts w:ascii="Arial;sans-serif" w:hAnsi="Arial;sans-serif"/>
          <w:b w:val="false"/>
          <w:sz w:val="19"/>
        </w:rPr>
        <w:t>million from the issuance and sale of equity securities to investors acceptable to SVB. The Company did not borrow any of the additional aggregate principal amount on or prior to December 31, 2022. The term loan is secured by substantially all of the Company’s properties, rights and assets, except for its intellectual property, which is subject to a negative pledge under the Loan Agreement.</w:t>
      </w:r>
    </w:p>
    <w:p>
      <w:pPr>
        <w:pStyle w:val="TextBody"/>
        <w:spacing w:before="120" w:after="0"/>
        <w:jc w:val="left"/>
        <w:rPr>
          <w:rFonts w:ascii="Times New Roman" w:hAnsi="Times New Roman"/>
          <w:sz w:val="20"/>
        </w:rPr>
      </w:pPr>
      <w:r>
        <w:rPr>
          <w:rFonts w:ascii="Arial;sans-serif" w:hAnsi="Arial;sans-serif"/>
          <w:b w:val="false"/>
          <w:sz w:val="19"/>
        </w:rPr>
        <w:t>The term loans bear interest at a floating rate per annum equal to the greater of (A) 5.75% and (B) the prime rate (as published in the money rates section of The Wall Street Journal) plus 2.50%. The Company is required to make monthly</w:t>
      </w:r>
      <w:r>
        <w:rPr>
          <w:rFonts w:ascii="Times New Roman" w:hAnsi="Times New Roman"/>
          <w:sz w:val="20"/>
        </w:rPr>
        <w:t xml:space="preserve"> </w:t>
      </w:r>
      <w:r>
        <w:rPr>
          <w:rFonts w:ascii="Arial;sans-serif" w:hAnsi="Arial;sans-serif"/>
          <w:b w:val="false"/>
          <w:sz w:val="19"/>
        </w:rPr>
        <w:t>interest payments, and commencing on February 1, 2024, 24</w:t>
      </w:r>
      <w:r>
        <w:rPr>
          <w:rFonts w:ascii="Times New Roman" w:hAnsi="Times New Roman"/>
          <w:sz w:val="20"/>
        </w:rPr>
        <w:t xml:space="preserve"> </w:t>
      </w:r>
      <w:r>
        <w:rPr>
          <w:rFonts w:ascii="Arial;sans-serif" w:hAnsi="Arial;sans-serif"/>
          <w:b w:val="false"/>
          <w:sz w:val="19"/>
        </w:rPr>
        <w:t>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repayment.</w:t>
      </w:r>
    </w:p>
    <w:p>
      <w:pPr>
        <w:pStyle w:val="TextBody"/>
        <w:spacing w:before="120" w:after="0"/>
        <w:jc w:val="left"/>
        <w:rPr>
          <w:rFonts w:ascii="Times New Roman" w:hAnsi="Times New Roman"/>
          <w:sz w:val="20"/>
        </w:rPr>
      </w:pPr>
      <w:r>
        <w:rPr>
          <w:rFonts w:ascii="Arial;sans-serif" w:hAnsi="Arial;sans-serif"/>
          <w:b w:val="false"/>
          <w:sz w:val="19"/>
        </w:rPr>
        <w:t>During the three months ended March 31, 2023 and 2022, the Company recorded interest expense relating to the Loan Agreement of $0.6</w:t>
      </w:r>
      <w:r>
        <w:rPr>
          <w:rFonts w:ascii="Times New Roman" w:hAnsi="Times New Roman"/>
          <w:sz w:val="20"/>
        </w:rPr>
        <w:t xml:space="preserve"> </w:t>
      </w:r>
      <w:r>
        <w:rPr>
          <w:rFonts w:ascii="Arial;sans-serif" w:hAnsi="Arial;sans-serif"/>
          <w:b w:val="false"/>
          <w:sz w:val="19"/>
        </w:rPr>
        <w:t>million</w:t>
      </w:r>
      <w:r>
        <w:rPr>
          <w:rFonts w:ascii="Times New Roman" w:hAnsi="Times New Roman"/>
          <w:sz w:val="20"/>
        </w:rPr>
        <w:t xml:space="preserve"> </w:t>
      </w:r>
      <w:r>
        <w:rPr>
          <w:rFonts w:ascii="Arial;sans-serif" w:hAnsi="Arial;sans-serif"/>
          <w:b w:val="false"/>
          <w:sz w:val="19"/>
        </w:rPr>
        <w:t>and $0.1</w:t>
      </w:r>
      <w:r>
        <w:rPr>
          <w:rFonts w:ascii="Times New Roman" w:hAnsi="Times New Roman"/>
          <w:sz w:val="20"/>
        </w:rPr>
        <w:t xml:space="preserve"> </w:t>
      </w:r>
      <w:r>
        <w:rPr>
          <w:rFonts w:ascii="Arial;sans-serif" w:hAnsi="Arial;sans-serif"/>
          <w:b w:val="false"/>
          <w:sz w:val="19"/>
        </w:rPr>
        <w:t>million, respectively. The weighted average effective interest rate as of March 31, 2023 was 10.08%.</w:t>
      </w:r>
    </w:p>
    <w:p>
      <w:pPr>
        <w:pStyle w:val="TextBody"/>
        <w:spacing w:before="120" w:after="0"/>
        <w:jc w:val="left"/>
        <w:rPr>
          <w:rFonts w:ascii="Times New Roman" w:hAnsi="Times New Roman"/>
          <w:sz w:val="20"/>
        </w:rPr>
      </w:pPr>
      <w:r>
        <w:rPr>
          <w:rFonts w:ascii="Arial;sans-serif" w:hAnsi="Arial;sans-serif"/>
          <w:b w:val="false"/>
          <w:sz w:val="19"/>
        </w:rPr>
        <w:t>The Company incurred $89,000</w:t>
      </w:r>
      <w:r>
        <w:rPr>
          <w:rFonts w:ascii="Times New Roman" w:hAnsi="Times New Roman"/>
          <w:sz w:val="20"/>
        </w:rPr>
        <w:t xml:space="preserve"> </w:t>
      </w:r>
      <w:r>
        <w:rPr>
          <w:rFonts w:ascii="Arial;sans-serif" w:hAnsi="Arial;sans-serif"/>
          <w:b w:val="false"/>
          <w:sz w:val="19"/>
        </w:rPr>
        <w:t>of debt issuance costs and will incur a $0.9</w:t>
      </w:r>
      <w:r>
        <w:rPr>
          <w:rFonts w:ascii="Times New Roman" w:hAnsi="Times New Roman"/>
          <w:sz w:val="20"/>
        </w:rPr>
        <w:t xml:space="preserve"> </w:t>
      </w:r>
      <w:r>
        <w:rPr>
          <w:rFonts w:ascii="Arial;sans-serif" w:hAnsi="Arial;sans-serif"/>
          <w:b w:val="false"/>
          <w:sz w:val="19"/>
        </w:rPr>
        <w:t>million final payment fee, which were recorded as debt discount and are being amortized over the term of the Loan Agreement. The scheduled principal payments and net carrying amount of the term loan are as follows (in thousands):</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11</w:t>
      </w:r>
    </w:p>
    <w:p>
      <w:pPr>
        <w:pStyle w:val="HorizontalLine"/>
        <w:rPr/>
      </w:pPr>
      <w:r>
        <w:rPr/>
      </w:r>
    </w:p>
    <w:tbl>
      <w:tblPr>
        <w:tblW w:w="4205" w:type="dxa"/>
        <w:jc w:val="left"/>
        <w:tblInd w:w="0" w:type="dxa"/>
        <w:tblCellMar>
          <w:top w:w="28" w:type="dxa"/>
          <w:left w:w="28" w:type="dxa"/>
          <w:bottom w:w="28" w:type="dxa"/>
          <w:right w:w="28" w:type="dxa"/>
        </w:tblCellMar>
      </w:tblPr>
      <w:tblGrid>
        <w:gridCol w:w="2686"/>
        <w:gridCol w:w="146"/>
        <w:gridCol w:w="211"/>
        <w:gridCol w:w="691"/>
        <w:gridCol w:w="471"/>
      </w:tblGrid>
      <w:tr>
        <w:trPr/>
        <w:tc>
          <w:tcPr>
            <w:tcW w:w="26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26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YEAR ENDING DECEMBER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shd w:fill="auto" w:val="clear"/>
            <w:vAlign w:val="center"/>
          </w:tcPr>
          <w:p>
            <w:pPr>
              <w:pStyle w:val="TableContents"/>
              <w:spacing w:before="0" w:after="0"/>
              <w:ind w:left="0" w:right="0" w:hanging="0"/>
              <w:jc w:val="center"/>
              <w:rPr/>
            </w:pPr>
            <w:r>
              <w:rPr/>
              <w:t> </w:t>
            </w:r>
          </w:p>
        </w:tc>
        <w:tc>
          <w:tcPr>
            <w:tcW w:w="471" w:type="dxa"/>
            <w:tcBorders/>
            <w:shd w:fill="auto" w:val="clear"/>
            <w:vAlign w:val="center"/>
          </w:tcPr>
          <w:p>
            <w:pPr>
              <w:pStyle w:val="TableContents"/>
              <w:spacing w:before="0" w:after="0"/>
              <w:ind w:left="0" w:right="0" w:hanging="0"/>
              <w:jc w:val="center"/>
              <w:rPr/>
            </w:pPr>
            <w:r>
              <w:rPr/>
              <w:t> </w:t>
            </w:r>
          </w:p>
        </w:tc>
      </w:tr>
      <w:tr>
        <w:trPr/>
        <w:tc>
          <w:tcPr>
            <w:tcW w:w="26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2023 (remaining nine months)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pPr>
            <w:r>
              <w:rPr/>
              <w:t>—</w:t>
            </w:r>
          </w:p>
        </w:tc>
        <w:tc>
          <w:tcPr>
            <w:tcW w:w="47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8,870</w:t>
            </w:r>
          </w:p>
        </w:tc>
        <w:tc>
          <w:tcPr>
            <w:tcW w:w="47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10,232</w:t>
            </w:r>
          </w:p>
        </w:tc>
        <w:tc>
          <w:tcPr>
            <w:tcW w:w="47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898</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2686"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Total principal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20,000</w:t>
            </w:r>
          </w:p>
        </w:tc>
        <w:tc>
          <w:tcPr>
            <w:tcW w:w="47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Final payment fee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900</w:t>
            </w:r>
          </w:p>
        </w:tc>
        <w:tc>
          <w:tcPr>
            <w:tcW w:w="47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Less: debt discount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(989</w:t>
            </w:r>
          </w:p>
        </w:tc>
        <w:tc>
          <w:tcPr>
            <w:tcW w:w="47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6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Accretion of debt discount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365</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carrying amount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20,276</w:t>
            </w:r>
          </w:p>
        </w:tc>
        <w:tc>
          <w:tcPr>
            <w:tcW w:w="471" w:type="dxa"/>
            <w:tcBorders/>
            <w:shd w:fill="auto" w:val="clear"/>
            <w:vAlign w:val="center"/>
          </w:tcPr>
          <w:p>
            <w:pPr>
              <w:pStyle w:val="TableContents"/>
              <w:spacing w:before="0" w:after="0"/>
              <w:ind w:left="0" w:right="0" w:hanging="0"/>
              <w:jc w:val="left"/>
              <w:rPr/>
            </w:pPr>
            <w:r>
              <w:rPr/>
              <w:t> </w:t>
            </w:r>
          </w:p>
        </w:tc>
      </w:tr>
      <w:tr>
        <w:trPr/>
        <w:tc>
          <w:tcPr>
            <w:tcW w:w="26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Less current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(1,253</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6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Long-term portion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19,023</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Arial;sans-serif" w:hAnsi="Arial;sans-serif"/>
          <w:b w:val="false"/>
          <w:sz w:val="19"/>
        </w:rPr>
      </w:pPr>
      <w:r>
        <w:rPr>
          <w:rFonts w:ascii="Arial;sans-serif" w:hAnsi="Arial;sans-serif"/>
          <w:b w:val="false"/>
          <w:sz w:val="19"/>
        </w:rPr>
        <w:t>The carrying amount of the Company's term loan approximates fair value.</w:t>
      </w:r>
    </w:p>
    <w:p>
      <w:pPr>
        <w:pStyle w:val="TextBody"/>
        <w:spacing w:before="160" w:after="0"/>
        <w:jc w:val="left"/>
        <w:rPr>
          <w:rFonts w:ascii="Times New Roman" w:hAnsi="Times New Roman"/>
          <w:sz w:val="20"/>
        </w:rPr>
      </w:pPr>
      <w:r>
        <w:rPr>
          <w:rFonts w:ascii="Arial;sans-serif" w:hAnsi="Arial;sans-serif"/>
          <w:b/>
          <w:sz w:val="20"/>
        </w:rPr>
        <w:t>7. Other Long-Term Debt</w:t>
      </w:r>
      <w:r>
        <w:rPr>
          <w:rFonts w:ascii="Times New Roman" w:hAnsi="Times New Roman"/>
          <w:sz w:val="20"/>
        </w:rPr>
        <w:t xml:space="preserve"> </w:t>
      </w:r>
    </w:p>
    <w:p>
      <w:pPr>
        <w:pStyle w:val="TextBody"/>
        <w:spacing w:before="160" w:after="0"/>
        <w:jc w:val="left"/>
        <w:rPr>
          <w:rFonts w:ascii="Arial;sans-serif" w:hAnsi="Arial;sans-serif"/>
          <w:b/>
          <w:i/>
          <w:sz w:val="20"/>
        </w:rPr>
      </w:pPr>
      <w:r>
        <w:rPr>
          <w:rFonts w:ascii="Arial;sans-serif" w:hAnsi="Arial;sans-serif"/>
          <w:b/>
          <w:i/>
          <w:sz w:val="20"/>
        </w:rPr>
        <w:t>Periphagen Note</w:t>
      </w:r>
    </w:p>
    <w:p>
      <w:pPr>
        <w:pStyle w:val="TextBody"/>
        <w:spacing w:before="120" w:after="0"/>
        <w:jc w:val="left"/>
        <w:rPr>
          <w:rFonts w:ascii="Times New Roman" w:hAnsi="Times New Roman"/>
          <w:sz w:val="20"/>
        </w:rPr>
      </w:pPr>
      <w:r>
        <w:rPr>
          <w:rFonts w:ascii="Arial;sans-serif" w:hAnsi="Arial;sans-serif"/>
          <w:b w:val="false"/>
          <w:sz w:val="20"/>
        </w:rPr>
        <w:t xml:space="preserve">On </w:t>
      </w:r>
      <w:r>
        <w:rPr>
          <w:rFonts w:ascii="Arial;sans-serif" w:hAnsi="Arial;sans-serif"/>
          <w:b w:val="false"/>
          <w:sz w:val="19"/>
        </w:rPr>
        <w:t>December 9, 2019, the Company entered into a series of asset purchase agreements with Periphagen, Inc., a biopharmaceutical company focused on the development of gene therapy vectors. Under the terms of the asset purchase agreements, the Company assumed a $1.0</w:t>
      </w:r>
      <w:r>
        <w:rPr>
          <w:rFonts w:ascii="Times New Roman" w:hAnsi="Times New Roman"/>
          <w:sz w:val="20"/>
        </w:rPr>
        <w:t xml:space="preserve"> </w:t>
      </w:r>
      <w:r>
        <w:rPr>
          <w:rFonts w:ascii="Arial;sans-serif" w:hAnsi="Arial;sans-serif"/>
          <w:b w:val="false"/>
          <w:sz w:val="19"/>
        </w:rPr>
        <w:t>million promissory note bearing a contractual interest rate of 2% compounded annually, with the outstanding balance and accrued interest due upon maturity in November 2027, with no interim installments due. The estimated market rate for the Company for an unsecured loan with a maturity in November 2027 was determined to be 15.83%. Although the Company does not have a public credit rating, management estimates a CCC credit rating based on the Company’s financial position and stage of development. Using the commensurate rate for a CCC rated company and based on the amount due at maturity, the present value of the future cash outflow was determined to be $0.4</w:t>
      </w:r>
      <w:r>
        <w:rPr>
          <w:rFonts w:ascii="Times New Roman" w:hAnsi="Times New Roman"/>
          <w:sz w:val="20"/>
        </w:rPr>
        <w:t xml:space="preserve"> </w:t>
      </w:r>
      <w:r>
        <w:rPr>
          <w:rFonts w:ascii="Arial;sans-serif" w:hAnsi="Arial;sans-serif"/>
          <w:b w:val="false"/>
          <w:sz w:val="19"/>
        </w:rPr>
        <w:t>million at the transaction date. As of March 31, 2023, the carrying value of the note is $0.7</w:t>
      </w:r>
      <w:r>
        <w:rPr>
          <w:rFonts w:ascii="Times New Roman" w:hAnsi="Times New Roman"/>
          <w:sz w:val="20"/>
        </w:rPr>
        <w:t xml:space="preserve"> </w:t>
      </w:r>
      <w:r>
        <w:rPr>
          <w:rFonts w:ascii="Arial;sans-serif" w:hAnsi="Arial;sans-serif"/>
          <w:b w:val="false"/>
          <w:sz w:val="19"/>
        </w:rPr>
        <w:t>million.</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12</w:t>
      </w:r>
    </w:p>
    <w:p>
      <w:pPr>
        <w:pStyle w:val="HorizontalLine"/>
        <w:rPr/>
      </w:pPr>
      <w:r>
        <w:rPr/>
      </w:r>
    </w:p>
    <w:p>
      <w:pPr>
        <w:pStyle w:val="TextBody"/>
        <w:spacing w:before="160" w:after="0"/>
        <w:jc w:val="left"/>
        <w:rPr>
          <w:rFonts w:ascii="Arial;sans-serif" w:hAnsi="Arial;sans-serif"/>
          <w:b/>
          <w:sz w:val="20"/>
        </w:rPr>
      </w:pPr>
      <w:r>
        <w:rPr>
          <w:rFonts w:ascii="Arial;sans-serif" w:hAnsi="Arial;sans-serif"/>
          <w:b/>
          <w:sz w:val="20"/>
        </w:rPr>
        <w:t>8. Lease</w:t>
      </w:r>
    </w:p>
    <w:p>
      <w:pPr>
        <w:pStyle w:val="TextBody"/>
        <w:spacing w:before="120" w:after="0"/>
        <w:jc w:val="left"/>
        <w:rPr>
          <w:rFonts w:ascii="Times New Roman" w:hAnsi="Times New Roman"/>
          <w:sz w:val="20"/>
        </w:rPr>
      </w:pPr>
      <w:r>
        <w:rPr>
          <w:rFonts w:ascii="Arial;sans-serif" w:hAnsi="Arial;sans-serif"/>
          <w:b w:val="false"/>
          <w:sz w:val="19"/>
        </w:rPr>
        <w:t>On February 4, 2019, the Company signed a lease agreement for its new corporate headquarters at 117 Kendrick Street in Needham, Massachusetts. The facility consists of a 15,197</w:t>
      </w:r>
      <w:r>
        <w:rPr>
          <w:rFonts w:ascii="Times New Roman" w:hAnsi="Times New Roman"/>
          <w:sz w:val="20"/>
        </w:rPr>
        <w:t xml:space="preserve"> </w:t>
      </w:r>
      <w:r>
        <w:rPr>
          <w:rFonts w:ascii="Arial;sans-serif" w:hAnsi="Arial;sans-serif"/>
          <w:b w:val="false"/>
          <w:sz w:val="19"/>
        </w:rPr>
        <w:t>square foot property which houses the corporate, clinical, laboratory and manufacturing operations for the Company. The lease term ends on August 31, 2026. Prior to occupying the new space, the Company had construction performed to modify the space to meet its needs. The Company received $0.8</w:t>
      </w:r>
      <w:r>
        <w:rPr>
          <w:rFonts w:ascii="Times New Roman" w:hAnsi="Times New Roman"/>
          <w:sz w:val="20"/>
        </w:rPr>
        <w:t xml:space="preserve"> </w:t>
      </w:r>
      <w:r>
        <w:rPr>
          <w:rFonts w:ascii="Arial;sans-serif" w:hAnsi="Arial;sans-serif"/>
          <w:b w:val="false"/>
          <w:sz w:val="19"/>
        </w:rPr>
        <w:t>million as a reimbursement by our landlord for a tenant improvement. The $0.8</w:t>
      </w:r>
      <w:r>
        <w:rPr>
          <w:rFonts w:ascii="Times New Roman" w:hAnsi="Times New Roman"/>
          <w:sz w:val="20"/>
        </w:rPr>
        <w:t xml:space="preserve"> </w:t>
      </w:r>
      <w:r>
        <w:rPr>
          <w:rFonts w:ascii="Arial;sans-serif" w:hAnsi="Arial;sans-serif"/>
          <w:b w:val="false"/>
          <w:sz w:val="19"/>
        </w:rPr>
        <w:t>million lease incentive was recorded as reduction to the lease right of use asset recorded to the Company's condensed consolidated balance sheet upon adoption of ASC 842 on January 1, 2022.</w:t>
      </w:r>
    </w:p>
    <w:p>
      <w:pPr>
        <w:pStyle w:val="TextBody"/>
        <w:spacing w:before="120" w:after="0"/>
        <w:jc w:val="left"/>
        <w:rPr>
          <w:rFonts w:ascii="Times New Roman" w:hAnsi="Times New Roman"/>
          <w:sz w:val="20"/>
        </w:rPr>
      </w:pPr>
      <w:r>
        <w:rPr>
          <w:rFonts w:ascii="Arial;sans-serif" w:hAnsi="Arial;sans-serif"/>
          <w:b w:val="false"/>
          <w:sz w:val="19"/>
        </w:rPr>
        <w:t>For each of the three months ended March 31, 2023 and 2022, the Company has recorded $90,000</w:t>
      </w:r>
      <w:r>
        <w:rPr>
          <w:rFonts w:ascii="Times New Roman" w:hAnsi="Times New Roman"/>
          <w:sz w:val="20"/>
        </w:rPr>
        <w:t xml:space="preserve"> </w:t>
      </w:r>
      <w:r>
        <w:rPr>
          <w:rFonts w:ascii="Arial;sans-serif" w:hAnsi="Arial;sans-serif"/>
          <w:b w:val="false"/>
          <w:sz w:val="19"/>
        </w:rPr>
        <w:t>of operating lease cost and for the three months ended March 31, 2023 and 2022, the Company has recorded $49,000</w:t>
      </w:r>
      <w:r>
        <w:rPr>
          <w:rFonts w:ascii="Times New Roman" w:hAnsi="Times New Roman"/>
          <w:sz w:val="20"/>
        </w:rPr>
        <w:t xml:space="preserve"> </w:t>
      </w:r>
      <w:r>
        <w:rPr>
          <w:rFonts w:ascii="Arial;sans-serif" w:hAnsi="Arial;sans-serif"/>
          <w:b w:val="false"/>
          <w:sz w:val="19"/>
        </w:rPr>
        <w:t>and $47,000, respectively of variable lease cost. The total lease expense for each of the three months ended March 31, 2023 and 2022 was $0.1</w:t>
      </w:r>
      <w:r>
        <w:rPr>
          <w:rFonts w:ascii="Times New Roman" w:hAnsi="Times New Roman"/>
          <w:sz w:val="20"/>
        </w:rPr>
        <w:t xml:space="preserve"> </w:t>
      </w:r>
      <w:r>
        <w:rPr>
          <w:rFonts w:ascii="Arial;sans-serif" w:hAnsi="Arial;sans-serif"/>
          <w:b w:val="false"/>
          <w:sz w:val="19"/>
        </w:rPr>
        <w:t>million.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Cash paid for amounts included in the lease liability for each of the three months ended March 31, 2023 and 2022 was $0.1</w:t>
      </w:r>
      <w:r>
        <w:rPr>
          <w:rFonts w:ascii="Times New Roman" w:hAnsi="Times New Roman"/>
          <w:sz w:val="20"/>
        </w:rPr>
        <w:t xml:space="preserve"> </w:t>
      </w:r>
      <w:r>
        <w:rPr>
          <w:rFonts w:ascii="Arial;sans-serif" w:hAnsi="Arial;sans-serif"/>
          <w:b w:val="false"/>
          <w:sz w:val="19"/>
        </w:rPr>
        <w:t>million.</w:t>
      </w:r>
    </w:p>
    <w:p>
      <w:pPr>
        <w:pStyle w:val="TextBody"/>
        <w:spacing w:before="0" w:after="0"/>
        <w:jc w:val="left"/>
        <w:rPr/>
      </w:pPr>
      <w:r>
        <w:rPr/>
        <w:t> </w:t>
      </w:r>
    </w:p>
    <w:tbl>
      <w:tblPr>
        <w:tblW w:w="6792" w:type="dxa"/>
        <w:jc w:val="left"/>
        <w:tblInd w:w="0" w:type="dxa"/>
        <w:tblCellMar>
          <w:top w:w="28" w:type="dxa"/>
          <w:left w:w="28" w:type="dxa"/>
          <w:bottom w:w="28" w:type="dxa"/>
          <w:right w:w="28" w:type="dxa"/>
        </w:tblCellMar>
      </w:tblPr>
      <w:tblGrid>
        <w:gridCol w:w="4276"/>
        <w:gridCol w:w="146"/>
        <w:gridCol w:w="237"/>
        <w:gridCol w:w="540"/>
        <w:gridCol w:w="321"/>
        <w:gridCol w:w="164"/>
        <w:gridCol w:w="237"/>
        <w:gridCol w:w="540"/>
        <w:gridCol w:w="331"/>
      </w:tblGrid>
      <w:tr>
        <w:trPr/>
        <w:tc>
          <w:tcPr>
            <w:tcW w:w="4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42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Other Information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3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4" w:type="dxa"/>
            <w:tcBorders/>
            <w:shd w:fill="auto" w:val="clear"/>
            <w:vAlign w:val="center"/>
          </w:tcPr>
          <w:p>
            <w:pPr>
              <w:pStyle w:val="TableContents"/>
              <w:spacing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76"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Operating cash flows used for operating leases</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540"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144</w:t>
            </w:r>
          </w:p>
        </w:tc>
        <w:tc>
          <w:tcPr>
            <w:tcW w:w="321"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540"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141</w:t>
            </w:r>
          </w:p>
        </w:tc>
        <w:tc>
          <w:tcPr>
            <w:tcW w:w="33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pPr>
            <w:r>
              <w:rPr/>
              <w:t> </w:t>
            </w:r>
            <w:r>
              <w:rPr>
                <w:rFonts w:ascii="Arial;sans-serif" w:hAnsi="Arial;sans-serif"/>
                <w:b w:val="false"/>
                <w:sz w:val="19"/>
              </w:rPr>
              <w:t>Weighted-average remaining lease term (years)</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3.4</w:t>
            </w:r>
          </w:p>
        </w:tc>
        <w:tc>
          <w:tcPr>
            <w:tcW w:w="321" w:type="dxa"/>
            <w:tcBorders/>
            <w:shd w:fill="auto" w:val="clear"/>
            <w:vAlign w:val="center"/>
          </w:tcPr>
          <w:p>
            <w:pPr>
              <w:pStyle w:val="TableContents"/>
              <w:spacing w:before="0" w:after="0"/>
              <w:ind w:left="0" w:right="0" w:hanging="0"/>
              <w:jc w:val="left"/>
              <w:rPr/>
            </w:pPr>
            <w:r>
              <w:rPr/>
              <w:t> </w:t>
            </w:r>
          </w:p>
        </w:tc>
        <w:tc>
          <w:tcPr>
            <w:tcW w:w="164"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4.4</w:t>
            </w:r>
          </w:p>
        </w:tc>
        <w:tc>
          <w:tcPr>
            <w:tcW w:w="331" w:type="dxa"/>
            <w:tcBorders/>
            <w:shd w:fill="auto" w:val="clear"/>
            <w:vAlign w:val="center"/>
          </w:tcPr>
          <w:p>
            <w:pPr>
              <w:pStyle w:val="TableContents"/>
              <w:spacing w:before="0" w:after="0"/>
              <w:ind w:left="0" w:right="0" w:hanging="0"/>
              <w:jc w:val="left"/>
              <w:rPr/>
            </w:pPr>
            <w:r>
              <w:rPr/>
              <w:t> </w:t>
            </w:r>
          </w:p>
        </w:tc>
      </w:tr>
      <w:tr>
        <w:trPr/>
        <w:tc>
          <w:tcPr>
            <w:tcW w:w="4276" w:type="dxa"/>
            <w:tcBorders/>
            <w:shd w:fill="auto" w:val="clear"/>
            <w:vAlign w:val="center"/>
          </w:tcPr>
          <w:p>
            <w:pPr>
              <w:pStyle w:val="TableContents"/>
              <w:spacing w:before="0" w:after="0"/>
              <w:ind w:left="0" w:right="0" w:hanging="0"/>
              <w:jc w:val="left"/>
              <w:rPr/>
            </w:pPr>
            <w:r>
              <w:rPr/>
              <w:t> </w:t>
            </w:r>
            <w:r>
              <w:rPr>
                <w:rFonts w:ascii="Arial;sans-serif" w:hAnsi="Arial;sans-serif"/>
                <w:b w:val="false"/>
                <w:sz w:val="19"/>
              </w:rPr>
              <w:t>Weighted-average incremental borrowing rate</w:t>
            </w:r>
          </w:p>
        </w:tc>
        <w:tc>
          <w:tcPr>
            <w:tcW w:w="146"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7.02</w:t>
            </w:r>
          </w:p>
        </w:tc>
        <w:tc>
          <w:tcPr>
            <w:tcW w:w="32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64" w:type="dxa"/>
            <w:tcBorders/>
            <w:shd w:fill="auto" w:val="clear"/>
            <w:vAlign w:val="center"/>
          </w:tcPr>
          <w:p>
            <w:pPr>
              <w:pStyle w:val="TableContents"/>
              <w:spacing w:before="0" w:after="0"/>
              <w:ind w:left="0" w:right="0" w:hanging="0"/>
              <w:jc w:val="left"/>
              <w:rPr/>
            </w:pPr>
            <w:r>
              <w:rPr/>
              <w:t> </w:t>
            </w:r>
          </w:p>
        </w:tc>
        <w:tc>
          <w:tcPr>
            <w:tcW w:w="237" w:type="dxa"/>
            <w:tcBorders/>
            <w:shd w:fill="auto" w:val="clear"/>
            <w:vAlign w:val="center"/>
          </w:tcPr>
          <w:p>
            <w:pPr>
              <w:pStyle w:val="TableContents"/>
              <w:spacing w:before="0" w:after="0"/>
              <w:ind w:left="0" w:right="0" w:hanging="0"/>
              <w:jc w:val="left"/>
              <w:rPr/>
            </w:pPr>
            <w:r>
              <w:rPr/>
              <w:t> </w:t>
            </w:r>
          </w:p>
        </w:tc>
        <w:tc>
          <w:tcPr>
            <w:tcW w:w="540"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7.02</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r>
    </w:tbl>
    <w:p>
      <w:pPr>
        <w:pStyle w:val="TextBody"/>
        <w:spacing w:before="120" w:after="120"/>
        <w:jc w:val="left"/>
        <w:rPr>
          <w:rFonts w:ascii="Times New Roman" w:hAnsi="Times New Roman"/>
          <w:sz w:val="20"/>
        </w:rPr>
      </w:pPr>
      <w:r>
        <w:rPr>
          <w:rFonts w:ascii="Arial;sans-serif" w:hAnsi="Arial;sans-serif"/>
          <w:b w:val="false"/>
          <w:sz w:val="19"/>
        </w:rPr>
        <w:t>The future lease payments under non-cancelable leases at March 31, 2023, are as follows (in thousands):</w:t>
      </w:r>
      <w:r>
        <w:rPr>
          <w:rFonts w:ascii="Times New Roman" w:hAnsi="Times New Roman"/>
          <w:sz w:val="20"/>
        </w:rPr>
        <w:t xml:space="preserve"> </w:t>
      </w:r>
    </w:p>
    <w:tbl>
      <w:tblPr>
        <w:tblW w:w="4065" w:type="dxa"/>
        <w:jc w:val="left"/>
        <w:tblInd w:w="0" w:type="dxa"/>
        <w:tblCellMar>
          <w:top w:w="28" w:type="dxa"/>
          <w:left w:w="28" w:type="dxa"/>
          <w:bottom w:w="28" w:type="dxa"/>
          <w:right w:w="28" w:type="dxa"/>
        </w:tblCellMar>
      </w:tblPr>
      <w:tblGrid>
        <w:gridCol w:w="2911"/>
        <w:gridCol w:w="146"/>
        <w:gridCol w:w="211"/>
        <w:gridCol w:w="586"/>
        <w:gridCol w:w="211"/>
      </w:tblGrid>
      <w:tr>
        <w:trPr/>
        <w:tc>
          <w:tcPr>
            <w:tcW w:w="2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spacing w:before="0" w:after="0"/>
              <w:ind w:left="0" w:right="0" w:hanging="0"/>
              <w:jc w:val="left"/>
              <w:rPr/>
            </w:pPr>
            <w:r>
              <w:rPr/>
              <w:t> </w:t>
            </w:r>
            <w:r>
              <w:rPr>
                <w:rFonts w:ascii="Arial;sans-serif" w:hAnsi="Arial;sans-serif"/>
                <w:b w:val="false"/>
                <w:sz w:val="19"/>
              </w:rPr>
              <w:t>2023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438</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pPr>
            <w:r>
              <w:rPr/>
              <w:t> </w:t>
            </w:r>
            <w:r>
              <w:rPr>
                <w:rFonts w:ascii="Arial;sans-serif" w:hAnsi="Arial;sans-serif"/>
                <w:b w:val="false"/>
                <w:sz w:val="19"/>
              </w:rPr>
              <w:t>2024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598</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pPr>
            <w:r>
              <w:rPr/>
              <w:t> </w:t>
            </w:r>
            <w:r>
              <w:rPr>
                <w:rFonts w:ascii="Arial;sans-serif" w:hAnsi="Arial;sans-serif"/>
                <w:b w:val="false"/>
                <w:sz w:val="19"/>
              </w:rPr>
              <w:t>2025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613</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pPr>
            <w:r>
              <w:rPr/>
              <w:t> </w:t>
            </w:r>
            <w:r>
              <w:rPr>
                <w:rFonts w:ascii="Arial;sans-serif" w:hAnsi="Arial;sans-serif"/>
                <w:b w:val="false"/>
                <w:sz w:val="19"/>
              </w:rPr>
              <w:t>2026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415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pPr>
            <w:r>
              <w:rPr/>
              <w:t>      </w:t>
            </w:r>
            <w:r>
              <w:rPr>
                <w:rFonts w:ascii="Arial;sans-serif" w:hAnsi="Arial;sans-serif"/>
                <w:b w:val="false"/>
                <w:sz w:val="19"/>
              </w:rPr>
              <w:t>Total future lease payments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2,064</w:t>
            </w:r>
          </w:p>
        </w:tc>
        <w:tc>
          <w:tcPr>
            <w:tcW w:w="211" w:type="dxa"/>
            <w:tcBorders/>
            <w:shd w:fill="auto" w:val="clear"/>
            <w:vAlign w:val="center"/>
          </w:tcPr>
          <w:p>
            <w:pPr>
              <w:pStyle w:val="TableContents"/>
              <w:spacing w:before="0" w:after="0"/>
              <w:ind w:left="0" w:right="0" w:hanging="0"/>
              <w:jc w:val="left"/>
              <w:rPr/>
            </w:pPr>
            <w:r>
              <w:rPr/>
              <w:t> </w:t>
            </w:r>
          </w:p>
        </w:tc>
      </w:tr>
      <w:tr>
        <w:trPr/>
        <w:tc>
          <w:tcPr>
            <w:tcW w:w="291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Less: imputed interest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(225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r>
      <w:tr>
        <w:trPr/>
        <w:tc>
          <w:tcPr>
            <w:tcW w:w="291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Total lease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1,839</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Times New Roman" w:hAnsi="Times New Roman"/>
          <w:sz w:val="20"/>
        </w:rPr>
      </w:pPr>
      <w:r>
        <w:rPr>
          <w:rFonts w:ascii="Arial;sans-serif" w:hAnsi="Arial;sans-serif"/>
          <w:b/>
          <w:sz w:val="20"/>
        </w:rPr>
        <w:t>9. Common Stock and Preferred Stock</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Preferred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has authorized 10,000,000</w:t>
      </w:r>
      <w:r>
        <w:rPr>
          <w:rFonts w:ascii="Times New Roman" w:hAnsi="Times New Roman"/>
          <w:sz w:val="20"/>
        </w:rPr>
        <w:t xml:space="preserve"> </w:t>
      </w:r>
      <w:r>
        <w:rPr>
          <w:rFonts w:ascii="Arial;sans-serif" w:hAnsi="Arial;sans-serif"/>
          <w:b w:val="false"/>
          <w:sz w:val="19"/>
        </w:rPr>
        <w:t>shares of $0.01</w:t>
      </w:r>
      <w:r>
        <w:rPr>
          <w:rFonts w:ascii="Times New Roman" w:hAnsi="Times New Roman"/>
          <w:sz w:val="20"/>
        </w:rPr>
        <w:t xml:space="preserve"> </w:t>
      </w:r>
      <w:r>
        <w:rPr>
          <w:rFonts w:ascii="Arial;sans-serif" w:hAnsi="Arial;sans-serif"/>
          <w:b w:val="false"/>
          <w:sz w:val="19"/>
        </w:rPr>
        <w:t>par value preferred stock at</w:t>
      </w:r>
      <w:r>
        <w:rPr>
          <w:rFonts w:ascii="Times New Roman" w:hAnsi="Times New Roman"/>
          <w:sz w:val="20"/>
        </w:rPr>
        <w:t xml:space="preserve"> </w:t>
      </w:r>
      <w:r>
        <w:rPr>
          <w:rFonts w:ascii="Arial;sans-serif" w:hAnsi="Arial;sans-serif"/>
          <w:b w:val="false"/>
          <w:sz w:val="19"/>
        </w:rPr>
        <w:t>March 31, 2023 and December 31, 2022.</w:t>
      </w:r>
    </w:p>
    <w:p>
      <w:pPr>
        <w:pStyle w:val="TextBody"/>
        <w:spacing w:before="160" w:after="0"/>
        <w:jc w:val="left"/>
        <w:rPr>
          <w:rFonts w:ascii="Times New Roman" w:hAnsi="Times New Roman"/>
          <w:sz w:val="20"/>
        </w:rPr>
      </w:pPr>
      <w:r>
        <w:rPr>
          <w:rFonts w:ascii="Arial;sans-serif" w:hAnsi="Arial;sans-serif"/>
          <w:b/>
          <w:i/>
          <w:sz w:val="20"/>
        </w:rPr>
        <w:t>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has authorized 150,000,000</w:t>
      </w:r>
      <w:r>
        <w:rPr>
          <w:rFonts w:ascii="Times New Roman" w:hAnsi="Times New Roman"/>
          <w:sz w:val="20"/>
        </w:rPr>
        <w:t xml:space="preserve"> </w:t>
      </w:r>
      <w:r>
        <w:rPr>
          <w:rFonts w:ascii="Arial;sans-serif" w:hAnsi="Arial;sans-serif"/>
          <w:b w:val="false"/>
          <w:sz w:val="19"/>
        </w:rPr>
        <w:t>shares of $0.01</w:t>
      </w:r>
      <w:r>
        <w:rPr>
          <w:rFonts w:ascii="Times New Roman" w:hAnsi="Times New Roman"/>
          <w:sz w:val="20"/>
        </w:rPr>
        <w:t xml:space="preserve"> </w:t>
      </w:r>
      <w:r>
        <w:rPr>
          <w:rFonts w:ascii="Arial;sans-serif" w:hAnsi="Arial;sans-serif"/>
          <w:b w:val="false"/>
          <w:sz w:val="19"/>
        </w:rPr>
        <w:t>par value common stock at March 31, 2023 and December 31, 2022 of which 29,042,418</w:t>
      </w:r>
      <w:r>
        <w:rPr>
          <w:rFonts w:ascii="Times New Roman" w:hAnsi="Times New Roman"/>
          <w:sz w:val="20"/>
        </w:rPr>
        <w:t xml:space="preserve"> </w:t>
      </w:r>
      <w:r>
        <w:rPr>
          <w:rFonts w:ascii="Arial;sans-serif" w:hAnsi="Arial;sans-serif"/>
          <w:b w:val="false"/>
          <w:sz w:val="19"/>
        </w:rPr>
        <w:t>were issued as of March 31, 2023 and December 31, 2022. The Company had 28,919,810</w:t>
      </w:r>
      <w:r>
        <w:rPr>
          <w:rFonts w:ascii="Times New Roman" w:hAnsi="Times New Roman"/>
          <w:sz w:val="20"/>
        </w:rPr>
        <w:t xml:space="preserve"> </w:t>
      </w:r>
      <w:r>
        <w:rPr>
          <w:rFonts w:ascii="Arial;sans-serif" w:hAnsi="Arial;sans-serif"/>
          <w:b w:val="false"/>
          <w:sz w:val="19"/>
        </w:rPr>
        <w:t>outstanding shares as of March 31, 2023 and December 31, 2022. Common shares are voting and dividends may be paid when, as and if declared by the board of directors.</w:t>
      </w:r>
      <w:r>
        <w:rPr>
          <w:rFonts w:ascii="Times New Roman" w:hAnsi="Times New Roman"/>
          <w:sz w:val="20"/>
        </w:rPr>
        <w:t xml:space="preserve"> </w:t>
      </w:r>
    </w:p>
    <w:p>
      <w:pPr>
        <w:pStyle w:val="TextBody"/>
        <w:spacing w:before="160" w:after="0"/>
        <w:jc w:val="left"/>
        <w:rPr>
          <w:rFonts w:ascii="Arial;sans-serif" w:hAnsi="Arial;sans-serif"/>
          <w:b/>
          <w:i/>
          <w:sz w:val="20"/>
        </w:rPr>
      </w:pPr>
      <w:r>
        <w:rPr>
          <w:rFonts w:ascii="Arial;sans-serif" w:hAnsi="Arial;sans-serif"/>
          <w:b/>
          <w:i/>
          <w:sz w:val="20"/>
        </w:rPr>
        <w:t>Common Stock Reserved</w:t>
      </w:r>
    </w:p>
    <w:p>
      <w:pPr>
        <w:pStyle w:val="TextBody"/>
        <w:spacing w:before="120" w:after="0"/>
        <w:jc w:val="left"/>
        <w:rPr>
          <w:rFonts w:ascii="Arial;sans-serif" w:hAnsi="Arial;sans-serif"/>
          <w:b w:val="false"/>
          <w:sz w:val="19"/>
        </w:rPr>
      </w:pPr>
      <w:r>
        <w:rPr>
          <w:rFonts w:ascii="Arial;sans-serif" w:hAnsi="Arial;sans-serif"/>
          <w:b w:val="false"/>
          <w:sz w:val="19"/>
        </w:rPr>
        <w:t>The Company has reserved the following shares of common stock for future issuance as of;</w:t>
      </w:r>
    </w:p>
    <w:p>
      <w:pPr>
        <w:pStyle w:val="TextBody"/>
        <w:spacing w:before="0" w:after="0"/>
        <w:jc w:val="left"/>
        <w:rPr/>
      </w:pPr>
      <w:r>
        <w:rPr/>
        <w:t> </w:t>
      </w:r>
    </w:p>
    <w:tbl>
      <w:tblPr>
        <w:tblW w:w="8127" w:type="dxa"/>
        <w:jc w:val="left"/>
        <w:tblInd w:w="0" w:type="dxa"/>
        <w:tblCellMar>
          <w:top w:w="28" w:type="dxa"/>
          <w:left w:w="28" w:type="dxa"/>
          <w:bottom w:w="28" w:type="dxa"/>
          <w:right w:w="28" w:type="dxa"/>
        </w:tblCellMar>
      </w:tblPr>
      <w:tblGrid>
        <w:gridCol w:w="4981"/>
        <w:gridCol w:w="146"/>
        <w:gridCol w:w="146"/>
        <w:gridCol w:w="1066"/>
        <w:gridCol w:w="146"/>
        <w:gridCol w:w="146"/>
        <w:gridCol w:w="157"/>
        <w:gridCol w:w="1148"/>
        <w:gridCol w:w="191"/>
      </w:tblGrid>
      <w:tr>
        <w:trPr/>
        <w:tc>
          <w:tcPr>
            <w:tcW w:w="49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9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12"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MARCH 31,</w:t>
              <w:br/>
              <w:t>2023</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305"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DECEMBER 31,</w:t>
              <w:br/>
              <w:t>2022</w:t>
            </w:r>
          </w:p>
        </w:tc>
        <w:tc>
          <w:tcPr>
            <w:tcW w:w="191" w:type="dxa"/>
            <w:tcBorders/>
            <w:shd w:fill="auto" w:val="clear"/>
            <w:vAlign w:val="center"/>
          </w:tcPr>
          <w:p>
            <w:pPr>
              <w:pStyle w:val="TableContents"/>
              <w:spacing w:before="0" w:after="0"/>
              <w:ind w:left="0" w:right="0" w:hanging="0"/>
              <w:jc w:val="center"/>
              <w:rPr/>
            </w:pPr>
            <w:r>
              <w:rPr/>
              <w:t> </w:t>
            </w:r>
          </w:p>
        </w:tc>
      </w:tr>
      <w:tr>
        <w:trPr/>
        <w:tc>
          <w:tcPr>
            <w:tcW w:w="49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center"/>
              <w:rPr/>
            </w:pPr>
            <w:r>
              <w:rPr/>
              <w:t> </w:t>
            </w:r>
          </w:p>
        </w:tc>
        <w:tc>
          <w:tcPr>
            <w:tcW w:w="12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98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Stock options outstanding</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5,479,355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5,645,420</w:t>
            </w:r>
          </w:p>
        </w:tc>
        <w:tc>
          <w:tcPr>
            <w:tcW w:w="1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Unvested restricted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612,366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612,366</w:t>
            </w:r>
          </w:p>
        </w:tc>
        <w:tc>
          <w:tcPr>
            <w:tcW w:w="1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Shares available for future grant under stock option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2,544,932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shd w:fill="auto" w:val="clear"/>
            <w:vAlign w:val="center"/>
          </w:tcPr>
          <w:p>
            <w:pPr>
              <w:pStyle w:val="TableContents"/>
              <w:spacing w:before="0" w:after="0"/>
              <w:ind w:left="0" w:right="0" w:hanging="0"/>
              <w:jc w:val="left"/>
              <w:rPr/>
            </w:pPr>
            <w:r>
              <w:rPr/>
              <w:t> </w:t>
            </w:r>
          </w:p>
        </w:tc>
        <w:tc>
          <w:tcPr>
            <w:tcW w:w="1148"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1,311,915</w:t>
            </w:r>
          </w:p>
        </w:tc>
        <w:tc>
          <w:tcPr>
            <w:tcW w:w="191" w:type="dxa"/>
            <w:tcBorders/>
            <w:shd w:fill="auto" w:val="cle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7,507,708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7,507,708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9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16,144,361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15,077,409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60" w:after="0"/>
        <w:jc w:val="left"/>
        <w:rPr>
          <w:rFonts w:ascii="Arial;sans-serif" w:hAnsi="Arial;sans-serif"/>
          <w:b/>
          <w:i/>
          <w:sz w:val="20"/>
        </w:rPr>
      </w:pPr>
      <w:r>
        <w:rPr>
          <w:rFonts w:ascii="Arial;sans-serif" w:hAnsi="Arial;sans-serif"/>
          <w:b/>
          <w:i/>
          <w:sz w:val="20"/>
        </w:rPr>
        <w:t>Initial Public Offering</w:t>
      </w:r>
    </w:p>
    <w:p>
      <w:pPr>
        <w:pStyle w:val="TextBody"/>
        <w:spacing w:before="120" w:after="0"/>
        <w:jc w:val="left"/>
        <w:rPr>
          <w:rFonts w:ascii="Times New Roman" w:hAnsi="Times New Roman"/>
          <w:sz w:val="20"/>
        </w:rPr>
      </w:pPr>
      <w:r>
        <w:rPr>
          <w:rFonts w:ascii="Arial;sans-serif" w:hAnsi="Arial;sans-serif"/>
          <w:b w:val="false"/>
          <w:sz w:val="19"/>
        </w:rPr>
        <w:t>The Company completed its IPO on July 29, 2021 and issued 9,000,000</w:t>
      </w:r>
      <w:r>
        <w:rPr>
          <w:rFonts w:ascii="Times New Roman" w:hAnsi="Times New Roman"/>
          <w:sz w:val="20"/>
        </w:rPr>
        <w:t xml:space="preserve"> </w:t>
      </w:r>
      <w:r>
        <w:rPr>
          <w:rFonts w:ascii="Arial;sans-serif" w:hAnsi="Arial;sans-serif"/>
          <w:b w:val="false"/>
          <w:sz w:val="19"/>
        </w:rPr>
        <w:t>shares of its common stock at a price to the public of $8.00</w:t>
      </w:r>
      <w:r>
        <w:rPr>
          <w:rFonts w:ascii="Times New Roman" w:hAnsi="Times New Roman"/>
          <w:sz w:val="20"/>
        </w:rPr>
        <w:t xml:space="preserve"> </w:t>
      </w:r>
      <w:r>
        <w:rPr>
          <w:rFonts w:ascii="Arial;sans-serif" w:hAnsi="Arial;sans-serif"/>
          <w:b w:val="false"/>
          <w:sz w:val="19"/>
        </w:rPr>
        <w:t>per share. On August 13, 2021, the Company issued an additional 887,994</w:t>
      </w:r>
      <w:r>
        <w:rPr>
          <w:rFonts w:ascii="Times New Roman" w:hAnsi="Times New Roman"/>
          <w:sz w:val="20"/>
        </w:rPr>
        <w:t xml:space="preserve"> </w:t>
      </w:r>
      <w:r>
        <w:rPr>
          <w:rFonts w:ascii="Arial;sans-serif" w:hAnsi="Arial;sans-serif"/>
          <w:b w:val="false"/>
          <w:sz w:val="19"/>
        </w:rPr>
        <w:t>shares of its common stock at a price of $8.00</w:t>
      </w:r>
      <w:r>
        <w:rPr>
          <w:rFonts w:ascii="Times New Roman" w:hAnsi="Times New Roman"/>
          <w:sz w:val="20"/>
        </w:rPr>
        <w:t xml:space="preserve"> </w:t>
      </w:r>
      <w:r>
        <w:rPr>
          <w:rFonts w:ascii="Arial;sans-serif" w:hAnsi="Arial;sans-serif"/>
          <w:b w:val="false"/>
          <w:sz w:val="19"/>
        </w:rPr>
        <w:t>per share pursuant to a partial exercise of the underwriters' purchase option. Total net proceeds to the Company from the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13</w:t>
      </w:r>
    </w:p>
    <w:p>
      <w:pPr>
        <w:pStyle w:val="HorizontalLine"/>
        <w:rPr/>
      </w:pPr>
      <w:r>
        <w:rPr/>
      </w:r>
    </w:p>
    <w:p>
      <w:pPr>
        <w:pStyle w:val="TextBody"/>
        <w:spacing w:before="120" w:after="0"/>
        <w:jc w:val="left"/>
        <w:rPr>
          <w:rFonts w:ascii="Times New Roman" w:hAnsi="Times New Roman"/>
          <w:sz w:val="20"/>
        </w:rPr>
      </w:pPr>
      <w:r>
        <w:rPr>
          <w:rFonts w:ascii="Arial;sans-serif" w:hAnsi="Arial;sans-serif"/>
          <w:b w:val="false"/>
          <w:sz w:val="19"/>
        </w:rPr>
        <w:t>issuance of the 9,877,994</w:t>
      </w:r>
      <w:r>
        <w:rPr>
          <w:rFonts w:ascii="Times New Roman" w:hAnsi="Times New Roman"/>
          <w:sz w:val="20"/>
        </w:rPr>
        <w:t xml:space="preserve"> </w:t>
      </w:r>
      <w:r>
        <w:rPr>
          <w:rFonts w:ascii="Arial;sans-serif" w:hAnsi="Arial;sans-serif"/>
          <w:b w:val="false"/>
          <w:sz w:val="19"/>
        </w:rPr>
        <w:t>shares of common stock were $71.3</w:t>
      </w:r>
      <w:r>
        <w:rPr>
          <w:rFonts w:ascii="Times New Roman" w:hAnsi="Times New Roman"/>
          <w:sz w:val="20"/>
        </w:rPr>
        <w:t xml:space="preserve"> </w:t>
      </w:r>
      <w:r>
        <w:rPr>
          <w:rFonts w:ascii="Arial;sans-serif" w:hAnsi="Arial;sans-serif"/>
          <w:b w:val="false"/>
          <w:sz w:val="19"/>
        </w:rPr>
        <w:t>million, after deducting underwriting discounts, commissions and offering expenses. Upon closing of the IPO, all outstanding shares of the Company’s Preferred Stock automatically converted into 7,066,398</w:t>
      </w:r>
      <w:r>
        <w:rPr>
          <w:rFonts w:ascii="Times New Roman" w:hAnsi="Times New Roman"/>
          <w:sz w:val="20"/>
        </w:rPr>
        <w:t xml:space="preserve"> </w:t>
      </w:r>
      <w:r>
        <w:rPr>
          <w:rFonts w:ascii="Arial;sans-serif" w:hAnsi="Arial;sans-serif"/>
          <w:b w:val="false"/>
          <w:sz w:val="19"/>
        </w:rPr>
        <w:t>shares of common stock.</w:t>
      </w:r>
    </w:p>
    <w:p>
      <w:pPr>
        <w:pStyle w:val="TextBody"/>
        <w:spacing w:before="160" w:after="0"/>
        <w:jc w:val="left"/>
        <w:rPr>
          <w:rFonts w:ascii="Arial;sans-serif" w:hAnsi="Arial;sans-serif"/>
          <w:b/>
          <w:i/>
          <w:sz w:val="19"/>
        </w:rPr>
      </w:pPr>
      <w:r>
        <w:rPr>
          <w:rFonts w:ascii="Arial;sans-serif" w:hAnsi="Arial;sans-serif"/>
          <w:b/>
          <w:i/>
          <w:sz w:val="19"/>
        </w:rPr>
        <w:t>Shelf Registration and At-the-Market Offerings</w:t>
      </w:r>
    </w:p>
    <w:p>
      <w:pPr>
        <w:pStyle w:val="TextBody"/>
        <w:spacing w:before="120" w:after="0"/>
        <w:jc w:val="left"/>
        <w:rPr>
          <w:rFonts w:ascii="Times New Roman" w:hAnsi="Times New Roman"/>
          <w:sz w:val="20"/>
        </w:rPr>
      </w:pPr>
      <w:r>
        <w:rPr>
          <w:rFonts w:ascii="Arial;sans-serif" w:hAnsi="Arial;sans-serif"/>
          <w:b w:val="false"/>
          <w:sz w:val="19"/>
        </w:rPr>
        <w:t>On</w:t>
      </w:r>
      <w:r>
        <w:rPr>
          <w:rFonts w:ascii="Times New Roman" w:hAnsi="Times New Roman"/>
          <w:sz w:val="20"/>
        </w:rPr>
        <w:t xml:space="preserve"> </w:t>
      </w:r>
      <w:r>
        <w:rPr>
          <w:rFonts w:ascii="Arial;sans-serif" w:hAnsi="Arial;sans-serif"/>
          <w:b w:val="false"/>
          <w:sz w:val="19"/>
        </w:rPr>
        <w:t>August 5, 2022, the Company filed the Shelf with the SEC, which covers the offering, issuance, and sale by us of up to an aggregate of $200.0</w:t>
      </w:r>
      <w:r>
        <w:rPr>
          <w:rFonts w:ascii="Times New Roman" w:hAnsi="Times New Roman"/>
          <w:sz w:val="20"/>
        </w:rPr>
        <w:t xml:space="preserve"> </w:t>
      </w:r>
      <w:r>
        <w:rPr>
          <w:rFonts w:ascii="Arial;sans-serif" w:hAnsi="Arial;sans-serif"/>
          <w:b w:val="false"/>
          <w:sz w:val="19"/>
        </w:rPr>
        <w:t>million of our common stock, preferred stock, debt securities, warrants and/or units of any combination thereof. We simultaneously entered into a sales agreement with Jefferies LLC, as sales agent, to provide for the issuance and sale by us of up to $75.0</w:t>
      </w:r>
      <w:r>
        <w:rPr>
          <w:rFonts w:ascii="Times New Roman" w:hAnsi="Times New Roman"/>
          <w:sz w:val="20"/>
        </w:rPr>
        <w:t xml:space="preserve"> </w:t>
      </w:r>
      <w:r>
        <w:rPr>
          <w:rFonts w:ascii="Arial;sans-serif" w:hAnsi="Arial;sans-serif"/>
          <w:b w:val="false"/>
          <w:sz w:val="19"/>
        </w:rPr>
        <w:t>million of our common stock from time to time in “at-the-market” offerings under the Shelf. The Shelf was declared effective by the SEC on August 12, 2022. As of the date hereof, no sales have been made pursuant to the ATM Program.</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160" w:after="0"/>
        <w:jc w:val="left"/>
        <w:rPr>
          <w:rFonts w:ascii="Arial;sans-serif" w:hAnsi="Arial;sans-serif"/>
          <w:b/>
          <w:sz w:val="20"/>
        </w:rPr>
      </w:pPr>
      <w:r>
        <w:rPr>
          <w:rFonts w:ascii="Arial;sans-serif" w:hAnsi="Arial;sans-serif"/>
          <w:b/>
          <w:sz w:val="20"/>
        </w:rPr>
        <w:t>10. Warrants</w:t>
      </w:r>
    </w:p>
    <w:p>
      <w:pPr>
        <w:pStyle w:val="TextBody"/>
        <w:spacing w:before="120" w:after="0"/>
        <w:jc w:val="left"/>
        <w:rPr>
          <w:rFonts w:ascii="Times New Roman" w:hAnsi="Times New Roman"/>
          <w:sz w:val="20"/>
        </w:rPr>
      </w:pPr>
      <w:r>
        <w:rPr>
          <w:rFonts w:ascii="Arial;sans-serif" w:hAnsi="Arial;sans-serif"/>
          <w:b w:val="false"/>
          <w:sz w:val="19"/>
        </w:rPr>
        <w:t>The Company has the following warrants outstanding for the purchase of common stock as of March 31, 2023 and December 31, 2022:</w:t>
      </w:r>
      <w:r>
        <w:rPr>
          <w:rFonts w:ascii="Times New Roman" w:hAnsi="Times New Roman"/>
          <w:sz w:val="20"/>
        </w:rPr>
        <w:t xml:space="preserve"> </w:t>
      </w:r>
    </w:p>
    <w:p>
      <w:pPr>
        <w:pStyle w:val="TextBody"/>
        <w:spacing w:before="0" w:after="0"/>
        <w:jc w:val="left"/>
        <w:rPr/>
      </w:pPr>
      <w:r>
        <w:rPr/>
        <w:t> </w:t>
      </w:r>
    </w:p>
    <w:tbl>
      <w:tblPr>
        <w:tblW w:w="7107" w:type="dxa"/>
        <w:jc w:val="left"/>
        <w:tblInd w:w="0" w:type="dxa"/>
        <w:tblCellMar>
          <w:top w:w="28" w:type="dxa"/>
          <w:left w:w="28" w:type="dxa"/>
          <w:bottom w:w="28" w:type="dxa"/>
          <w:right w:w="28" w:type="dxa"/>
        </w:tblCellMar>
      </w:tblPr>
      <w:tblGrid>
        <w:gridCol w:w="2731"/>
        <w:gridCol w:w="146"/>
        <w:gridCol w:w="152"/>
        <w:gridCol w:w="1003"/>
        <w:gridCol w:w="146"/>
        <w:gridCol w:w="146"/>
        <w:gridCol w:w="297"/>
        <w:gridCol w:w="678"/>
        <w:gridCol w:w="146"/>
        <w:gridCol w:w="146"/>
        <w:gridCol w:w="1516"/>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r>
      <w:tr>
        <w:trPr/>
        <w:tc>
          <w:tcPr>
            <w:tcW w:w="2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sz w:val="16"/>
              </w:rPr>
            </w:pPr>
            <w:r>
              <w:rPr>
                <w:rFonts w:ascii="Arial;sans-serif" w:hAnsi="Arial;sans-serif"/>
                <w:b/>
                <w:sz w:val="16"/>
              </w:rPr>
              <w:t>WARRANTS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SHARES OF</w:t>
              <w:br/>
              <w:t>COMMON</w:t>
              <w:br/>
              <w:t>STOCK</w:t>
              <w:br/>
              <w:t>SUBJECT TO</w:t>
              <w:br/>
              <w:t>WARRANTS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EXERCISE</w:t>
              <w:br/>
              <w:t>PRICE PER</w:t>
              <w:br/>
              <w:t>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EXPIRATION</w:t>
              <w:br/>
              <w:t>DATES</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Series B Warrants</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3,672,484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November 2025</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Conditional Series B Warrants</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3,672,484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November 2025</w:t>
            </w:r>
          </w:p>
        </w:tc>
      </w:tr>
      <w:tr>
        <w:trPr/>
        <w:tc>
          <w:tcPr>
            <w:tcW w:w="27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NC Ohio Trust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100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162,740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7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March 2029</w:t>
            </w:r>
          </w:p>
        </w:tc>
      </w:tr>
    </w:tbl>
    <w:p>
      <w:pPr>
        <w:pStyle w:val="TextBody"/>
        <w:spacing w:before="160" w:after="0"/>
        <w:jc w:val="left"/>
        <w:rPr>
          <w:rFonts w:ascii="Times New Roman" w:hAnsi="Times New Roman"/>
          <w:sz w:val="20"/>
        </w:rPr>
      </w:pPr>
      <w:r>
        <w:rPr>
          <w:rFonts w:ascii="Arial;sans-serif" w:hAnsi="Arial;sans-serif"/>
          <w:b/>
          <w:i/>
          <w:sz w:val="20"/>
        </w:rPr>
        <w:t>Series B Warrants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 xml:space="preserve">In </w:t>
      </w:r>
      <w:r>
        <w:rPr>
          <w:rFonts w:ascii="Arial;sans-serif" w:hAnsi="Arial;sans-serif"/>
          <w:b w:val="false"/>
          <w:sz w:val="19"/>
        </w:rPr>
        <w:t>connection with the November 13, 2018 issuance of Series B convertible preferred stock (the Series B Preferred), the Company issued to the purchaser of the Series B Preferred warrants to purchase 3,672,484</w:t>
      </w:r>
      <w:r>
        <w:rPr>
          <w:rFonts w:ascii="Times New Roman" w:hAnsi="Times New Roman"/>
          <w:sz w:val="20"/>
        </w:rPr>
        <w:t xml:space="preserve"> </w:t>
      </w:r>
      <w:r>
        <w:rPr>
          <w:rFonts w:ascii="Arial;sans-serif" w:hAnsi="Arial;sans-serif"/>
          <w:b w:val="false"/>
          <w:sz w:val="19"/>
        </w:rPr>
        <w:t>shares of common stock for $6.81</w:t>
      </w:r>
      <w:r>
        <w:rPr>
          <w:rFonts w:ascii="Times New Roman" w:hAnsi="Times New Roman"/>
          <w:sz w:val="20"/>
        </w:rPr>
        <w:t xml:space="preserve"> </w:t>
      </w:r>
      <w:r>
        <w:rPr>
          <w:rFonts w:ascii="Arial;sans-serif" w:hAnsi="Arial;sans-serif"/>
          <w:b w:val="false"/>
          <w:sz w:val="19"/>
        </w:rPr>
        <w:t>per share (the Series B Warrants), which became fully exercisable upon issuance. The Series B Warrants contain provisions allowing cashless exercise.</w:t>
      </w:r>
    </w:p>
    <w:p>
      <w:pPr>
        <w:pStyle w:val="TextBody"/>
        <w:spacing w:before="120" w:after="0"/>
        <w:jc w:val="left"/>
        <w:rPr>
          <w:rFonts w:ascii="Times New Roman" w:hAnsi="Times New Roman"/>
          <w:sz w:val="20"/>
        </w:rPr>
      </w:pPr>
      <w:r>
        <w:rPr>
          <w:rFonts w:ascii="Arial;sans-serif" w:hAnsi="Arial;sans-serif"/>
          <w:b w:val="false"/>
          <w:sz w:val="19"/>
        </w:rPr>
        <w:t>In addition, the Company issued to the same stockholder additional five-year</w:t>
      </w:r>
      <w:r>
        <w:rPr>
          <w:rFonts w:ascii="Times New Roman" w:hAnsi="Times New Roman"/>
          <w:sz w:val="20"/>
        </w:rPr>
        <w:t xml:space="preserve"> </w:t>
      </w:r>
      <w:r>
        <w:rPr>
          <w:rFonts w:ascii="Arial;sans-serif" w:hAnsi="Arial;sans-serif"/>
          <w:b w:val="false"/>
          <w:sz w:val="19"/>
        </w:rPr>
        <w:t>warrants for the purchase of 3,672,484</w:t>
      </w:r>
      <w:r>
        <w:rPr>
          <w:rFonts w:ascii="Times New Roman" w:hAnsi="Times New Roman"/>
          <w:sz w:val="20"/>
        </w:rPr>
        <w:t xml:space="preserve"> </w:t>
      </w:r>
      <w:r>
        <w:rPr>
          <w:rFonts w:ascii="Arial;sans-serif" w:hAnsi="Arial;sans-serif"/>
          <w:b w:val="false"/>
          <w:sz w:val="19"/>
        </w:rPr>
        <w:t>shares of common stock for $6.81</w:t>
      </w:r>
      <w:r>
        <w:rPr>
          <w:rFonts w:ascii="Times New Roman" w:hAnsi="Times New Roman"/>
          <w:sz w:val="20"/>
        </w:rPr>
        <w:t xml:space="preserve"> </w:t>
      </w:r>
      <w:r>
        <w:rPr>
          <w:rFonts w:ascii="Arial;sans-serif" w:hAnsi="Arial;sans-serif"/>
          <w:b w:val="false"/>
          <w:sz w:val="19"/>
        </w:rPr>
        <w:t>per share (the Conditional Series B Warrants), which become exercisable in the event that the Company completes a future financing that meets certain financial milestones or achieves certain share prices as follows:</w:t>
      </w:r>
    </w:p>
    <w:p>
      <w:pPr>
        <w:pStyle w:val="TextBody"/>
        <w:spacing w:before="120" w:after="0"/>
        <w:jc w:val="left"/>
        <w:rPr/>
      </w:pPr>
      <w:r>
        <w:rPr/>
        <w:t>•</w:t>
      </w:r>
    </w:p>
    <w:p>
      <w:pPr>
        <w:pStyle w:val="TextBody"/>
        <w:spacing w:before="120" w:after="0"/>
        <w:jc w:val="left"/>
        <w:rPr>
          <w:rFonts w:ascii="Arial;sans-serif" w:hAnsi="Arial;sans-serif"/>
          <w:sz w:val="20"/>
        </w:rPr>
      </w:pPr>
      <w:r>
        <w:rPr>
          <w:rFonts w:ascii="Arial;sans-serif" w:hAnsi="Arial;sans-serif"/>
          <w:b w:val="false"/>
          <w:sz w:val="19"/>
        </w:rPr>
        <w:t>918,121</w:t>
      </w:r>
      <w:r>
        <w:rPr>
          <w:rFonts w:ascii="Arial;sans-serif" w:hAnsi="Arial;sans-serif"/>
          <w:sz w:val="20"/>
        </w:rPr>
        <w:t xml:space="preserve"> </w:t>
      </w:r>
      <w:r>
        <w:rPr>
          <w:rFonts w:ascii="Arial;sans-serif" w:hAnsi="Arial;sans-serif"/>
          <w:b w:val="false"/>
          <w:sz w:val="19"/>
        </w:rPr>
        <w:t>shares vest upon (1) a financing event effected through the sale of our equity securities to third parties resulting in at least $20,000,000</w:t>
      </w:r>
      <w:r>
        <w:rPr>
          <w:rFonts w:ascii="Arial;sans-serif" w:hAnsi="Arial;sans-serif"/>
          <w:sz w:val="20"/>
        </w:rPr>
        <w:t xml:space="preserve"> </w:t>
      </w:r>
      <w:r>
        <w:rPr>
          <w:rFonts w:ascii="Arial;sans-serif" w:hAnsi="Arial;sans-serif"/>
          <w:b w:val="false"/>
          <w:sz w:val="19"/>
        </w:rPr>
        <w:t>in gross proceeds, with a per share price of $12.47, or (2) an average market price (determined over a consecutive 10-day period) of $12.47</w:t>
      </w:r>
      <w:r>
        <w:rPr>
          <w:rFonts w:ascii="Arial;sans-serif" w:hAnsi="Arial;sans-serif"/>
          <w:sz w:val="20"/>
        </w:rPr>
        <w:t xml:space="preserve"> </w:t>
      </w:r>
      <w:r>
        <w:rPr>
          <w:rFonts w:ascii="Arial;sans-serif" w:hAnsi="Arial;sans-serif"/>
          <w:b w:val="false"/>
          <w:sz w:val="19"/>
        </w:rPr>
        <w:t>per share;</w:t>
      </w:r>
    </w:p>
    <w:p>
      <w:pPr>
        <w:pStyle w:val="TextBody"/>
        <w:spacing w:before="120" w:after="0"/>
        <w:jc w:val="left"/>
        <w:rPr/>
      </w:pPr>
      <w:r>
        <w:rPr/>
        <w:t>•</w:t>
      </w:r>
    </w:p>
    <w:p>
      <w:pPr>
        <w:pStyle w:val="TextBody"/>
        <w:spacing w:before="120" w:after="0"/>
        <w:jc w:val="left"/>
        <w:rPr>
          <w:rFonts w:ascii="Arial;sans-serif" w:hAnsi="Arial;sans-serif"/>
          <w:sz w:val="20"/>
        </w:rPr>
      </w:pPr>
      <w:r>
        <w:rPr>
          <w:rFonts w:ascii="Arial;sans-serif" w:hAnsi="Arial;sans-serif"/>
          <w:b w:val="false"/>
          <w:sz w:val="19"/>
        </w:rPr>
        <w:t>an additional 918,121</w:t>
      </w:r>
      <w:r>
        <w:rPr>
          <w:rFonts w:ascii="Arial;sans-serif" w:hAnsi="Arial;sans-serif"/>
          <w:sz w:val="20"/>
        </w:rPr>
        <w:t xml:space="preserve"> </w:t>
      </w:r>
      <w:r>
        <w:rPr>
          <w:rFonts w:ascii="Arial;sans-serif" w:hAnsi="Arial;sans-serif"/>
          <w:b w:val="false"/>
          <w:sz w:val="19"/>
        </w:rPr>
        <w:t>shares vest upon (1) a financing event with a price per share of $13.20, or (2) an average market price (determined over a consecutive 10-day period) of, $13.20</w:t>
      </w:r>
      <w:r>
        <w:rPr>
          <w:rFonts w:ascii="Arial;sans-serif" w:hAnsi="Arial;sans-serif"/>
          <w:sz w:val="20"/>
        </w:rPr>
        <w:t xml:space="preserve"> </w:t>
      </w:r>
      <w:r>
        <w:rPr>
          <w:rFonts w:ascii="Arial;sans-serif" w:hAnsi="Arial;sans-serif"/>
          <w:b w:val="false"/>
          <w:sz w:val="19"/>
        </w:rPr>
        <w:t xml:space="preserve">per share; </w:t>
      </w:r>
    </w:p>
    <w:p>
      <w:pPr>
        <w:pStyle w:val="TextBody"/>
        <w:spacing w:before="120" w:after="0"/>
        <w:jc w:val="left"/>
        <w:rPr/>
      </w:pPr>
      <w:r>
        <w:rPr/>
        <w:t>•</w:t>
      </w:r>
    </w:p>
    <w:p>
      <w:pPr>
        <w:pStyle w:val="TextBody"/>
        <w:spacing w:before="120" w:after="0"/>
        <w:jc w:val="left"/>
        <w:rPr>
          <w:rFonts w:ascii="Arial;sans-serif" w:hAnsi="Arial;sans-serif"/>
          <w:sz w:val="20"/>
        </w:rPr>
      </w:pPr>
      <w:r>
        <w:rPr>
          <w:rFonts w:ascii="Arial;sans-serif" w:hAnsi="Arial;sans-serif"/>
          <w:b w:val="false"/>
          <w:sz w:val="19"/>
        </w:rPr>
        <w:t>an additional 918,121</w:t>
      </w:r>
      <w:r>
        <w:rPr>
          <w:rFonts w:ascii="Arial;sans-serif" w:hAnsi="Arial;sans-serif"/>
          <w:sz w:val="20"/>
        </w:rPr>
        <w:t xml:space="preserve"> </w:t>
      </w:r>
      <w:r>
        <w:rPr>
          <w:rFonts w:ascii="Arial;sans-serif" w:hAnsi="Arial;sans-serif"/>
          <w:b w:val="false"/>
          <w:sz w:val="19"/>
        </w:rPr>
        <w:t>shares vest upon (1) a financing event with a per share price of $13.94, or (2) an average market price (determined over a consecutive 10-day period) of, $13.94</w:t>
      </w:r>
      <w:r>
        <w:rPr>
          <w:rFonts w:ascii="Arial;sans-serif" w:hAnsi="Arial;sans-serif"/>
          <w:sz w:val="20"/>
        </w:rPr>
        <w:t xml:space="preserve"> </w:t>
      </w:r>
      <w:r>
        <w:rPr>
          <w:rFonts w:ascii="Arial;sans-serif" w:hAnsi="Arial;sans-serif"/>
          <w:b w:val="false"/>
          <w:sz w:val="19"/>
        </w:rPr>
        <w:t xml:space="preserve">per share; and </w:t>
      </w:r>
    </w:p>
    <w:p>
      <w:pPr>
        <w:pStyle w:val="TextBody"/>
        <w:spacing w:before="120" w:after="0"/>
        <w:jc w:val="left"/>
        <w:rPr/>
      </w:pPr>
      <w:r>
        <w:rPr/>
        <w:t>•</w:t>
      </w:r>
    </w:p>
    <w:p>
      <w:pPr>
        <w:pStyle w:val="TextBody"/>
        <w:spacing w:before="120" w:after="283"/>
        <w:jc w:val="left"/>
        <w:rPr>
          <w:rFonts w:ascii="Arial;sans-serif" w:hAnsi="Arial;sans-serif"/>
          <w:sz w:val="20"/>
        </w:rPr>
      </w:pPr>
      <w:r>
        <w:rPr>
          <w:rFonts w:ascii="Arial;sans-serif" w:hAnsi="Arial;sans-serif"/>
          <w:b w:val="false"/>
          <w:sz w:val="19"/>
        </w:rPr>
        <w:t>an additional 918,121</w:t>
      </w:r>
      <w:r>
        <w:rPr>
          <w:rFonts w:ascii="Arial;sans-serif" w:hAnsi="Arial;sans-serif"/>
          <w:sz w:val="20"/>
        </w:rPr>
        <w:t xml:space="preserve"> </w:t>
      </w:r>
      <w:r>
        <w:rPr>
          <w:rFonts w:ascii="Arial;sans-serif" w:hAnsi="Arial;sans-serif"/>
          <w:b w:val="false"/>
          <w:sz w:val="19"/>
        </w:rPr>
        <w:t>shares vest upon (1) a financing event with a per share price of $14.68, or (2) an average market price (determined over a consecutive 10-day period) of, $14.68</w:t>
      </w:r>
      <w:r>
        <w:rPr>
          <w:rFonts w:ascii="Arial;sans-serif" w:hAnsi="Arial;sans-serif"/>
          <w:sz w:val="20"/>
        </w:rPr>
        <w:t xml:space="preserve"> </w:t>
      </w:r>
      <w:r>
        <w:rPr>
          <w:rFonts w:ascii="Arial;sans-serif" w:hAnsi="Arial;sans-serif"/>
          <w:b w:val="false"/>
          <w:sz w:val="19"/>
        </w:rPr>
        <w:t>per share.</w:t>
      </w:r>
    </w:p>
    <w:p>
      <w:pPr>
        <w:pStyle w:val="TextBody"/>
        <w:spacing w:before="120" w:after="0"/>
        <w:jc w:val="left"/>
        <w:rPr>
          <w:rFonts w:ascii="Times New Roman" w:hAnsi="Times New Roman"/>
          <w:sz w:val="20"/>
        </w:rPr>
      </w:pPr>
      <w:r>
        <w:rPr>
          <w:rFonts w:ascii="Arial;sans-serif" w:hAnsi="Arial;sans-serif"/>
          <w:b w:val="false"/>
          <w:sz w:val="19"/>
        </w:rPr>
        <w:t>On June 24, 2021, the Company’s board of directors approved and on July 14, 2021 the stockholders approved, effective upon the closing of the IPO, an amendment to the terms of the Series B Warrants and the Conditional Series B Warrants to extend the expiration date from November 2023</w:t>
      </w:r>
      <w:r>
        <w:rPr>
          <w:rFonts w:ascii="Times New Roman" w:hAnsi="Times New Roman"/>
          <w:sz w:val="20"/>
        </w:rPr>
        <w:t xml:space="preserve"> </w:t>
      </w:r>
      <w:r>
        <w:rPr>
          <w:rFonts w:ascii="Arial;sans-serif" w:hAnsi="Arial;sans-serif"/>
          <w:b w:val="false"/>
          <w:sz w:val="19"/>
        </w:rPr>
        <w:t xml:space="preserve">to November 2025. In addition, the exercise period for the Conditional Series B Warrants was amended such that in the event the future financing milestones or certain share price targets described above are achieved, the Conditional Series B Warrants can only be exercised in conjunction with the sale of the Company, on a cash or cashless exercise basis, or otherwise in November 2025 through a cashless </w:t>
      </w:r>
      <w:r>
        <w:rPr>
          <w:rFonts w:ascii="Arial;sans-serif" w:hAnsi="Arial;sans-serif"/>
          <w:b w:val="false"/>
          <w:sz w:val="20"/>
        </w:rPr>
        <w:t>exercise.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recorded the Series B Warrants as a component of stockholder’s equity at the time of issuance at their estimated fair value of $2.1</w:t>
      </w:r>
      <w:r>
        <w:rPr>
          <w:rFonts w:ascii="Times New Roman" w:hAnsi="Times New Roman"/>
          <w:sz w:val="20"/>
        </w:rPr>
        <w:t xml:space="preserve"> </w:t>
      </w:r>
      <w:r>
        <w:rPr>
          <w:rFonts w:ascii="Arial;sans-serif" w:hAnsi="Arial;sans-serif"/>
          <w:b w:val="false"/>
          <w:sz w:val="19"/>
        </w:rPr>
        <w:t>million and recorded the Conditional Series B Warrants as a liability on the condensed consolidated balance sheet as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The Company will continue to recognize changes in the fair value of the Conditional Series B Warrants until each Conditional Series B Warrant is exercised, expires or</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14</w:t>
      </w:r>
    </w:p>
    <w:p>
      <w:pPr>
        <w:pStyle w:val="HorizontalLine"/>
        <w:rPr/>
      </w:pPr>
      <w:r>
        <w:rPr/>
      </w:r>
    </w:p>
    <w:p>
      <w:pPr>
        <w:pStyle w:val="TextBody"/>
        <w:spacing w:before="120" w:after="0"/>
        <w:jc w:val="left"/>
        <w:rPr>
          <w:rFonts w:ascii="Times New Roman" w:hAnsi="Times New Roman"/>
          <w:sz w:val="20"/>
        </w:rPr>
      </w:pPr>
      <w:r>
        <w:rPr>
          <w:rFonts w:ascii="Arial;sans-serif" w:hAnsi="Arial;sans-serif"/>
          <w:b w:val="false"/>
          <w:sz w:val="19"/>
        </w:rPr>
        <w:t>qualifies for equity classification. The warrant liability fair value was $1.2</w:t>
      </w:r>
      <w:r>
        <w:rPr>
          <w:rFonts w:ascii="Times New Roman" w:hAnsi="Times New Roman"/>
          <w:sz w:val="20"/>
        </w:rPr>
        <w:t xml:space="preserve"> </w:t>
      </w:r>
      <w:r>
        <w:rPr>
          <w:rFonts w:ascii="Arial;sans-serif" w:hAnsi="Arial;sans-serif"/>
          <w:b w:val="false"/>
          <w:sz w:val="19"/>
        </w:rPr>
        <w:t>million</w:t>
      </w:r>
      <w:r>
        <w:rPr>
          <w:rFonts w:ascii="Times New Roman" w:hAnsi="Times New Roman"/>
          <w:sz w:val="20"/>
        </w:rPr>
        <w:t xml:space="preserve"> </w:t>
      </w:r>
      <w:r>
        <w:rPr>
          <w:rFonts w:ascii="Arial;sans-serif" w:hAnsi="Arial;sans-serif"/>
          <w:b w:val="false"/>
          <w:sz w:val="19"/>
        </w:rPr>
        <w:t>and $1.9</w:t>
      </w:r>
      <w:r>
        <w:rPr>
          <w:rFonts w:ascii="Times New Roman" w:hAnsi="Times New Roman"/>
          <w:sz w:val="20"/>
        </w:rPr>
        <w:t xml:space="preserve"> </w:t>
      </w:r>
      <w:r>
        <w:rPr>
          <w:rFonts w:ascii="Arial;sans-serif" w:hAnsi="Arial;sans-serif"/>
          <w:b w:val="false"/>
          <w:sz w:val="19"/>
        </w:rPr>
        <w:t>million</w:t>
      </w:r>
      <w:r>
        <w:rPr>
          <w:rFonts w:ascii="Times New Roman" w:hAnsi="Times New Roman"/>
          <w:sz w:val="20"/>
        </w:rPr>
        <w:t xml:space="preserve"> </w:t>
      </w:r>
      <w:r>
        <w:rPr>
          <w:rFonts w:ascii="Arial;sans-serif" w:hAnsi="Arial;sans-serif"/>
          <w:b w:val="false"/>
          <w:sz w:val="19"/>
        </w:rPr>
        <w:t>as of March 31, 2023 and December 31, 2022, respectively.</w:t>
      </w:r>
      <w:r>
        <w:rPr>
          <w:rFonts w:ascii="Times New Roman" w:hAnsi="Times New Roman"/>
          <w:sz w:val="20"/>
        </w:rPr>
        <w:t xml:space="preserve"> </w:t>
      </w:r>
    </w:p>
    <w:p>
      <w:pPr>
        <w:pStyle w:val="TextBody"/>
        <w:spacing w:before="160" w:after="0"/>
        <w:jc w:val="left"/>
        <w:rPr>
          <w:rFonts w:ascii="Arial;sans-serif" w:hAnsi="Arial;sans-serif"/>
          <w:b/>
          <w:i/>
          <w:sz w:val="20"/>
        </w:rPr>
      </w:pPr>
      <w:r>
        <w:rPr>
          <w:rFonts w:ascii="Arial;sans-serif" w:hAnsi="Arial;sans-serif"/>
          <w:b/>
          <w:i/>
          <w:sz w:val="20"/>
        </w:rPr>
        <w:t>NC Ohio Trust Warrants</w:t>
      </w:r>
    </w:p>
    <w:p>
      <w:pPr>
        <w:pStyle w:val="TextBody"/>
        <w:spacing w:before="120" w:after="0"/>
        <w:jc w:val="left"/>
        <w:rPr>
          <w:rFonts w:ascii="Times New Roman" w:hAnsi="Times New Roman"/>
          <w:sz w:val="20"/>
        </w:rPr>
      </w:pPr>
      <w:r>
        <w:rPr>
          <w:rFonts w:ascii="Arial;sans-serif" w:hAnsi="Arial;sans-serif"/>
          <w:b w:val="false"/>
          <w:sz w:val="20"/>
        </w:rPr>
        <w:t xml:space="preserve">On </w:t>
      </w:r>
      <w:r>
        <w:rPr>
          <w:rFonts w:ascii="Arial;sans-serif" w:hAnsi="Arial;sans-serif"/>
          <w:b w:val="false"/>
          <w:sz w:val="19"/>
        </w:rPr>
        <w:t>March 20, 2019, the Company established the NC Incorporated Ohio Trust, an irrevocable trust funded by the Company. The beneficiary in the trust agreement has provided past services to the Company for more than 15 years</w:t>
      </w:r>
      <w:r>
        <w:rPr>
          <w:rFonts w:ascii="Times New Roman" w:hAnsi="Times New Roman"/>
          <w:sz w:val="20"/>
        </w:rPr>
        <w:t xml:space="preserve"> </w:t>
      </w:r>
      <w:r>
        <w:rPr>
          <w:rFonts w:ascii="Arial;sans-serif" w:hAnsi="Arial;sans-serif"/>
          <w:b w:val="false"/>
          <w:sz w:val="19"/>
        </w:rPr>
        <w:t>and is a non-employee. The warrant provides the beneficiary the right to purchase 162,740</w:t>
      </w:r>
      <w:r>
        <w:rPr>
          <w:rFonts w:ascii="Times New Roman" w:hAnsi="Times New Roman"/>
          <w:sz w:val="20"/>
        </w:rPr>
        <w:t xml:space="preserve"> </w:t>
      </w:r>
      <w:r>
        <w:rPr>
          <w:rFonts w:ascii="Arial;sans-serif" w:hAnsi="Arial;sans-serif"/>
          <w:b w:val="false"/>
          <w:sz w:val="19"/>
        </w:rPr>
        <w:t>shares of the Company’s common stock, $0.01</w:t>
      </w:r>
      <w:r>
        <w:rPr>
          <w:rFonts w:ascii="Times New Roman" w:hAnsi="Times New Roman"/>
          <w:sz w:val="20"/>
        </w:rPr>
        <w:t xml:space="preserve"> </w:t>
      </w:r>
      <w:r>
        <w:rPr>
          <w:rFonts w:ascii="Arial;sans-serif" w:hAnsi="Arial;sans-serif"/>
          <w:b w:val="false"/>
          <w:sz w:val="19"/>
        </w:rPr>
        <w:t>par value at an exercise price of $1.46</w:t>
      </w:r>
      <w:r>
        <w:rPr>
          <w:rFonts w:ascii="Times New Roman" w:hAnsi="Times New Roman"/>
          <w:sz w:val="20"/>
        </w:rPr>
        <w:t xml:space="preserve"> </w:t>
      </w:r>
      <w:r>
        <w:rPr>
          <w:rFonts w:ascii="Arial;sans-serif" w:hAnsi="Arial;sans-serif"/>
          <w:b w:val="false"/>
          <w:sz w:val="19"/>
        </w:rPr>
        <w:t>per share, subject to adjustments as specified in the warrant agreement. The Company recognizes the warrants as compensation expense within the condensed consolidated statement of operations and when the warrants are granted or at the service inception date if the service inception date precedes the grant date. In the period in which the grant date occurs, cumulative compensation cost shall be adjusted to reflect the cumulative effect of measuring compensation cost based on the fair value at the grant date rather than the fair value previously used at the service inception date or subsequent reporting dates. As of March 31, 2023 and December 31, 2022, a grant date was not established as there was not a mutual understanding of key terms. The Company remeasures the fair value of the award at each reporting date, as the service date preceded the grant date. The value of the warrants for 162,740</w:t>
      </w:r>
      <w:r>
        <w:rPr>
          <w:rFonts w:ascii="Times New Roman" w:hAnsi="Times New Roman"/>
          <w:sz w:val="20"/>
        </w:rPr>
        <w:t xml:space="preserve"> </w:t>
      </w:r>
      <w:r>
        <w:rPr>
          <w:rFonts w:ascii="Arial;sans-serif" w:hAnsi="Arial;sans-serif"/>
          <w:b w:val="false"/>
          <w:sz w:val="19"/>
        </w:rPr>
        <w:t>shares of common stock was $0.2</w:t>
      </w:r>
      <w:r>
        <w:rPr>
          <w:rFonts w:ascii="Times New Roman" w:hAnsi="Times New Roman"/>
          <w:sz w:val="20"/>
        </w:rPr>
        <w:t xml:space="preserve"> </w:t>
      </w:r>
      <w:r>
        <w:rPr>
          <w:rFonts w:ascii="Arial;sans-serif" w:hAnsi="Arial;sans-serif"/>
          <w:b w:val="false"/>
          <w:sz w:val="19"/>
        </w:rPr>
        <w:t>million</w:t>
      </w:r>
      <w:r>
        <w:rPr>
          <w:rFonts w:ascii="Times New Roman" w:hAnsi="Times New Roman"/>
          <w:sz w:val="20"/>
        </w:rPr>
        <w:t xml:space="preserve"> </w:t>
      </w:r>
      <w:r>
        <w:rPr>
          <w:rFonts w:ascii="Arial;sans-serif" w:hAnsi="Arial;sans-serif"/>
          <w:b w:val="false"/>
          <w:sz w:val="19"/>
        </w:rPr>
        <w:t xml:space="preserve">as of March 31, 2023 and December 31, 2022, and was recorded as stock compensation expense within research and development expense and a credit to stockholders’ equity in the condensed consolidated financial </w:t>
      </w:r>
      <w:r>
        <w:rPr>
          <w:rFonts w:ascii="Arial;sans-serif" w:hAnsi="Arial;sans-serif"/>
          <w:b w:val="false"/>
          <w:sz w:val="20"/>
        </w:rPr>
        <w:t>statements.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sz w:val="20"/>
        </w:rPr>
        <w:t>11. Stock Options, Restricted Stock and Stock-Based Compensation</w:t>
      </w:r>
      <w:r>
        <w:rPr>
          <w:rFonts w:ascii="Times New Roman" w:hAnsi="Times New Roman"/>
          <w:sz w:val="20"/>
        </w:rPr>
        <w:t xml:space="preserve"> </w:t>
      </w:r>
    </w:p>
    <w:p>
      <w:pPr>
        <w:pStyle w:val="TextBody"/>
        <w:spacing w:before="120" w:after="0"/>
        <w:jc w:val="left"/>
        <w:rPr>
          <w:rFonts w:ascii="Arial;sans-serif" w:hAnsi="Arial;sans-serif"/>
          <w:b/>
          <w:i/>
          <w:sz w:val="20"/>
        </w:rPr>
      </w:pPr>
      <w:r>
        <w:rPr>
          <w:rFonts w:ascii="Arial;sans-serif" w:hAnsi="Arial;sans-serif"/>
          <w:b/>
          <w:i/>
          <w:sz w:val="20"/>
        </w:rPr>
        <w:t>Equity Incentive Plans</w:t>
      </w:r>
    </w:p>
    <w:p>
      <w:pPr>
        <w:pStyle w:val="TextBody"/>
        <w:spacing w:before="120" w:after="0"/>
        <w:jc w:val="left"/>
        <w:rPr>
          <w:rFonts w:ascii="Times New Roman" w:hAnsi="Times New Roman"/>
          <w:sz w:val="20"/>
        </w:rPr>
      </w:pPr>
      <w:r>
        <w:rPr>
          <w:rFonts w:ascii="Arial;sans-serif" w:hAnsi="Arial;sans-serif"/>
          <w:b w:val="false"/>
          <w:sz w:val="20"/>
        </w:rPr>
        <w:t xml:space="preserve">The </w:t>
      </w:r>
      <w:r>
        <w:rPr>
          <w:rFonts w:ascii="Arial;sans-serif" w:hAnsi="Arial;sans-serif"/>
          <w:b w:val="false"/>
          <w:sz w:val="19"/>
        </w:rPr>
        <w:t>Company’s 2015 Stock Plan, as amended, (the 2015 Plan) provides for the Company to sell or issue common shares or restricted common stock, or to grant incentive stock options or nonqualified stock options for the purchase of common stock, to employees, members of the board of directors and consultants of the Company. The 2015 Plan is administered by the board of directors and exercise prices, vesting and other restrictions are determined at its discretion. All stock option grants are non-statutory stock options except option grants to employees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and the vesting periods may vary. Vesting periods are generally four years</w:t>
      </w:r>
      <w:r>
        <w:rPr>
          <w:rFonts w:ascii="Times New Roman" w:hAnsi="Times New Roman"/>
          <w:sz w:val="20"/>
        </w:rPr>
        <w:t xml:space="preserve"> </w:t>
      </w:r>
      <w:r>
        <w:rPr>
          <w:rFonts w:ascii="Arial;sans-serif" w:hAnsi="Arial;sans-serif"/>
          <w:b w:val="false"/>
          <w:sz w:val="19"/>
        </w:rPr>
        <w:t>and are determined by the board of directors. Stock options become exercisable as they vest. Options granted under the 2015 Plan expire no more than ten years</w:t>
      </w:r>
      <w:r>
        <w:rPr>
          <w:rFonts w:ascii="Times New Roman" w:hAnsi="Times New Roman"/>
          <w:sz w:val="20"/>
        </w:rPr>
        <w:t xml:space="preserve"> </w:t>
      </w:r>
      <w:r>
        <w:rPr>
          <w:rFonts w:ascii="Arial;sans-serif" w:hAnsi="Arial;sans-serif"/>
          <w:b w:val="false"/>
          <w:sz w:val="19"/>
        </w:rPr>
        <w:t>from the date of grant. As of March 31, 2023, there are no</w:t>
      </w:r>
      <w:r>
        <w:rPr>
          <w:rFonts w:ascii="Times New Roman" w:hAnsi="Times New Roman"/>
          <w:sz w:val="20"/>
        </w:rPr>
        <w:t xml:space="preserve"> </w:t>
      </w:r>
      <w:r>
        <w:rPr>
          <w:rFonts w:ascii="Arial;sans-serif" w:hAnsi="Arial;sans-serif"/>
          <w:b w:val="false"/>
          <w:sz w:val="19"/>
        </w:rPr>
        <w:t>shares available for grants under the 2015 Plan and the 2015 Plan continues to govern the terms and conditions of the outstanding awards under the 2015 Plan.</w:t>
      </w:r>
    </w:p>
    <w:p>
      <w:pPr>
        <w:pStyle w:val="TextBody"/>
        <w:spacing w:before="120" w:after="0"/>
        <w:jc w:val="left"/>
        <w:rPr>
          <w:rFonts w:ascii="Times New Roman" w:hAnsi="Times New Roman"/>
          <w:sz w:val="20"/>
        </w:rPr>
      </w:pPr>
      <w:r>
        <w:rPr>
          <w:rFonts w:ascii="Arial;sans-serif" w:hAnsi="Arial;sans-serif"/>
          <w:b w:val="false"/>
          <w:sz w:val="19"/>
        </w:rPr>
        <w:t>On July 14, 2021, the Company’s 2021 Equity Incentive Plan (the 2021 Plan) was approved by the Company’s stockholders, and became effective upon completion of the IPO and serves as the successor to the 2015 Plan. 4,363,290</w:t>
      </w:r>
      <w:r>
        <w:rPr>
          <w:rFonts w:ascii="Times New Roman" w:hAnsi="Times New Roman"/>
          <w:sz w:val="20"/>
        </w:rPr>
        <w:t xml:space="preserve"> </w:t>
      </w:r>
      <w:r>
        <w:rPr>
          <w:rFonts w:ascii="Arial;sans-serif" w:hAnsi="Arial;sans-serif"/>
          <w:b w:val="false"/>
          <w:sz w:val="19"/>
        </w:rPr>
        <w:t>shares of common stock are reserved under the 2021 Plan, of which 2,544,932</w:t>
      </w:r>
      <w:r>
        <w:rPr>
          <w:rFonts w:ascii="Times New Roman" w:hAnsi="Times New Roman"/>
          <w:sz w:val="20"/>
        </w:rPr>
        <w:t xml:space="preserve"> </w:t>
      </w:r>
      <w:r>
        <w:rPr>
          <w:rFonts w:ascii="Arial;sans-serif" w:hAnsi="Arial;sans-serif"/>
          <w:b w:val="false"/>
          <w:sz w:val="19"/>
        </w:rPr>
        <w:t>shares remain available for future grants as of March 31, 2023.</w:t>
      </w:r>
    </w:p>
    <w:p>
      <w:pPr>
        <w:pStyle w:val="TextBody"/>
        <w:spacing w:before="160" w:after="0"/>
        <w:jc w:val="left"/>
        <w:rPr>
          <w:rFonts w:ascii="Arial;sans-serif" w:hAnsi="Arial;sans-serif"/>
          <w:b/>
          <w:i/>
          <w:sz w:val="19"/>
        </w:rPr>
      </w:pPr>
      <w:r>
        <w:rPr>
          <w:rFonts w:ascii="Arial;sans-serif" w:hAnsi="Arial;sans-serif"/>
          <w:b/>
          <w:i/>
          <w:sz w:val="19"/>
        </w:rPr>
        <w:t>Stock Options</w:t>
      </w:r>
    </w:p>
    <w:p>
      <w:pPr>
        <w:pStyle w:val="TextBody"/>
        <w:spacing w:before="120" w:after="0"/>
        <w:jc w:val="left"/>
        <w:rPr>
          <w:rFonts w:ascii="Arial;sans-serif" w:hAnsi="Arial;sans-serif"/>
          <w:b w:val="false"/>
          <w:sz w:val="19"/>
        </w:rPr>
      </w:pPr>
      <w:r>
        <w:rPr>
          <w:rFonts w:ascii="Arial;sans-serif" w:hAnsi="Arial;sans-serif"/>
          <w:b w:val="false"/>
          <w:sz w:val="19"/>
        </w:rPr>
        <w:t>Stock option activity is summarized as follows:</w:t>
      </w:r>
    </w:p>
    <w:tbl>
      <w:tblPr>
        <w:tblW w:w="10061" w:type="dxa"/>
        <w:jc w:val="left"/>
        <w:tblInd w:w="0" w:type="dxa"/>
        <w:tblCellMar>
          <w:top w:w="28" w:type="dxa"/>
          <w:left w:w="28" w:type="dxa"/>
          <w:bottom w:w="28" w:type="dxa"/>
          <w:right w:w="28" w:type="dxa"/>
        </w:tblCellMar>
      </w:tblPr>
      <w:tblGrid>
        <w:gridCol w:w="3421"/>
        <w:gridCol w:w="146"/>
        <w:gridCol w:w="146"/>
        <w:gridCol w:w="964"/>
        <w:gridCol w:w="166"/>
        <w:gridCol w:w="146"/>
        <w:gridCol w:w="320"/>
        <w:gridCol w:w="731"/>
        <w:gridCol w:w="146"/>
        <w:gridCol w:w="426"/>
        <w:gridCol w:w="349"/>
        <w:gridCol w:w="1151"/>
        <w:gridCol w:w="146"/>
        <w:gridCol w:w="426"/>
        <w:gridCol w:w="236"/>
        <w:gridCol w:w="950"/>
        <w:gridCol w:w="191"/>
      </w:tblGrid>
      <w:tr>
        <w:trPr/>
        <w:tc>
          <w:tcPr>
            <w:tcW w:w="3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w:t>
              <w:br/>
              <w:t>STOCK</w:t>
              <w:b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WEIGHTED-</w:t>
              <w:br/>
              <w:t>AVERAGE</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WEIGHTED-</w:t>
              <w:br/>
              <w:t>AVERAGE</w:t>
              <w:br/>
              <w:t>REMAINING</w:t>
              <w:br/>
              <w:t>CONTRACTUAL</w:t>
              <w:br/>
              <w:t>TERM (IN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AGGREGATE</w:t>
              <w:br/>
              <w:t>INTRINSIC</w:t>
              <w:br/>
              <w:t>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Outstanding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5,645,420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2.77</w:t>
            </w:r>
          </w:p>
        </w:tc>
        <w:tc>
          <w:tcPr>
            <w:tcW w:w="146"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firstLine="280"/>
              <w:jc w:val="left"/>
              <w:rPr/>
            </w:pPr>
            <w:r>
              <w:rPr/>
              <w:t> </w:t>
            </w:r>
          </w:p>
        </w:tc>
        <w:tc>
          <w:tcPr>
            <w:tcW w:w="1500" w:type="dxa"/>
            <w:gridSpan w:val="2"/>
            <w:tcBorders/>
            <w:shd w:fill="auto" w:val="clear"/>
            <w:vAlign w:val="center"/>
          </w:tcPr>
          <w:p>
            <w:pPr>
              <w:pStyle w:val="TableContents"/>
              <w:spacing w:before="0" w:after="0"/>
              <w:ind w:left="28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shd w:fill="auto" w:val="clear"/>
            <w:vAlign w:val="center"/>
          </w:tcPr>
          <w:p>
            <w:pPr>
              <w:pStyle w:val="TableContents"/>
              <w:spacing w:before="0" w:after="0"/>
              <w:ind w:left="0" w:right="0" w:firstLine="280"/>
              <w:jc w:val="left"/>
              <w:rPr/>
            </w:pPr>
            <w:r>
              <w:rPr/>
              <w:t> </w:t>
            </w:r>
          </w:p>
        </w:tc>
        <w:tc>
          <w:tcPr>
            <w:tcW w:w="1186" w:type="dxa"/>
            <w:gridSpan w:val="2"/>
            <w:tcBorders/>
            <w:shd w:fill="auto" w:val="clear"/>
            <w:vAlign w:val="center"/>
          </w:tcPr>
          <w:p>
            <w:pPr>
              <w:pStyle w:val="TableContents"/>
              <w:spacing w:before="0" w:after="0"/>
              <w:ind w:left="28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1.66</w:t>
            </w:r>
          </w:p>
        </w:tc>
        <w:tc>
          <w:tcPr>
            <w:tcW w:w="146"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shd w:fill="auto" w:val="clear"/>
            <w:vAlign w:val="center"/>
          </w:tcPr>
          <w:p>
            <w:pPr>
              <w:pStyle w:val="TableContents"/>
              <w:spacing w:before="0" w:after="0"/>
              <w:ind w:left="0" w:right="0" w:hanging="0"/>
              <w:jc w:val="left"/>
              <w:rPr/>
            </w:pPr>
            <w:r>
              <w:rPr/>
              <w:t> </w:t>
            </w:r>
          </w:p>
        </w:tc>
        <w:tc>
          <w:tcPr>
            <w:tcW w:w="1186"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0" w:type="dxa"/>
            <w:tcBorders/>
            <w:shd w:fill="auto" w:val="clear"/>
            <w:vAlign w:val="center"/>
          </w:tcPr>
          <w:p>
            <w:pPr>
              <w:pStyle w:val="TableContents"/>
              <w:spacing w:before="0" w:after="0"/>
              <w:ind w:left="0" w:right="0" w:hanging="0"/>
              <w:jc w:val="left"/>
              <w:rPr/>
            </w:pPr>
            <w:r>
              <w:rPr/>
              <w:t> </w:t>
            </w:r>
          </w:p>
        </w:tc>
        <w:tc>
          <w:tcPr>
            <w:tcW w:w="7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26" w:type="dxa"/>
            <w:tcBorders/>
            <w:shd w:fill="auto" w:val="clear"/>
            <w:vAlign w:val="center"/>
          </w:tcPr>
          <w:p>
            <w:pPr>
              <w:pStyle w:val="TableContents"/>
              <w:spacing w:before="0" w:after="0"/>
              <w:ind w:left="0" w:right="0" w:hanging="0"/>
              <w:jc w:val="left"/>
              <w:rPr/>
            </w:pPr>
            <w:r>
              <w:rPr/>
              <w:t> </w:t>
            </w:r>
          </w:p>
        </w:tc>
        <w:tc>
          <w:tcPr>
            <w:tcW w:w="150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426" w:type="dxa"/>
            <w:tcBorders/>
            <w:shd w:fill="auto" w:val="clear"/>
            <w:vAlign w:val="center"/>
          </w:tcPr>
          <w:p>
            <w:pPr>
              <w:pStyle w:val="TableContents"/>
              <w:spacing w:before="0" w:after="0"/>
              <w:ind w:left="0" w:right="0" w:hanging="0"/>
              <w:jc w:val="left"/>
              <w:rPr/>
            </w:pPr>
            <w:r>
              <w:rPr/>
              <w:t> </w:t>
            </w:r>
          </w:p>
        </w:tc>
        <w:tc>
          <w:tcPr>
            <w:tcW w:w="1186"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Cancelled, forfeited or expired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(227,061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4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Outstanding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5,479,359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7.36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7,000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Exercisable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3,064,562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7,000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42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Unvested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2,414,797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2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8.46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15</w:t>
      </w:r>
    </w:p>
    <w:p>
      <w:pPr>
        <w:pStyle w:val="HorizontalLine"/>
        <w:rPr/>
      </w:pPr>
      <w:r>
        <w:rPr/>
      </w:r>
    </w:p>
    <w:p>
      <w:pPr>
        <w:pStyle w:val="TextBody"/>
        <w:spacing w:before="120" w:after="0"/>
        <w:jc w:val="left"/>
        <w:rPr>
          <w:rFonts w:ascii="Times New Roman" w:hAnsi="Times New Roman"/>
          <w:sz w:val="20"/>
        </w:rPr>
      </w:pPr>
      <w:r>
        <w:rPr>
          <w:rFonts w:ascii="Arial;sans-serif" w:hAnsi="Arial;sans-serif"/>
          <w:b w:val="false"/>
          <w:sz w:val="19"/>
        </w:rPr>
        <w:t>The 2015 Plan, permits participants to use common stock they previously acquired to pay for the exercise of stock options based upon the fair value on the date of exercise. In connection with the exercise of a stock options to purchase 306,518</w:t>
      </w:r>
      <w:r>
        <w:rPr>
          <w:rFonts w:ascii="Times New Roman" w:hAnsi="Times New Roman"/>
          <w:sz w:val="20"/>
        </w:rPr>
        <w:t xml:space="preserve"> </w:t>
      </w:r>
      <w:r>
        <w:rPr>
          <w:rFonts w:ascii="Arial;sans-serif" w:hAnsi="Arial;sans-serif"/>
          <w:b w:val="false"/>
          <w:sz w:val="19"/>
        </w:rPr>
        <w:t>shares of our common stock at an exercise price of $1.46, option holders tendered 122,608</w:t>
      </w:r>
      <w:r>
        <w:rPr>
          <w:rFonts w:ascii="Times New Roman" w:hAnsi="Times New Roman"/>
          <w:sz w:val="20"/>
        </w:rPr>
        <w:t xml:space="preserve"> </w:t>
      </w:r>
      <w:r>
        <w:rPr>
          <w:rFonts w:ascii="Arial;sans-serif" w:hAnsi="Arial;sans-serif"/>
          <w:b w:val="false"/>
          <w:sz w:val="19"/>
        </w:rPr>
        <w:t>shares of our common stock previously acquired in consideration of the full aggregate exercise price in accordance with the terms of the option and the 2015 Plan. The shares tendered are recorded as treasury stock within the Company's condensed and consolidated financial statements at March 31, 2023.</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fair value of stock options granted was estimated on the grant date using the Black-Scholes option pricing model based on the following weighted-average assumptions:</w:t>
      </w:r>
      <w:r>
        <w:rPr>
          <w:rFonts w:ascii="Times New Roman" w:hAnsi="Times New Roman"/>
          <w:sz w:val="20"/>
        </w:rPr>
        <w:t xml:space="preserve"> </w:t>
      </w:r>
    </w:p>
    <w:tbl>
      <w:tblPr>
        <w:tblW w:w="6860" w:type="dxa"/>
        <w:jc w:val="left"/>
        <w:tblInd w:w="0" w:type="dxa"/>
        <w:tblCellMar>
          <w:top w:w="28" w:type="dxa"/>
          <w:left w:w="28" w:type="dxa"/>
          <w:bottom w:w="28" w:type="dxa"/>
          <w:right w:w="28" w:type="dxa"/>
        </w:tblCellMar>
      </w:tblPr>
      <w:tblGrid>
        <w:gridCol w:w="2551"/>
        <w:gridCol w:w="146"/>
        <w:gridCol w:w="373"/>
        <w:gridCol w:w="1232"/>
        <w:gridCol w:w="412"/>
        <w:gridCol w:w="210"/>
        <w:gridCol w:w="722"/>
        <w:gridCol w:w="883"/>
        <w:gridCol w:w="33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3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Expected option life (years)</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2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6.08</w:t>
            </w:r>
          </w:p>
        </w:tc>
        <w:tc>
          <w:tcPr>
            <w:tcW w:w="412"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20"/>
              </w:rPr>
              <w:t>6.02</w:t>
            </w:r>
            <w:r>
              <w:rPr>
                <w:rFonts w:ascii="Times New Roman" w:hAnsi="Times New Roman"/>
                <w:sz w:val="20"/>
              </w:rPr>
              <w:t> </w:t>
            </w:r>
            <w:r>
              <w:rPr>
                <w:rFonts w:ascii="Arial;sans-serif" w:hAnsi="Arial;sans-serif"/>
                <w:b w:val="false"/>
                <w:sz w:val="20"/>
              </w:rPr>
              <w:t>- 6.08</w:t>
            </w:r>
          </w:p>
        </w:tc>
        <w:tc>
          <w:tcPr>
            <w:tcW w:w="331" w:type="dxa"/>
            <w:tcBorders/>
            <w:shd w:fill="auto" w:val="clear"/>
            <w:vAlign w:val="center"/>
          </w:tcPr>
          <w:p>
            <w:pPr>
              <w:pStyle w:val="TableContents"/>
              <w:spacing w:before="0" w:after="0"/>
              <w:ind w:left="0" w:right="0" w:hanging="0"/>
              <w:jc w:val="right"/>
              <w:rPr/>
            </w:pPr>
            <w:r>
              <w:rPr/>
              <w:t> </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3.58% - 4.13%</w:t>
            </w:r>
          </w:p>
        </w:tc>
        <w:tc>
          <w:tcPr>
            <w:tcW w:w="412" w:type="dxa"/>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1.69% - 2.41%</w:t>
            </w:r>
          </w:p>
        </w:tc>
        <w:tc>
          <w:tcPr>
            <w:tcW w:w="331" w:type="dxa"/>
            <w:tcBorders/>
            <w:shd w:fill="auto" w:val="clear"/>
            <w:vAlign w:val="center"/>
          </w:tcPr>
          <w:p>
            <w:pPr>
              <w:pStyle w:val="TableContents"/>
              <w:spacing w:before="0" w:after="0"/>
              <w:ind w:left="0" w:right="0" w:hanging="0"/>
              <w:jc w:val="right"/>
              <w:rPr/>
            </w:pPr>
            <w:r>
              <w:rPr/>
              <w:t> </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91.33% - 92.25%</w:t>
            </w:r>
          </w:p>
        </w:tc>
        <w:tc>
          <w:tcPr>
            <w:tcW w:w="412" w:type="dxa"/>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85.20% - 85.58%</w:t>
            </w:r>
          </w:p>
        </w:tc>
        <w:tc>
          <w:tcPr>
            <w:tcW w:w="331" w:type="dxa"/>
            <w:tcBorders/>
            <w:shd w:fill="auto" w:val="clear"/>
            <w:vAlign w:val="center"/>
          </w:tcPr>
          <w:p>
            <w:pPr>
              <w:pStyle w:val="TableContents"/>
              <w:spacing w:before="0" w:after="0"/>
              <w:ind w:left="0" w:right="0" w:hanging="0"/>
              <w:jc w:val="right"/>
              <w:rPr/>
            </w:pPr>
            <w:r>
              <w:rPr/>
              <w:t> </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Expected dividend yield</w:t>
            </w:r>
          </w:p>
        </w:tc>
        <w:tc>
          <w:tcPr>
            <w:tcW w:w="146" w:type="dxa"/>
            <w:tcBorders/>
            <w:shd w:fill="auto" w:val="clear"/>
            <w:vAlign w:val="center"/>
          </w:tcPr>
          <w:p>
            <w:pPr>
              <w:pStyle w:val="TableContents"/>
              <w:spacing w:before="0" w:after="0"/>
              <w:ind w:left="0" w:right="0" w:hanging="0"/>
              <w:jc w:val="left"/>
              <w:rPr/>
            </w:pPr>
            <w:r>
              <w:rPr/>
              <w:t> </w:t>
            </w:r>
          </w:p>
        </w:tc>
        <w:tc>
          <w:tcPr>
            <w:tcW w:w="373" w:type="dxa"/>
            <w:tcBorders/>
            <w:shd w:fill="auto" w:val="clear"/>
            <w:vAlign w:val="center"/>
          </w:tcPr>
          <w:p>
            <w:pPr>
              <w:pStyle w:val="TableContents"/>
              <w:spacing w:before="0" w:after="0"/>
              <w:ind w:left="0" w:right="0" w:hanging="0"/>
              <w:jc w:val="left"/>
              <w:rPr/>
            </w:pPr>
            <w:r>
              <w:rPr/>
              <w:t> </w:t>
            </w:r>
          </w:p>
        </w:tc>
        <w:tc>
          <w:tcPr>
            <w:tcW w:w="123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41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210" w:type="dxa"/>
            <w:tcBorders/>
            <w:shd w:fill="auto" w:val="clear"/>
            <w:vAlign w:val="center"/>
          </w:tcPr>
          <w:p>
            <w:pPr>
              <w:pStyle w:val="TableContents"/>
              <w:spacing w:before="0" w:after="0"/>
              <w:ind w:left="0" w:right="0" w:hanging="0"/>
              <w:jc w:val="left"/>
              <w:rPr/>
            </w:pPr>
            <w:r>
              <w:rPr/>
              <w:t> </w:t>
            </w:r>
          </w:p>
        </w:tc>
        <w:tc>
          <w:tcPr>
            <w:tcW w:w="722" w:type="dxa"/>
            <w:tcBorders/>
            <w:shd w:fill="auto" w:val="clear"/>
            <w:vAlign w:val="center"/>
          </w:tcPr>
          <w:p>
            <w:pPr>
              <w:pStyle w:val="TableContents"/>
              <w:spacing w:before="0" w:after="0"/>
              <w:ind w:left="0" w:right="0" w:hanging="0"/>
              <w:jc w:val="left"/>
              <w:rPr/>
            </w:pPr>
            <w:r>
              <w:rPr/>
              <w:t> </w:t>
            </w:r>
          </w:p>
        </w:tc>
        <w:tc>
          <w:tcPr>
            <w:tcW w:w="88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0</w:t>
            </w:r>
          </w:p>
        </w:tc>
        <w:tc>
          <w:tcPr>
            <w:tcW w:w="3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Exercise price</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20"/>
              </w:rPr>
              <w:t>$1.35</w:t>
            </w:r>
            <w:r>
              <w:rPr>
                <w:rFonts w:ascii="Times New Roman" w:hAnsi="Times New Roman"/>
                <w:sz w:val="20"/>
              </w:rPr>
              <w:t> </w:t>
            </w:r>
            <w:r>
              <w:rPr>
                <w:rFonts w:ascii="Arial;sans-serif" w:hAnsi="Arial;sans-serif"/>
                <w:b w:val="false"/>
                <w:sz w:val="20"/>
              </w:rPr>
              <w:t>- $2.57</w:t>
            </w:r>
          </w:p>
        </w:tc>
        <w:tc>
          <w:tcPr>
            <w:tcW w:w="412" w:type="dxa"/>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20"/>
              </w:rPr>
              <w:t>$4.06</w:t>
            </w:r>
            <w:r>
              <w:rPr>
                <w:rFonts w:ascii="Times New Roman" w:hAnsi="Times New Roman"/>
                <w:sz w:val="20"/>
              </w:rPr>
              <w:t> </w:t>
            </w:r>
            <w:r>
              <w:rPr>
                <w:rFonts w:ascii="Arial;sans-serif" w:hAnsi="Arial;sans-serif"/>
                <w:b w:val="false"/>
                <w:sz w:val="20"/>
              </w:rPr>
              <w:t>- $5.09</w:t>
            </w:r>
          </w:p>
        </w:tc>
        <w:tc>
          <w:tcPr>
            <w:tcW w:w="331" w:type="dxa"/>
            <w:tcBorders/>
            <w:shd w:fill="auto" w:val="clear"/>
            <w:vAlign w:val="center"/>
          </w:tcPr>
          <w:p>
            <w:pPr>
              <w:pStyle w:val="TableContents"/>
              <w:spacing w:before="0" w:after="0"/>
              <w:ind w:left="0" w:right="0" w:hanging="0"/>
              <w:jc w:val="right"/>
              <w:rPr/>
            </w:pPr>
            <w:r>
              <w:rPr/>
              <w:t> </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Fair value of common stock</w:t>
            </w:r>
          </w:p>
        </w:tc>
        <w:tc>
          <w:tcPr>
            <w:tcW w:w="146"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20"/>
              </w:rPr>
              <w:t>$1.35</w:t>
            </w:r>
            <w:r>
              <w:rPr>
                <w:rFonts w:ascii="Times New Roman" w:hAnsi="Times New Roman"/>
                <w:sz w:val="20"/>
              </w:rPr>
              <w:t> </w:t>
            </w:r>
            <w:r>
              <w:rPr>
                <w:rFonts w:ascii="Arial;sans-serif" w:hAnsi="Arial;sans-serif"/>
                <w:b w:val="false"/>
                <w:sz w:val="20"/>
              </w:rPr>
              <w:t>- $2.57</w:t>
            </w:r>
          </w:p>
        </w:tc>
        <w:tc>
          <w:tcPr>
            <w:tcW w:w="412" w:type="dxa"/>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1605" w:type="dxa"/>
            <w:gridSpan w:val="2"/>
            <w:tcBorders/>
            <w:shd w:fill="auto" w:val="clear"/>
            <w:vAlign w:val="center"/>
          </w:tcPr>
          <w:p>
            <w:pPr>
              <w:pStyle w:val="TableContents"/>
              <w:spacing w:before="0" w:after="0"/>
              <w:ind w:left="0" w:right="0" w:hanging="0"/>
              <w:jc w:val="right"/>
              <w:rPr>
                <w:rFonts w:ascii="Times New Roman" w:hAnsi="Times New Roman"/>
                <w:sz w:val="20"/>
              </w:rPr>
            </w:pPr>
            <w:r>
              <w:rPr>
                <w:rFonts w:ascii="Arial;sans-serif" w:hAnsi="Arial;sans-serif"/>
                <w:b w:val="false"/>
                <w:sz w:val="20"/>
              </w:rPr>
              <w:t>$4.06</w:t>
            </w:r>
            <w:r>
              <w:rPr>
                <w:rFonts w:ascii="Times New Roman" w:hAnsi="Times New Roman"/>
                <w:sz w:val="20"/>
              </w:rPr>
              <w:t> </w:t>
            </w:r>
            <w:r>
              <w:rPr>
                <w:rFonts w:ascii="Arial;sans-serif" w:hAnsi="Arial;sans-serif"/>
                <w:b w:val="false"/>
                <w:sz w:val="20"/>
              </w:rPr>
              <w:t>- $5.09</w:t>
            </w:r>
          </w:p>
        </w:tc>
        <w:tc>
          <w:tcPr>
            <w:tcW w:w="33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Arial;sans-serif" w:hAnsi="Arial;sans-serif"/>
          <w:b w:val="false"/>
          <w:sz w:val="19"/>
        </w:rPr>
        <w:t>The total intrinsic value of stock options vested during the three months ended March 31, 2023 and 2022</w:t>
      </w:r>
      <w:r>
        <w:rPr>
          <w:rFonts w:ascii="Times New Roman" w:hAnsi="Times New Roman"/>
          <w:sz w:val="20"/>
        </w:rPr>
        <w:t xml:space="preserve"> </w:t>
      </w:r>
      <w:r>
        <w:rPr>
          <w:rFonts w:ascii="Arial;sans-serif" w:hAnsi="Arial;sans-serif"/>
          <w:b w:val="false"/>
          <w:sz w:val="19"/>
        </w:rPr>
        <w:t>was zero</w:t>
      </w:r>
      <w:r>
        <w:rPr>
          <w:rFonts w:ascii="Times New Roman" w:hAnsi="Times New Roman"/>
          <w:sz w:val="20"/>
        </w:rPr>
        <w:t xml:space="preserve"> </w:t>
      </w:r>
      <w:r>
        <w:rPr>
          <w:rFonts w:ascii="Arial;sans-serif" w:hAnsi="Arial;sans-serif"/>
          <w:b w:val="false"/>
          <w:sz w:val="19"/>
        </w:rPr>
        <w:t>and $1.2</w:t>
      </w:r>
      <w:r>
        <w:rPr>
          <w:rFonts w:ascii="Times New Roman" w:hAnsi="Times New Roman"/>
          <w:sz w:val="20"/>
        </w:rPr>
        <w:t xml:space="preserve"> </w:t>
      </w:r>
      <w:r>
        <w:rPr>
          <w:rFonts w:ascii="Arial;sans-serif" w:hAnsi="Arial;sans-serif"/>
          <w:b w:val="false"/>
          <w:sz w:val="19"/>
        </w:rPr>
        <w:t>million, respectively.</w:t>
      </w:r>
    </w:p>
    <w:p>
      <w:pPr>
        <w:pStyle w:val="TextBody"/>
        <w:spacing w:before="160" w:after="0"/>
        <w:jc w:val="left"/>
        <w:rPr>
          <w:rFonts w:ascii="Arial;sans-serif" w:hAnsi="Arial;sans-serif"/>
          <w:b/>
          <w:i/>
          <w:sz w:val="19"/>
        </w:rPr>
      </w:pPr>
      <w:r>
        <w:rPr>
          <w:rFonts w:ascii="Arial;sans-serif" w:hAnsi="Arial;sans-serif"/>
          <w:b/>
          <w:i/>
          <w:sz w:val="19"/>
        </w:rPr>
        <w:t>Restricted Stock Units</w:t>
      </w:r>
    </w:p>
    <w:p>
      <w:pPr>
        <w:pStyle w:val="TextBody"/>
        <w:spacing w:before="120" w:after="0"/>
        <w:jc w:val="left"/>
        <w:rPr>
          <w:rFonts w:ascii="Times New Roman" w:hAnsi="Times New Roman"/>
          <w:sz w:val="20"/>
        </w:rPr>
      </w:pPr>
      <w:r>
        <w:rPr>
          <w:rFonts w:ascii="Arial;sans-serif" w:hAnsi="Arial;sans-serif"/>
          <w:b w:val="false"/>
          <w:sz w:val="19"/>
        </w:rPr>
        <w:t>Under</w:t>
      </w:r>
      <w:r>
        <w:rPr>
          <w:rFonts w:ascii="Times New Roman" w:hAnsi="Times New Roman"/>
          <w:sz w:val="20"/>
        </w:rPr>
        <w:t xml:space="preserve"> </w:t>
      </w:r>
      <w:r>
        <w:rPr>
          <w:rFonts w:ascii="Arial;sans-serif" w:hAnsi="Arial;sans-serif"/>
          <w:b w:val="false"/>
          <w:sz w:val="19"/>
        </w:rPr>
        <w:t>the terms of the restricted stock unit agreements covering the common stock, shares of common stock related to restricted stock units are subject to time-based and performance-based vesting. The restricted stock units will immediately be forfeited to the Company if the relationship between the recipient and the Company ceases.</w:t>
      </w:r>
    </w:p>
    <w:p>
      <w:pPr>
        <w:pStyle w:val="TextBody"/>
        <w:spacing w:before="80" w:after="0"/>
        <w:jc w:val="left"/>
        <w:rPr>
          <w:rFonts w:ascii="Arial;sans-serif" w:hAnsi="Arial;sans-serif"/>
          <w:b w:val="false"/>
          <w:sz w:val="19"/>
        </w:rPr>
      </w:pPr>
      <w:r>
        <w:rPr>
          <w:rFonts w:ascii="Arial;sans-serif" w:hAnsi="Arial;sans-serif"/>
          <w:b w:val="false"/>
          <w:sz w:val="19"/>
        </w:rPr>
        <w:t>Restricted stock activity is summarized as follows:</w:t>
      </w:r>
    </w:p>
    <w:p>
      <w:pPr>
        <w:pStyle w:val="TextBody"/>
        <w:spacing w:before="0" w:after="0"/>
        <w:jc w:val="left"/>
        <w:rPr/>
      </w:pPr>
      <w:r>
        <w:rPr/>
        <w:t> </w:t>
      </w:r>
    </w:p>
    <w:tbl>
      <w:tblPr>
        <w:tblW w:w="6255" w:type="dxa"/>
        <w:jc w:val="left"/>
        <w:tblInd w:w="0" w:type="dxa"/>
        <w:tblCellMar>
          <w:top w:w="28" w:type="dxa"/>
          <w:left w:w="28" w:type="dxa"/>
          <w:bottom w:w="28" w:type="dxa"/>
          <w:right w:w="28" w:type="dxa"/>
        </w:tblCellMar>
      </w:tblPr>
      <w:tblGrid>
        <w:gridCol w:w="2926"/>
        <w:gridCol w:w="146"/>
        <w:gridCol w:w="172"/>
        <w:gridCol w:w="938"/>
        <w:gridCol w:w="146"/>
        <w:gridCol w:w="146"/>
        <w:gridCol w:w="484"/>
        <w:gridCol w:w="1106"/>
        <w:gridCol w:w="19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10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1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NUMBER OF</w:t>
              <w:b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WEIGHTED-</w:t>
              <w:br/>
              <w:t>AVERAGE GRANT</w:t>
              <w:br/>
              <w:t>DATE 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Unvested at December 31, 2022</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612,366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4"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10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1.71</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Granted</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4"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10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Vested</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shd w:fill="auto" w:val="clear"/>
            <w:vAlign w:val="center"/>
          </w:tcPr>
          <w:p>
            <w:pPr>
              <w:pStyle w:val="TableContents"/>
              <w:spacing w:before="0" w:after="0"/>
              <w:ind w:left="0" w:right="0" w:hanging="0"/>
              <w:jc w:val="left"/>
              <w:rPr/>
            </w:pPr>
            <w:r>
              <w:rPr/>
              <w:t> </w:t>
            </w:r>
          </w:p>
        </w:tc>
        <w:tc>
          <w:tcPr>
            <w:tcW w:w="93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4"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10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Forfeited</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4"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10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Unvested at March 31, 2023</w:t>
            </w:r>
          </w:p>
        </w:tc>
        <w:tc>
          <w:tcPr>
            <w:tcW w:w="146" w:type="dxa"/>
            <w:tcBorders/>
            <w:shd w:fill="auto" w:val="clear"/>
            <w:vAlign w:val="center"/>
          </w:tcPr>
          <w:p>
            <w:pPr>
              <w:pStyle w:val="TableContents"/>
              <w:spacing w:before="0" w:after="0"/>
              <w:ind w:left="0" w:right="0" w:hanging="0"/>
              <w:jc w:val="left"/>
              <w:rPr/>
            </w:pPr>
            <w:r>
              <w:rPr/>
              <w:t> </w:t>
            </w:r>
          </w:p>
        </w:tc>
        <w:tc>
          <w:tcPr>
            <w:tcW w:w="1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612,366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84"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10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1.71</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Arial;sans-serif" w:hAnsi="Arial;sans-serif"/>
          <w:b w:val="false"/>
          <w:sz w:val="19"/>
        </w:rPr>
        <w:t>The aggregate fair value of restricted stock units that vested during the three months ended March 31, 2023</w:t>
      </w:r>
      <w:r>
        <w:rPr>
          <w:rFonts w:ascii="Times New Roman" w:hAnsi="Times New Roman"/>
          <w:sz w:val="20"/>
        </w:rPr>
        <w:t xml:space="preserve"> </w:t>
      </w:r>
      <w:r>
        <w:rPr>
          <w:rFonts w:ascii="Arial;sans-serif" w:hAnsi="Arial;sans-serif"/>
          <w:b w:val="false"/>
          <w:sz w:val="19"/>
        </w:rPr>
        <w:t>was zero.</w:t>
      </w:r>
    </w:p>
    <w:p>
      <w:pPr>
        <w:pStyle w:val="TextBody"/>
        <w:spacing w:before="160" w:after="0"/>
        <w:jc w:val="left"/>
        <w:rPr>
          <w:rFonts w:ascii="Times New Roman" w:hAnsi="Times New Roman"/>
          <w:sz w:val="20"/>
        </w:rPr>
      </w:pPr>
      <w:r>
        <w:rPr>
          <w:rFonts w:ascii="Arial;sans-serif" w:hAnsi="Arial;sans-serif"/>
          <w:b/>
          <w:i/>
          <w:sz w:val="19"/>
        </w:rPr>
        <w:t>Stock-Based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Stock-based compensation expense for the three months ended March 31, 2023 and 2022 was classified in the condensed consolidated statements of operations as follows:</w:t>
      </w:r>
      <w:r>
        <w:rPr>
          <w:rFonts w:ascii="Times New Roman" w:hAnsi="Times New Roman"/>
          <w:sz w:val="20"/>
        </w:rPr>
        <w:t xml:space="preserve"> </w:t>
      </w:r>
    </w:p>
    <w:p>
      <w:pPr>
        <w:pStyle w:val="TextBody"/>
        <w:spacing w:before="0" w:after="0"/>
        <w:jc w:val="left"/>
        <w:rPr/>
      </w:pPr>
      <w:r>
        <w:rPr/>
        <w:t> </w:t>
      </w:r>
    </w:p>
    <w:tbl>
      <w:tblPr>
        <w:tblW w:w="6126" w:type="dxa"/>
        <w:jc w:val="left"/>
        <w:tblInd w:w="0" w:type="dxa"/>
        <w:tblCellMar>
          <w:top w:w="28" w:type="dxa"/>
          <w:left w:w="28" w:type="dxa"/>
          <w:bottom w:w="28" w:type="dxa"/>
          <w:right w:w="28" w:type="dxa"/>
        </w:tblCellMar>
      </w:tblPr>
      <w:tblGrid>
        <w:gridCol w:w="3751"/>
        <w:gridCol w:w="146"/>
        <w:gridCol w:w="276"/>
        <w:gridCol w:w="552"/>
        <w:gridCol w:w="191"/>
        <w:gridCol w:w="191"/>
        <w:gridCol w:w="276"/>
        <w:gridCol w:w="552"/>
        <w:gridCol w:w="191"/>
      </w:tblGrid>
      <w:tr>
        <w:trPr/>
        <w:tc>
          <w:tcPr>
            <w:tcW w:w="3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3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5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311</w:t>
            </w:r>
          </w:p>
        </w:tc>
        <w:tc>
          <w:tcPr>
            <w:tcW w:w="19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27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52"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142</w:t>
            </w:r>
          </w:p>
        </w:tc>
        <w:tc>
          <w:tcPr>
            <w:tcW w:w="191" w:type="dxa"/>
            <w:tcBorders/>
            <w:shd w:fill="auto" w:val="cle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350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 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733</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492</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sz w:val="20"/>
        </w:rPr>
      </w:pPr>
      <w:r>
        <w:rPr>
          <w:rFonts w:ascii="Arial;sans-serif" w:hAnsi="Arial;sans-serif"/>
          <w:b w:val="false"/>
          <w:sz w:val="19"/>
        </w:rPr>
        <w:t>As of March 31, 2023 and 2022, total unrecognized compensation cost related to the unvested stock-based awards was $6.2</w:t>
      </w:r>
      <w:r>
        <w:rPr>
          <w:rFonts w:ascii="Times New Roman" w:hAnsi="Times New Roman"/>
          <w:sz w:val="20"/>
        </w:rPr>
        <w:t xml:space="preserve"> </w:t>
      </w:r>
      <w:r>
        <w:rPr>
          <w:rFonts w:ascii="Arial;sans-serif" w:hAnsi="Arial;sans-serif"/>
          <w:b w:val="false"/>
          <w:sz w:val="19"/>
        </w:rPr>
        <w:t>million</w:t>
      </w:r>
      <w:r>
        <w:rPr>
          <w:rFonts w:ascii="Times New Roman" w:hAnsi="Times New Roman"/>
          <w:sz w:val="20"/>
        </w:rPr>
        <w:t xml:space="preserve"> </w:t>
      </w:r>
      <w:r>
        <w:rPr>
          <w:rFonts w:ascii="Arial;sans-serif" w:hAnsi="Arial;sans-serif"/>
          <w:b w:val="false"/>
          <w:sz w:val="19"/>
        </w:rPr>
        <w:t>and $7.5</w:t>
      </w:r>
      <w:r>
        <w:rPr>
          <w:rFonts w:ascii="Times New Roman" w:hAnsi="Times New Roman"/>
          <w:sz w:val="20"/>
        </w:rPr>
        <w:t xml:space="preserve"> </w:t>
      </w:r>
      <w:r>
        <w:rPr>
          <w:rFonts w:ascii="Arial;sans-serif" w:hAnsi="Arial;sans-serif"/>
          <w:b w:val="false"/>
          <w:sz w:val="19"/>
        </w:rPr>
        <w:t>million, respectively. As of March 31, 2023 and 2022, these amounts are expected to be recognized over a weighted average period of 2.30</w:t>
      </w:r>
      <w:r>
        <w:rPr>
          <w:rFonts w:ascii="Times New Roman" w:hAnsi="Times New Roman"/>
          <w:sz w:val="20"/>
        </w:rPr>
        <w:t xml:space="preserve"> </w:t>
      </w:r>
      <w:r>
        <w:rPr>
          <w:rFonts w:ascii="Arial;sans-serif" w:hAnsi="Arial;sans-serif"/>
          <w:b w:val="false"/>
          <w:sz w:val="19"/>
        </w:rPr>
        <w:t>and 2.45</w:t>
      </w:r>
      <w:r>
        <w:rPr>
          <w:rFonts w:ascii="Times New Roman" w:hAnsi="Times New Roman"/>
          <w:sz w:val="20"/>
        </w:rPr>
        <w:t xml:space="preserve"> </w:t>
      </w:r>
      <w:r>
        <w:rPr>
          <w:rFonts w:ascii="Arial;sans-serif" w:hAnsi="Arial;sans-serif"/>
          <w:b w:val="false"/>
          <w:sz w:val="19"/>
        </w:rPr>
        <w:t>years, respectively.</w:t>
      </w:r>
    </w:p>
    <w:p>
      <w:pPr>
        <w:pStyle w:val="TextBody"/>
        <w:spacing w:before="160" w:after="0"/>
        <w:jc w:val="left"/>
        <w:rPr>
          <w:rFonts w:ascii="Times New Roman" w:hAnsi="Times New Roman"/>
          <w:sz w:val="20"/>
        </w:rPr>
      </w:pPr>
      <w:r>
        <w:rPr>
          <w:rFonts w:ascii="Arial;sans-serif" w:hAnsi="Arial;sans-serif"/>
          <w:b/>
          <w:sz w:val="20"/>
        </w:rPr>
        <w:t>12. Income 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Deferred tax assets and deferred tax liabilities are recognized based on temporary differences between the financial reporting and tax basis of assets and liabilities using statutory rates. A valuation allowance is recorded against deferred tax assets if it is more likely than not that some or all of the deferred tax assets will not be realized. There were no</w:t>
      </w:r>
      <w:r>
        <w:rPr>
          <w:rFonts w:ascii="Times New Roman" w:hAnsi="Times New Roman"/>
          <w:sz w:val="20"/>
        </w:rPr>
        <w:t xml:space="preserve"> </w:t>
      </w:r>
      <w:r>
        <w:rPr>
          <w:rFonts w:ascii="Arial;sans-serif" w:hAnsi="Arial;sans-serif"/>
          <w:b w:val="false"/>
          <w:sz w:val="19"/>
        </w:rPr>
        <w:t>significant income tax provisions or benefits for the three months ended March 31, 2023 and 2022. Due to the uncertainty surrounding the realization</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16</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of the favorable tax attributes in future tax returns, including our ability to generate taxable income, the Company has recorded a full valuation allowance against the Company’s otherwise recognizable net deferred tax assets.</w:t>
      </w:r>
    </w:p>
    <w:p>
      <w:pPr>
        <w:pStyle w:val="TextBody"/>
        <w:spacing w:before="160" w:after="0"/>
        <w:jc w:val="left"/>
        <w:rPr>
          <w:rFonts w:ascii="Times New Roman" w:hAnsi="Times New Roman"/>
          <w:sz w:val="20"/>
        </w:rPr>
      </w:pPr>
      <w:r>
        <w:rPr>
          <w:rFonts w:ascii="Arial;sans-serif" w:hAnsi="Arial;sans-serif"/>
          <w:b/>
          <w:sz w:val="20"/>
        </w:rPr>
        <w:t>13. Exclusive licensing agreement with a related party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In March 2014, the Company entered into an exclusive licensing agreement with Ventagen, LLC (Ventagen) which provides Ventagen the right to develop products for commercial sale and distribution within Mexico, Belize, Guatemala, Honduras, El Salvador, Costa Rica, Nicaragua, Panama, Colombia, and Bolivia (the Territory). Ventagen paid the Company $1.0</w:t>
      </w:r>
      <w:r>
        <w:rPr>
          <w:rFonts w:ascii="Times New Roman" w:hAnsi="Times New Roman"/>
          <w:sz w:val="20"/>
        </w:rPr>
        <w:t xml:space="preserve"> </w:t>
      </w:r>
      <w:r>
        <w:rPr>
          <w:rFonts w:ascii="Arial;sans-serif" w:hAnsi="Arial;sans-serif"/>
          <w:b w:val="false"/>
          <w:sz w:val="19"/>
        </w:rPr>
        <w:t>million upon the signing of the agreement and agreed to a fixed future payment to the Company of $2.5</w:t>
      </w:r>
      <w:r>
        <w:rPr>
          <w:rFonts w:ascii="Times New Roman" w:hAnsi="Times New Roman"/>
          <w:sz w:val="20"/>
        </w:rPr>
        <w:t xml:space="preserve"> </w:t>
      </w:r>
      <w:r>
        <w:rPr>
          <w:rFonts w:ascii="Arial;sans-serif" w:hAnsi="Arial;sans-serif"/>
          <w:b w:val="false"/>
          <w:sz w:val="19"/>
        </w:rPr>
        <w:t>million. The future payment will be made upon the achievement of $5.0</w:t>
      </w:r>
      <w:r>
        <w:rPr>
          <w:rFonts w:ascii="Times New Roman" w:hAnsi="Times New Roman"/>
          <w:sz w:val="20"/>
        </w:rPr>
        <w:t xml:space="preserve"> </w:t>
      </w:r>
      <w:r>
        <w:rPr>
          <w:rFonts w:ascii="Arial;sans-serif" w:hAnsi="Arial;sans-serif"/>
          <w:b w:val="false"/>
          <w:sz w:val="19"/>
        </w:rPr>
        <w:t>million of sales of an approved product by Ventagen and is subject to reduction if Ventagen’s costs to develop an approved product exceeds $4.0</w:t>
      </w:r>
      <w:r>
        <w:rPr>
          <w:rFonts w:ascii="Times New Roman" w:hAnsi="Times New Roman"/>
          <w:sz w:val="20"/>
        </w:rPr>
        <w:t xml:space="preserve"> </w:t>
      </w:r>
      <w:r>
        <w:rPr>
          <w:rFonts w:ascii="Arial;sans-serif" w:hAnsi="Arial;sans-serif"/>
          <w:b w:val="false"/>
          <w:sz w:val="19"/>
        </w:rPr>
        <w:t>million. In addition to the upfront payment and the future payment, Ventagen agreed to purchase from the Company all manufactured product that is required for clinical or commercial purposes at a price of cost plus 25% of the wholesale price of the approved product, subject to a minimum or maximum price. In the event the Company is unable or unwilling to manufacture supply under the terms of the agreement, Ventagen has the right to manufacture its own supply and will be required to pay a fixed fee per dose sold. The Company also agreed to provide certain services to Ventagen related to Ventagen’s development plan. Stockholders of the Company own 49.5% of the voting stock of Ventagen, including 47% by the Company’s founders who are currently significant stockholders of the Company, and trusts for the benefit of their children.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had completely recognized the $1.0</w:t>
      </w:r>
      <w:r>
        <w:rPr>
          <w:rFonts w:ascii="Times New Roman" w:hAnsi="Times New Roman"/>
          <w:sz w:val="20"/>
        </w:rPr>
        <w:t xml:space="preserve"> </w:t>
      </w:r>
      <w:r>
        <w:rPr>
          <w:rFonts w:ascii="Arial;sans-serif" w:hAnsi="Arial;sans-serif"/>
          <w:b w:val="false"/>
          <w:sz w:val="19"/>
        </w:rPr>
        <w:t>million upfront license fee as research and development service revenue as of December 31, 2022.</w:t>
      </w:r>
    </w:p>
    <w:p>
      <w:pPr>
        <w:pStyle w:val="TextBody"/>
        <w:spacing w:before="160" w:after="0"/>
        <w:jc w:val="left"/>
        <w:rPr>
          <w:rFonts w:ascii="Times New Roman" w:hAnsi="Times New Roman"/>
          <w:sz w:val="20"/>
        </w:rPr>
      </w:pPr>
      <w:r>
        <w:rPr>
          <w:rFonts w:ascii="Arial;sans-serif" w:hAnsi="Arial;sans-serif"/>
          <w:b/>
          <w:sz w:val="20"/>
        </w:rPr>
        <w:t>14. Technology License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On January 20, 2018 the Company entered into an exclusive option agreement (Option Agreement) with MGB. Pursuant to the Option Agreement, the Company has obtained the exclusive right from MGB to negotiate an exclusive license to make, develop and commercialize rQNestin, a genetically modified oncolytic herpes simplex virus for the treatment of certain types of cancers. Pursuant to the Option Agreement, the Company will support a clinical trial to be conducted at MGB pursuant to the terms of a clinical trial agreement to be negotiated and the Company has committed to remitting $0.8</w:t>
      </w:r>
      <w:r>
        <w:rPr>
          <w:rFonts w:ascii="Times New Roman" w:hAnsi="Times New Roman"/>
          <w:sz w:val="20"/>
        </w:rPr>
        <w:t xml:space="preserve"> </w:t>
      </w:r>
      <w:r>
        <w:rPr>
          <w:rFonts w:ascii="Arial;sans-serif" w:hAnsi="Arial;sans-serif"/>
          <w:b w:val="false"/>
          <w:sz w:val="19"/>
        </w:rPr>
        <w:t>million in support of such clinical trial over the course of approximately three years. Upon execution of the Option Agreement, the Company remitted a non-refundable fee of $40,000</w:t>
      </w:r>
      <w:r>
        <w:rPr>
          <w:rFonts w:ascii="Times New Roman" w:hAnsi="Times New Roman"/>
          <w:sz w:val="20"/>
        </w:rPr>
        <w:t xml:space="preserve"> </w:t>
      </w:r>
      <w:r>
        <w:rPr>
          <w:rFonts w:ascii="Arial;sans-serif" w:hAnsi="Arial;sans-serif"/>
          <w:b w:val="false"/>
          <w:sz w:val="19"/>
        </w:rPr>
        <w:t>to MGB to be applied toward the Company’s on-going obligations to reimburse patent expenses.</w:t>
      </w:r>
      <w:r>
        <w:rPr>
          <w:rFonts w:ascii="Times New Roman" w:hAnsi="Times New Roman"/>
          <w:sz w:val="20"/>
        </w:rPr>
        <w:t xml:space="preserve"> </w:t>
      </w:r>
      <w:r>
        <w:rPr>
          <w:rFonts w:ascii="Arial;sans-serif" w:hAnsi="Arial;sans-serif"/>
          <w:b w:val="false"/>
          <w:sz w:val="19"/>
        </w:rPr>
        <w:t>During the three months ended March 31, 2023 and 2022,</w:t>
      </w:r>
      <w:r>
        <w:rPr>
          <w:rFonts w:ascii="Times New Roman" w:hAnsi="Times New Roman"/>
          <w:sz w:val="20"/>
        </w:rPr>
        <w:t xml:space="preserve"> </w:t>
      </w:r>
      <w:r>
        <w:rPr>
          <w:rFonts w:ascii="Arial;sans-serif" w:hAnsi="Arial;sans-serif"/>
          <w:b w:val="false"/>
          <w:sz w:val="19"/>
        </w:rPr>
        <w:t>the Company did not expense any startup and patient fees for clinical trials performed by MGB.</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On September 15, 2020, the Company exercised the Option Agreement with MGB and entered into an exclusive worldwide patent license agreement with MGB (the MGB License). In connection with the MGB License, the Company paid a fee of $0.1</w:t>
      </w:r>
      <w:r>
        <w:rPr>
          <w:rFonts w:ascii="Times New Roman" w:hAnsi="Times New Roman"/>
          <w:sz w:val="20"/>
        </w:rPr>
        <w:t xml:space="preserve"> </w:t>
      </w:r>
      <w:r>
        <w:rPr>
          <w:rFonts w:ascii="Arial;sans-serif" w:hAnsi="Arial;sans-serif"/>
          <w:b w:val="false"/>
          <w:sz w:val="19"/>
        </w:rPr>
        <w:t>million and agreed to reimburse patent costs incurred by MGB, including $0.1</w:t>
      </w:r>
      <w:r>
        <w:rPr>
          <w:rFonts w:ascii="Times New Roman" w:hAnsi="Times New Roman"/>
          <w:sz w:val="20"/>
        </w:rPr>
        <w:t xml:space="preserve"> </w:t>
      </w:r>
      <w:r>
        <w:rPr>
          <w:rFonts w:ascii="Arial;sans-serif" w:hAnsi="Arial;sans-serif"/>
          <w:b w:val="false"/>
          <w:sz w:val="19"/>
        </w:rPr>
        <w:t>million paid at the time of entering into the MGB License. Prior to the first commercial sale, the Company is required to pay MGB an annual license fee of $50,000</w:t>
      </w:r>
      <w:r>
        <w:rPr>
          <w:rFonts w:ascii="Times New Roman" w:hAnsi="Times New Roman"/>
          <w:sz w:val="20"/>
        </w:rPr>
        <w:t xml:space="preserve"> </w:t>
      </w:r>
      <w:r>
        <w:rPr>
          <w:rFonts w:ascii="Arial;sans-serif" w:hAnsi="Arial;sans-serif"/>
          <w:b w:val="false"/>
          <w:sz w:val="19"/>
        </w:rPr>
        <w:t>beginning following the fourth anniversary of the effective date. The MGB License contains cumulative milestone payments equaling a maximum amount of $39.0</w:t>
      </w:r>
      <w:r>
        <w:rPr>
          <w:rFonts w:ascii="Times New Roman" w:hAnsi="Times New Roman"/>
          <w:sz w:val="20"/>
        </w:rPr>
        <w:t xml:space="preserve"> </w:t>
      </w:r>
      <w:r>
        <w:rPr>
          <w:rFonts w:ascii="Arial;sans-serif" w:hAnsi="Arial;sans-serif"/>
          <w:b w:val="false"/>
          <w:sz w:val="19"/>
        </w:rPr>
        <w:t>million upon the achievement of various clinical, commercial and sales milestones of both primary and secondary products. Following the first commercial sale, the Company is required to pay royalties to MGB, which are paid at an increasing rate as net sales increase, ranging from low single digits to high single digits. In addition, after the first commercial sale, the Company is required to pay MGB a pre-determined fixed annual minimum royalty, which amount may be credited against earned royalties starting in the fourth year following the first commercial sale. The Company also agreed to pay a single digit royalty rate on net sales of any derived products.</w:t>
      </w:r>
    </w:p>
    <w:p>
      <w:pPr>
        <w:pStyle w:val="TextBody"/>
        <w:spacing w:before="160" w:after="0"/>
        <w:jc w:val="left"/>
        <w:rPr>
          <w:rFonts w:ascii="Times New Roman" w:hAnsi="Times New Roman"/>
          <w:sz w:val="20"/>
        </w:rPr>
      </w:pPr>
      <w:r>
        <w:rPr>
          <w:rFonts w:ascii="Arial;sans-serif" w:hAnsi="Arial;sans-serif"/>
          <w:b/>
          <w:sz w:val="20"/>
        </w:rPr>
        <w:t>15. Commitments and Contingencies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Guarantees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has identified the guarantees described below as disclosable, in accordance with ASC 460,</w:t>
      </w:r>
      <w:r>
        <w:rPr>
          <w:rFonts w:ascii="Times New Roman" w:hAnsi="Times New Roman"/>
          <w:sz w:val="20"/>
        </w:rPr>
        <w:t xml:space="preserve"> </w:t>
      </w:r>
      <w:r>
        <w:rPr>
          <w:rFonts w:ascii="Arial;sans-serif" w:hAnsi="Arial;sans-serif"/>
          <w:b w:val="false"/>
          <w:i/>
          <w:sz w:val="19"/>
        </w:rPr>
        <w:t>Guarantees</w:t>
      </w:r>
      <w:r>
        <w:rPr>
          <w:rFonts w:ascii="Arial;sans-serif" w:hAnsi="Arial;sans-serif"/>
          <w:b w:val="false"/>
          <w:sz w:val="19"/>
        </w:rPr>
        <w: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leases office space under a noncancelable operating lease expiring in 2026. The Company has standard indemnification arrangements under this lease that require it to indemnify the landlord against all costs, expenses, fines, suits,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17</w:t>
      </w:r>
    </w:p>
    <w:p>
      <w:pPr>
        <w:pStyle w:val="HorizontalLine"/>
        <w:rPr/>
      </w:pPr>
      <w:r>
        <w:rPr/>
      </w:r>
    </w:p>
    <w:p>
      <w:pPr>
        <w:pStyle w:val="TextBody"/>
        <w:spacing w:before="120" w:after="0"/>
        <w:jc w:val="left"/>
        <w:rPr>
          <w:rFonts w:ascii="Times New Roman" w:hAnsi="Times New Roman"/>
          <w:sz w:val="20"/>
        </w:rPr>
      </w:pPr>
      <w:r>
        <w:rPr>
          <w:rFonts w:ascii="Arial;sans-serif" w:hAnsi="Arial;sans-serif"/>
          <w:b w:val="false"/>
          <w:sz w:val="19"/>
        </w:rPr>
        <w:t>claims, demands, liabilities, and actions directly resulting from any breach, violation, or nonperformance of any covenant or condition of the lease.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As of March 31, 2023,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Legal Proceedings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 xml:space="preserve">From </w:t>
      </w:r>
      <w:r>
        <w:rPr>
          <w:rFonts w:ascii="Arial;sans-serif" w:hAnsi="Arial;sans-serif"/>
          <w:b w:val="false"/>
          <w:sz w:val="19"/>
        </w:rPr>
        <w:t>time to time, we may become involved in litigation or other legal proceedings.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We have denied Periphagen’s claims. On January 13, 2023, we filed a demand for arbitration against Periphagen with the American Arbitration Association, seeking a declaration that Periphagen’s December 15 letter failed to comply with the dispute and escalation provisions in the Periphagen License Agreement. After filing the demand, the parties began engaging in the dispute and escalation process under the Periphagen License Agreement. On March 10, 2023, Periphagen filed its answer and counterclaims to our demand for arbitration. In its counterclaims, Periphagen seeks a declaration that we have not used commercially reasonable efforts to complete a human proof of concept clinical trial of the NT-3 Asset and a declaration that any further extension of time would not be scientifically or commercially reasonable. Periphagen also seeks a declaration that we must use commercially reasonable efforts to develop the NT-3 Asset during any remaining time under the agreement. We have denied Periphagen’s counterclaims.</w:t>
      </w:r>
    </w:p>
    <w:p>
      <w:pPr>
        <w:pStyle w:val="TextBody"/>
        <w:spacing w:before="120" w:after="0"/>
        <w:jc w:val="left"/>
        <w:rPr>
          <w:rFonts w:ascii="Arial;sans-serif" w:hAnsi="Arial;sans-serif"/>
          <w:b w:val="false"/>
          <w:sz w:val="19"/>
        </w:rPr>
      </w:pPr>
      <w:r>
        <w:rPr>
          <w:rFonts w:ascii="Arial;sans-serif" w:hAnsi="Arial;sans-serif"/>
          <w:b w:val="false"/>
          <w:sz w:val="19"/>
        </w:rPr>
        <w:t>In the event the parties are unable to resolve the dispute as part of the escalation process, an arbitrator will decide whether we have used commercially reasonable efforts. In the event that the arbitrator determines that we have not used commercially reasonable efforts, then we may submit a specified payment in lieu of satisfying such obligations.</w:t>
      </w:r>
    </w:p>
    <w:p>
      <w:pPr>
        <w:pStyle w:val="TextBody"/>
        <w:spacing w:before="120" w:after="0"/>
        <w:jc w:val="left"/>
        <w:rPr>
          <w:rFonts w:ascii="Arial;sans-serif" w:hAnsi="Arial;sans-serif"/>
          <w:b w:val="false"/>
          <w:sz w:val="19"/>
        </w:rPr>
      </w:pPr>
      <w:r>
        <w:rPr>
          <w:rFonts w:ascii="Arial;sans-serif" w:hAnsi="Arial;sans-serif"/>
          <w:b w:val="false"/>
          <w:sz w:val="19"/>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pStyle w:val="TextBody"/>
        <w:spacing w:before="160" w:after="0"/>
        <w:jc w:val="left"/>
        <w:rPr>
          <w:rFonts w:ascii="Times New Roman" w:hAnsi="Times New Roman"/>
          <w:sz w:val="20"/>
        </w:rPr>
      </w:pPr>
      <w:r>
        <w:rPr>
          <w:rFonts w:ascii="Arial;sans-serif" w:hAnsi="Arial;sans-serif"/>
          <w:b/>
          <w:sz w:val="20"/>
        </w:rPr>
        <w:t>16. Net Loss Per Share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i/>
          <w:sz w:val="20"/>
        </w:rPr>
        <w:t>Net Loss Per Share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Basic and diluted net loss per share was calculated as follows (in thousands except per share amounts):</w:t>
      </w:r>
      <w:r>
        <w:rPr>
          <w:rFonts w:ascii="Times New Roman" w:hAnsi="Times New Roman"/>
          <w:sz w:val="20"/>
        </w:rPr>
        <w:t xml:space="preserve"> </w:t>
      </w:r>
    </w:p>
    <w:p>
      <w:pPr>
        <w:pStyle w:val="TextBody"/>
        <w:spacing w:before="0" w:after="0"/>
        <w:jc w:val="left"/>
        <w:rPr/>
      </w:pPr>
      <w:r>
        <w:rPr/>
        <w:t> </w:t>
      </w:r>
    </w:p>
    <w:tbl>
      <w:tblPr>
        <w:tblW w:w="7384" w:type="dxa"/>
        <w:jc w:val="left"/>
        <w:tblInd w:w="0" w:type="dxa"/>
        <w:tblCellMar>
          <w:top w:w="28" w:type="dxa"/>
          <w:left w:w="28" w:type="dxa"/>
          <w:bottom w:w="28" w:type="dxa"/>
          <w:right w:w="28" w:type="dxa"/>
        </w:tblCellMar>
      </w:tblPr>
      <w:tblGrid>
        <w:gridCol w:w="3901"/>
        <w:gridCol w:w="146"/>
        <w:gridCol w:w="211"/>
        <w:gridCol w:w="1066"/>
        <w:gridCol w:w="166"/>
        <w:gridCol w:w="146"/>
        <w:gridCol w:w="211"/>
        <w:gridCol w:w="1066"/>
        <w:gridCol w:w="471"/>
      </w:tblGrid>
      <w:tr>
        <w:trPr/>
        <w:tc>
          <w:tcPr>
            <w:tcW w:w="39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90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01" w:type="dxa"/>
            <w:tcBorders/>
            <w:shd w:fill="auto" w:val="clear"/>
            <w:vAlign w:val="center"/>
          </w:tcPr>
          <w:p>
            <w:pPr>
              <w:pStyle w:val="TableContents"/>
              <w:spacing w:before="0" w:after="0"/>
              <w:ind w:left="0" w:right="0" w:hanging="0"/>
              <w:jc w:val="left"/>
              <w:rPr>
                <w:rFonts w:ascii="Arial;sans-serif" w:hAnsi="Arial;sans-serif"/>
                <w:b/>
                <w:sz w:val="20"/>
              </w:rPr>
            </w:pPr>
            <w:r>
              <w:rPr>
                <w:rFonts w:ascii="Arial;sans-serif" w:hAnsi="Arial;sans-serif"/>
                <w:b/>
                <w:sz w:val="20"/>
              </w:rPr>
              <w:t>Numerator:</w:t>
            </w:r>
          </w:p>
        </w:tc>
        <w:tc>
          <w:tcPr>
            <w:tcW w:w="146" w:type="dxa"/>
            <w:tcBorders/>
            <w:shd w:fill="auto" w:val="clear"/>
            <w:vAlign w:val="center"/>
          </w:tcPr>
          <w:p>
            <w:pPr>
              <w:pStyle w:val="TableContents"/>
              <w:spacing w:before="0" w:after="0"/>
              <w:ind w:left="0" w:right="0" w:hanging="0"/>
              <w:jc w:val="center"/>
              <w:rPr/>
            </w:pPr>
            <w:r>
              <w:rPr/>
              <w:t> </w:t>
            </w:r>
          </w:p>
        </w:tc>
        <w:tc>
          <w:tcPr>
            <w:tcW w:w="12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4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80"/>
              <w:jc w:val="center"/>
              <w:rPr/>
            </w:pPr>
            <w:r>
              <w:rPr/>
              <w:t> </w:t>
            </w:r>
          </w:p>
        </w:tc>
      </w:tr>
      <w:tr>
        <w:trPr/>
        <w:tc>
          <w:tcPr>
            <w:tcW w:w="3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(8,795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(874</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r>
      <w:tr>
        <w:trPr/>
        <w:tc>
          <w:tcPr>
            <w:tcW w:w="3901" w:type="dxa"/>
            <w:tcBorders/>
            <w:shd w:fill="auto" w:val="clear"/>
            <w:vAlign w:val="center"/>
          </w:tcPr>
          <w:p>
            <w:pPr>
              <w:pStyle w:val="TableContents"/>
              <w:spacing w:before="0" w:after="0"/>
              <w:ind w:left="0" w:right="0" w:hanging="0"/>
              <w:jc w:val="left"/>
              <w:rPr>
                <w:rFonts w:ascii="Arial;sans-serif" w:hAnsi="Arial;sans-serif"/>
                <w:b/>
                <w:sz w:val="19"/>
              </w:rPr>
            </w:pPr>
            <w:r>
              <w:rPr>
                <w:rFonts w:ascii="Arial;sans-serif" w:hAnsi="Arial;sans-serif"/>
                <w:b/>
                <w:sz w:val="19"/>
              </w:rPr>
              <w:t>Denominator:</w:t>
            </w:r>
          </w:p>
        </w:tc>
        <w:tc>
          <w:tcPr>
            <w:tcW w:w="146" w:type="dxa"/>
            <w:tcBorders/>
            <w:shd w:fill="auto" w:val="clear"/>
            <w:vAlign w:val="center"/>
          </w:tcPr>
          <w:p>
            <w:pPr>
              <w:pStyle w:val="TableContents"/>
              <w:spacing w:before="0" w:after="0"/>
              <w:ind w:left="0" w:right="0" w:hanging="0"/>
              <w:jc w:val="left"/>
              <w:rPr/>
            </w:pPr>
            <w:r>
              <w:rPr/>
              <w:t> </w:t>
            </w:r>
          </w:p>
        </w:tc>
        <w:tc>
          <w:tcPr>
            <w:tcW w:w="127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77" w:type="dxa"/>
            <w:gridSpan w:val="2"/>
            <w:tcBorders/>
            <w:shd w:fill="auto" w:val="clear"/>
            <w:vAlign w:val="center"/>
          </w:tcPr>
          <w:p>
            <w:pPr>
              <w:pStyle w:val="TableContents"/>
              <w:spacing w:before="0" w:after="0"/>
              <w:ind w:left="0" w:right="0" w:hanging="0"/>
              <w:jc w:val="right"/>
              <w:rPr/>
            </w:pPr>
            <w:r>
              <w:rPr/>
              <w:t> </w:t>
            </w:r>
          </w:p>
        </w:tc>
        <w:tc>
          <w:tcPr>
            <w:tcW w:w="471" w:type="dxa"/>
            <w:tcBorders/>
            <w:shd w:fill="auto" w:val="clear"/>
            <w:vAlign w:val="center"/>
          </w:tcPr>
          <w:p>
            <w:pPr>
              <w:pStyle w:val="TableContents"/>
              <w:spacing w:before="0" w:after="0"/>
              <w:ind w:left="0" w:right="0" w:firstLine="280"/>
              <w:jc w:val="right"/>
              <w:rPr/>
            </w:pPr>
            <w:r>
              <w:rPr/>
              <w:t> </w:t>
            </w:r>
          </w:p>
        </w:tc>
      </w:tr>
      <w:tr>
        <w:trPr/>
        <w:tc>
          <w:tcPr>
            <w:tcW w:w="3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Weighted-average shares of common stock</w:t>
              <w:br/>
              <w:t>   outstanding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28,919,810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28,690,511</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280"/>
              <w:jc w:val="left"/>
              <w:rPr/>
            </w:pPr>
            <w:r>
              <w:rPr/>
              <w:t> </w:t>
            </w:r>
          </w:p>
        </w:tc>
      </w:tr>
      <w:tr>
        <w:trPr/>
        <w:tc>
          <w:tcPr>
            <w:tcW w:w="3901" w:type="dxa"/>
            <w:tcBorders/>
            <w:shd w:fill="auto" w:val="clear"/>
            <w:vAlign w:val="center"/>
          </w:tcPr>
          <w:p>
            <w:pPr>
              <w:pStyle w:val="TableContents"/>
              <w:spacing w:before="0" w:after="0"/>
              <w:ind w:left="280" w:right="0" w:hanging="0"/>
              <w:jc w:val="left"/>
              <w:rPr>
                <w:rFonts w:ascii="Arial;sans-serif" w:hAnsi="Arial;sans-serif"/>
                <w:b w:val="false"/>
                <w:sz w:val="19"/>
              </w:rPr>
            </w:pPr>
            <w:r>
              <w:rPr>
                <w:rFonts w:ascii="Arial;sans-serif" w:hAnsi="Arial;sans-serif"/>
                <w:b w:val="false"/>
                <w:sz w:val="19"/>
              </w:rPr>
              <w:t>Net loss per share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(0.30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(0.03</w:t>
            </w:r>
          </w:p>
        </w:tc>
        <w:tc>
          <w:tcPr>
            <w:tcW w:w="4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w:t>
            </w:r>
          </w:p>
        </w:tc>
      </w:tr>
    </w:tbl>
    <w:p>
      <w:pPr>
        <w:pStyle w:val="TextBody"/>
        <w:spacing w:before="120" w:after="0"/>
        <w:jc w:val="left"/>
        <w:rPr>
          <w:rFonts w:ascii="Times New Roman" w:hAnsi="Times New Roman"/>
          <w:sz w:val="20"/>
        </w:rPr>
      </w:pPr>
      <w:r>
        <w:rPr>
          <w:rFonts w:ascii="Arial;sans-serif" w:hAnsi="Arial;sans-serif"/>
          <w:b w:val="false"/>
          <w:sz w:val="19"/>
        </w:rPr>
        <w:t>The Company’s potentially dilutive securities have been excluded from the computation of dilutive net loss per share as the effect would be to reduce the net loss per share. Therefore, the weighted-average number of shares of common stock outstanding used to calculate both basic and diluted net loss per share is the same.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Company excluded the following potential shares of common stock from the computation of diluted net loss per share attributable to common stockholders because including them would have had an anti-dilutive effect.</w:t>
      </w:r>
      <w:r>
        <w:rPr>
          <w:rFonts w:ascii="Times New Roman" w:hAnsi="Times New Roman"/>
          <w:sz w:val="20"/>
        </w:rPr>
        <w:t xml:space="preserve"> </w:t>
      </w:r>
    </w:p>
    <w:p>
      <w:pPr>
        <w:pStyle w:val="TextBody"/>
        <w:spacing w:before="180" w:after="0"/>
        <w:jc w:val="left"/>
        <w:rPr/>
      </w:pPr>
      <w:r>
        <w:rPr/>
        <w:t> </w:t>
      </w:r>
    </w:p>
    <w:tbl>
      <w:tblPr>
        <w:tblW w:w="8334" w:type="dxa"/>
        <w:jc w:val="left"/>
        <w:tblInd w:w="0" w:type="dxa"/>
        <w:tblCellMar>
          <w:top w:w="28" w:type="dxa"/>
          <w:left w:w="28" w:type="dxa"/>
          <w:bottom w:w="28" w:type="dxa"/>
          <w:right w:w="28" w:type="dxa"/>
        </w:tblCellMar>
      </w:tblPr>
      <w:tblGrid>
        <w:gridCol w:w="5281"/>
        <w:gridCol w:w="146"/>
        <w:gridCol w:w="146"/>
        <w:gridCol w:w="1066"/>
        <w:gridCol w:w="146"/>
        <w:gridCol w:w="146"/>
        <w:gridCol w:w="146"/>
        <w:gridCol w:w="1066"/>
        <w:gridCol w:w="191"/>
      </w:tblGrid>
      <w:tr>
        <w:trPr/>
        <w:tc>
          <w:tcPr>
            <w:tcW w:w="52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71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8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Outstanding warrants for 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7,507,708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7,507,708</w:t>
            </w:r>
          </w:p>
        </w:tc>
        <w:tc>
          <w:tcPr>
            <w:tcW w:w="191" w:type="dxa"/>
            <w:tcBorders/>
            <w:shd w:fill="auto" w:val="cle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Outstanding stock options (as converted to 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5,479,355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6" w:type="dxa"/>
            <w:tcBorders/>
            <w:shd w:fill="auto" w:val="cle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5,645,420</w:t>
            </w:r>
          </w:p>
        </w:tc>
        <w:tc>
          <w:tcPr>
            <w:tcW w:w="191" w:type="dxa"/>
            <w:tcBorders/>
            <w:shd w:fill="auto" w:val="cle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Unvested restricted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612,366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612,366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8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12,987,063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19"/>
              </w:rPr>
            </w:pPr>
            <w:r>
              <w:rPr>
                <w:rFonts w:ascii="Arial;sans-serif" w:hAnsi="Arial;sans-serif"/>
                <w:b w:val="false"/>
                <w:sz w:val="19"/>
              </w:rPr>
              <w:t>13,153,128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18</w:t>
      </w:r>
    </w:p>
    <w:p>
      <w:pPr>
        <w:pStyle w:val="HorizontalLine"/>
        <w:rPr/>
      </w:pPr>
      <w:r>
        <w:rPr/>
      </w:r>
    </w:p>
    <w:p>
      <w:pPr>
        <w:pStyle w:val="TextBody"/>
        <w:spacing w:before="160" w:after="0"/>
        <w:jc w:val="left"/>
        <w:rPr>
          <w:rFonts w:ascii="Times New Roman" w:hAnsi="Times New Roman"/>
          <w:sz w:val="20"/>
        </w:rPr>
      </w:pPr>
      <w:bookmarkStart w:id="9" w:name="item_2_managements_discussion_analysis_f"/>
      <w:bookmarkEnd w:id="9"/>
      <w:r>
        <w:rPr>
          <w:rFonts w:ascii="Arial;sans-serif" w:hAnsi="Arial;sans-serif"/>
          <w:b/>
          <w:sz w:val="20"/>
        </w:rPr>
        <w:t>Item 2. Management’s Discussion and Analysis of</w:t>
      </w:r>
      <w:r>
        <w:rPr>
          <w:rFonts w:ascii="Times New Roman" w:hAnsi="Times New Roman"/>
          <w:sz w:val="20"/>
        </w:rPr>
        <w:t xml:space="preserve"> </w:t>
      </w:r>
      <w:r>
        <w:rPr>
          <w:rFonts w:ascii="Arial;sans-serif" w:hAnsi="Arial;sans-serif"/>
          <w:b/>
          <w:sz w:val="20"/>
        </w:rPr>
        <w:t>Financial Condition and Results of Operations.</w:t>
      </w:r>
    </w:p>
    <w:p>
      <w:pPr>
        <w:pStyle w:val="TextBody"/>
        <w:spacing w:before="120" w:after="0"/>
        <w:jc w:val="left"/>
        <w:rPr>
          <w:rFonts w:ascii="Times New Roman" w:hAnsi="Times New Roman"/>
          <w:sz w:val="20"/>
        </w:rPr>
      </w:pPr>
      <w:r>
        <w:rPr>
          <w:rFonts w:ascii="Arial;sans-serif" w:hAnsi="Arial;sans-serif"/>
          <w:b w:val="false"/>
          <w:i/>
          <w:sz w:val="19"/>
        </w:rPr>
        <w:t>You should read the following discussion and analysis of our financial condition and results of operations together with our condensed and consolidated financial statements and the related notes and other financial information included elsewhere in this Quarterly Report on Form 10-Q (Form 10-Q). Some of the information contained in this discussion and analysis contains forward-looking statements that involve risks and uncertainties. You should review the section titled “Risk factors” in this Form 10-Q for a discussion of important factors that could cause actual results to differ materially from the results described below.</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sz w:val="20"/>
        </w:rPr>
        <w:t>Overview</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We are a clinical stage biopharmaceutical company focused on developing and commercializing viral immunotherapies to help patients fight cancer. Our engineered viruses are designed to induce a systemic anti-tumor response due to immunogenic cell death through direct viral-mediated cytotoxicity in cancer cells, thus releasing tumor neo-antigens and creating a pro-inflammatory microenvironment. Our viral immunotherapy approach utilizes intratumoral administration of genetically engineered viruses to induce tumor cell death and elicit a systemic anti-tumor response. Local delivery enables us to achieve these effects while aiming to minimize systemic toxicity. The immune cells induced by these viral immunotherapies are believed to target patients’ specific tumor antigens, potentially improving responses in immunologically “hot” tumors while at the same time infiltrating the tumor microenvironment, transforming non-inflamed “cold” tumors with limited immune response into “hot” tumors. While our product candidates are administered directly into the tumor, we have observed systemic immune response in our preclinical studies and clinical trials that may indicate the potential of our product candidates to induce systemic immune response against distal, uninjected tumors, also known as an “abscopal” effect.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We believe viral immunotherapy is among the most promising cancer treatment modalities today. Our goal is to further improve patient outcomes through viral immunotherapies by selecting the optimal vector, specific transgenes and clinical indications for each tumor type while optimizing product candidate attributes, such as high-titer formulation, intratumoral administration to induce systemic anti-tumor immunity, and storage conditions that could potentially lower logistical barriers for patients and clinicians.</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We have established two off the shelf viral immunotherapy platforms based on novel, genetically modified adenovirus and herpes simplex virus (HSV) constructs, respectively.</w:t>
      </w:r>
    </w:p>
    <w:p>
      <w:pPr>
        <w:pStyle w:val="TextBody"/>
        <w:spacing w:before="120" w:after="0"/>
        <w:jc w:val="left"/>
        <w:rPr>
          <w:rFonts w:ascii="Arial;sans-serif" w:hAnsi="Arial;sans-serif"/>
          <w:b w:val="false"/>
          <w:sz w:val="19"/>
        </w:rPr>
      </w:pPr>
      <w:r>
        <w:rPr>
          <w:rFonts w:ascii="Arial;sans-serif" w:hAnsi="Arial;sans-serif"/>
          <w:b w:val="false"/>
          <w:sz w:val="19"/>
        </w:rPr>
        <w:t>Our most advanced product candidate, CAN-2409, is an off-the-shelf adenovirus product candidate which is combined with the prodrug, valacyclovir, that has generated promising clinical activity across a range of solid tumor indications. CAN-2409 is currently being studied in the following ongoing clinical trials:</w:t>
      </w:r>
    </w:p>
    <w:p>
      <w:pPr>
        <w:pStyle w:val="TextBody"/>
        <w:spacing w:before="120" w:after="0"/>
        <w:jc w:val="left"/>
        <w:rPr/>
      </w:pPr>
      <w:r>
        <w:rPr/>
        <w:t>•</w:t>
      </w:r>
    </w:p>
    <w:p>
      <w:pPr>
        <w:pStyle w:val="TextBody"/>
        <w:spacing w:before="120" w:after="0"/>
        <w:jc w:val="left"/>
        <w:rPr>
          <w:rFonts w:ascii="Arial;sans-serif" w:hAnsi="Arial;sans-serif"/>
          <w:b w:val="false"/>
          <w:i/>
          <w:sz w:val="19"/>
        </w:rPr>
      </w:pPr>
      <w:r>
        <w:rPr>
          <w:rFonts w:ascii="Arial;sans-serif" w:hAnsi="Arial;sans-serif"/>
          <w:b w:val="false"/>
          <w:i/>
          <w:sz w:val="19"/>
        </w:rPr>
        <w:t>Prostate Cancer</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0"/>
        <w:jc w:val="left"/>
        <w:rPr>
          <w:rFonts w:ascii="Arial;sans-serif" w:hAnsi="Arial;sans-serif"/>
          <w:b w:val="false"/>
          <w:sz w:val="19"/>
        </w:rPr>
      </w:pPr>
      <w:r>
        <w:rPr>
          <w:rFonts w:ascii="Arial;sans-serif" w:hAnsi="Arial;sans-serif"/>
          <w:b w:val="false"/>
          <w:sz w:val="19"/>
        </w:rPr>
        <w:t>a pivotal Phase 3 randomized, triple-blinded and placebo-controlled clinical trial in the United States under a Special Protocol Assessment (SPA), with the U.S. Food and Drug Administration (FDA) evaluating 711 patients with newly diagnosed, localized prostate cancer who have an intermediate or high-risk for progression. We completed enrollment of this trial in September 2021 and we expect to present topline data at the end of 2024.</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0"/>
        <w:jc w:val="left"/>
        <w:rPr>
          <w:rFonts w:ascii="Arial;sans-serif" w:hAnsi="Arial;sans-serif"/>
          <w:b w:val="false"/>
          <w:sz w:val="19"/>
        </w:rPr>
      </w:pPr>
      <w:r>
        <w:rPr>
          <w:rFonts w:ascii="Arial;sans-serif" w:hAnsi="Arial;sans-serif"/>
          <w:b w:val="false"/>
          <w:sz w:val="19"/>
        </w:rPr>
        <w:t>a Phase 2 randomized, double blind, placebo-controlled clinical trial in the United States evaluating 187 patients with low-to-intermediate risk, localized prostate cancer undergoing active surveillance. We completed enrollment of this trial in June 2019 and we expect topline data from this clinical trial to be available in the fourth quarter of 2024.</w:t>
      </w:r>
    </w:p>
    <w:p>
      <w:pPr>
        <w:pStyle w:val="TextBody"/>
        <w:spacing w:before="120" w:after="0"/>
        <w:jc w:val="left"/>
        <w:rPr/>
      </w:pPr>
      <w:r>
        <w:rPr/>
        <w:t>•</w:t>
      </w:r>
    </w:p>
    <w:p>
      <w:pPr>
        <w:pStyle w:val="TextBody"/>
        <w:spacing w:before="120" w:after="0"/>
        <w:jc w:val="left"/>
        <w:rPr/>
      </w:pPr>
      <w:r>
        <w:rPr>
          <w:rFonts w:ascii="Arial;sans-serif" w:hAnsi="Arial;sans-serif"/>
          <w:b w:val="false"/>
          <w:i/>
          <w:sz w:val="19"/>
        </w:rPr>
        <w:t>Non-Small Cell Lung Cancer (NSCLC)</w:t>
      </w:r>
      <w:r>
        <w:rPr/>
        <w:t xml:space="preserve">– </w:t>
      </w:r>
      <w:r>
        <w:rPr>
          <w:rFonts w:ascii="Arial;sans-serif" w:hAnsi="Arial;sans-serif"/>
          <w:b w:val="false"/>
          <w:sz w:val="19"/>
        </w:rPr>
        <w:t>an open-label Phase 2 clinical trial in the United States evaluating CAN-2409 plus valacyclovir in combination with continued PD-(L)1 checkpoint inhibitors in 80 patients with stage III/IV NSCLC who have inadequate response to PD-(L)1 checkpoint inhibitor treatments. In April 2023, we announced that the FDA had granted fast track designation for CAN-2409 + valacyclovir in combination with pembrolizumab in order to improve survival or delay progression in patients with Stage III (not candidates for curative intent) or Stage IV NSCLC, who are resistant to first line PD-(L)1 inhibitor therapy and who do not have activating molecular driver mutations or have progressed on directed molecular therapy. We reported initial data from this clinical trial at the American Society for Clinical Oncology (ASCO) 26th Annual Meeting in June 2022 and an update during our Research and Development Day in December 2022, demonstrating the following:</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0"/>
        <w:jc w:val="left"/>
        <w:rPr>
          <w:rFonts w:ascii="Arial;sans-serif" w:hAnsi="Arial;sans-serif"/>
          <w:b w:val="false"/>
          <w:sz w:val="19"/>
        </w:rPr>
      </w:pPr>
      <w:r>
        <w:rPr>
          <w:rFonts w:ascii="Arial;sans-serif" w:hAnsi="Arial;sans-serif"/>
          <w:b w:val="false"/>
          <w:sz w:val="19"/>
        </w:rPr>
        <w:t xml:space="preserve">Evidence of local and systemic anti-tumor activity </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0"/>
        <w:jc w:val="left"/>
        <w:rPr>
          <w:rFonts w:ascii="Arial;sans-serif" w:hAnsi="Arial;sans-serif"/>
          <w:b w:val="false"/>
          <w:sz w:val="19"/>
        </w:rPr>
      </w:pPr>
      <w:r>
        <w:rPr>
          <w:rFonts w:ascii="Arial;sans-serif" w:hAnsi="Arial;sans-serif"/>
          <w:b w:val="false"/>
          <w:sz w:val="19"/>
        </w:rPr>
        <w:t>Disease control rate of 77% (20/26) in patients entering trial with disease progression (cohort 2)</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0"/>
        <w:jc w:val="left"/>
        <w:rPr>
          <w:rFonts w:ascii="Arial;sans-serif" w:hAnsi="Arial;sans-serif"/>
          <w:b w:val="false"/>
          <w:sz w:val="19"/>
        </w:rPr>
      </w:pPr>
      <w:r>
        <w:rPr>
          <w:rFonts w:ascii="Arial;sans-serif" w:hAnsi="Arial;sans-serif"/>
          <w:b w:val="false"/>
          <w:sz w:val="19"/>
        </w:rPr>
        <w:t>Sustained and ongoing clinical responses greater than 1 year</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0"/>
        <w:jc w:val="left"/>
        <w:rPr>
          <w:rFonts w:ascii="Arial;sans-serif" w:hAnsi="Arial;sans-serif"/>
          <w:b w:val="false"/>
          <w:sz w:val="19"/>
        </w:rPr>
      </w:pPr>
      <w:r>
        <w:rPr>
          <w:rFonts w:ascii="Arial;sans-serif" w:hAnsi="Arial;sans-serif"/>
          <w:b w:val="false"/>
          <w:sz w:val="19"/>
        </w:rPr>
        <w:t xml:space="preserve">Favorable change in trajectory of tumor progression </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283"/>
        <w:jc w:val="left"/>
        <w:rPr>
          <w:rFonts w:ascii="Arial;sans-serif" w:hAnsi="Arial;sans-serif"/>
          <w:b w:val="false"/>
          <w:sz w:val="19"/>
        </w:rPr>
      </w:pPr>
      <w:r>
        <w:rPr>
          <w:rFonts w:ascii="Arial;sans-serif" w:hAnsi="Arial;sans-serif"/>
          <w:b w:val="false"/>
          <w:sz w:val="19"/>
        </w:rPr>
        <w:t>Decreased tumor size of RECIST target lesions in most patients</w:t>
      </w:r>
    </w:p>
    <w:p>
      <w:pPr>
        <w:pStyle w:val="TextBody"/>
        <w:spacing w:before="240" w:after="0"/>
        <w:jc w:val="center"/>
        <w:rPr>
          <w:rFonts w:ascii="Arial;sans-serif" w:hAnsi="Arial;sans-serif"/>
          <w:b w:val="false"/>
          <w:sz w:val="20"/>
        </w:rPr>
      </w:pPr>
      <w:r>
        <w:rPr>
          <w:rFonts w:ascii="Arial;sans-serif" w:hAnsi="Arial;sans-serif"/>
          <w:b w:val="false"/>
          <w:sz w:val="20"/>
        </w:rPr>
        <w:t>19</w:t>
      </w:r>
    </w:p>
    <w:p>
      <w:pPr>
        <w:pStyle w:val="HorizontalLine"/>
        <w:rPr/>
      </w:pPr>
      <w:r>
        <w:rPr/>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0"/>
        <w:jc w:val="left"/>
        <w:rPr>
          <w:rFonts w:ascii="Arial;sans-serif" w:hAnsi="Arial;sans-serif"/>
          <w:b w:val="false"/>
          <w:sz w:val="19"/>
        </w:rPr>
      </w:pPr>
      <w:r>
        <w:rPr>
          <w:rFonts w:ascii="Arial;sans-serif" w:hAnsi="Arial;sans-serif"/>
          <w:b w:val="false"/>
          <w:sz w:val="19"/>
        </w:rPr>
        <w:t>Reduced uninjected tumor size in 14/21 patients (67%)</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0"/>
        <w:jc w:val="left"/>
        <w:rPr>
          <w:rFonts w:ascii="Arial;sans-serif" w:hAnsi="Arial;sans-serif"/>
          <w:b w:val="false"/>
          <w:sz w:val="19"/>
        </w:rPr>
      </w:pPr>
      <w:r>
        <w:rPr>
          <w:rFonts w:ascii="Arial;sans-serif" w:hAnsi="Arial;sans-serif"/>
          <w:b w:val="false"/>
          <w:sz w:val="19"/>
        </w:rPr>
        <w:t>Overall response rate of 13% (4/30) across cohorts 1 and 2</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0"/>
        <w:jc w:val="left"/>
        <w:rPr>
          <w:rFonts w:ascii="Arial;sans-serif" w:hAnsi="Arial;sans-serif"/>
          <w:b w:val="false"/>
          <w:sz w:val="19"/>
        </w:rPr>
      </w:pPr>
      <w:r>
        <w:rPr>
          <w:rFonts w:ascii="Arial;sans-serif" w:hAnsi="Arial;sans-serif"/>
          <w:b w:val="false"/>
          <w:sz w:val="19"/>
        </w:rPr>
        <w:t>Durable disease stabilization translating into encouraging preliminary evidence of progression-free survival</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0"/>
        <w:jc w:val="left"/>
        <w:rPr>
          <w:rFonts w:ascii="Arial;sans-serif" w:hAnsi="Arial;sans-serif"/>
          <w:b w:val="false"/>
          <w:sz w:val="19"/>
        </w:rPr>
      </w:pPr>
      <w:r>
        <w:rPr>
          <w:rFonts w:ascii="Arial;sans-serif" w:hAnsi="Arial;sans-serif"/>
          <w:b w:val="false"/>
          <w:sz w:val="19"/>
        </w:rPr>
        <w:t xml:space="preserve">Consistent induction of local and systemic cytotoxic T cell response </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0"/>
        <w:jc w:val="left"/>
        <w:rPr>
          <w:rFonts w:ascii="Arial;sans-serif" w:hAnsi="Arial;sans-serif"/>
          <w:b w:val="false"/>
          <w:sz w:val="19"/>
        </w:rPr>
      </w:pPr>
      <w:r>
        <w:rPr>
          <w:rFonts w:ascii="Arial;sans-serif" w:hAnsi="Arial;sans-serif"/>
          <w:b w:val="false"/>
          <w:sz w:val="19"/>
        </w:rPr>
        <w:t>Increased infiltration of CD8+ T cells in the tumor microenvironment</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0"/>
        <w:jc w:val="left"/>
        <w:rPr>
          <w:rFonts w:ascii="Arial;sans-serif" w:hAnsi="Arial;sans-serif"/>
          <w:b w:val="false"/>
          <w:sz w:val="19"/>
        </w:rPr>
      </w:pPr>
      <w:r>
        <w:rPr>
          <w:rFonts w:ascii="Arial;sans-serif" w:hAnsi="Arial;sans-serif"/>
          <w:b w:val="false"/>
          <w:sz w:val="19"/>
        </w:rPr>
        <w:t xml:space="preserve">Systemic expansion of effector T cells and increase in soluble granzyme B levels in peripheral blood </w:t>
      </w:r>
    </w:p>
    <w:p>
      <w:pPr>
        <w:pStyle w:val="TextBody"/>
        <w:spacing w:before="120" w:after="0"/>
        <w:jc w:val="left"/>
        <w:rPr>
          <w:rFonts w:ascii="Times New Roman" w:hAnsi="Times New Roman"/>
          <w:b w:val="false"/>
          <w:sz w:val="19"/>
        </w:rPr>
      </w:pPr>
      <w:r>
        <w:rPr>
          <w:rFonts w:ascii="Times New Roman" w:hAnsi="Times New Roman"/>
          <w:b w:val="false"/>
          <w:sz w:val="19"/>
        </w:rPr>
        <w:t>o</w:t>
      </w:r>
    </w:p>
    <w:p>
      <w:pPr>
        <w:pStyle w:val="TextBody"/>
        <w:spacing w:before="120" w:after="283"/>
        <w:jc w:val="left"/>
        <w:rPr>
          <w:rFonts w:ascii="Arial;sans-serif" w:hAnsi="Arial;sans-serif"/>
          <w:b w:val="false"/>
          <w:sz w:val="19"/>
        </w:rPr>
      </w:pPr>
      <w:r>
        <w:rPr>
          <w:rFonts w:ascii="Arial;sans-serif" w:hAnsi="Arial;sans-serif"/>
          <w:b w:val="false"/>
          <w:sz w:val="19"/>
        </w:rPr>
        <w:t>Favorable safety/tolerability data with most treatment-related adverse events being grade 1/2</w:t>
      </w:r>
    </w:p>
    <w:p>
      <w:pPr>
        <w:pStyle w:val="TextBody"/>
        <w:spacing w:before="120" w:after="0"/>
        <w:jc w:val="left"/>
        <w:rPr>
          <w:rFonts w:ascii="Arial;sans-serif" w:hAnsi="Arial;sans-serif"/>
          <w:b w:val="false"/>
          <w:sz w:val="19"/>
        </w:rPr>
      </w:pPr>
      <w:r>
        <w:rPr>
          <w:rFonts w:ascii="Arial;sans-serif" w:hAnsi="Arial;sans-serif"/>
          <w:b w:val="false"/>
          <w:sz w:val="19"/>
        </w:rPr>
        <w:t>In June 2023, we will present a trials in progress poster detailing the clinical trial's design, protocol, and dosing regimen at the 2023 ASCO 27th Annual Meeting. We anticipate presenting additional updated clinical data from this ongoing clinical trial in the third quarter of 2023.</w:t>
      </w:r>
    </w:p>
    <w:p>
      <w:pPr>
        <w:pStyle w:val="TextBody"/>
        <w:spacing w:before="120" w:after="0"/>
        <w:jc w:val="left"/>
        <w:rPr/>
      </w:pPr>
      <w:r>
        <w:rPr/>
        <w:t>•</w:t>
      </w:r>
    </w:p>
    <w:p>
      <w:pPr>
        <w:pStyle w:val="TextBody"/>
        <w:spacing w:before="120" w:after="283"/>
        <w:jc w:val="left"/>
        <w:rPr/>
      </w:pPr>
      <w:r>
        <w:rPr>
          <w:rFonts w:ascii="Arial;sans-serif" w:hAnsi="Arial;sans-serif"/>
          <w:b w:val="false"/>
          <w:i/>
          <w:sz w:val="19"/>
        </w:rPr>
        <w:t>Pancreatic Cancer</w:t>
      </w:r>
      <w:r>
        <w:rPr/>
        <w:t xml:space="preserve"> – </w:t>
      </w:r>
      <w:r>
        <w:rPr>
          <w:rFonts w:ascii="Arial;sans-serif" w:hAnsi="Arial;sans-serif"/>
          <w:b w:val="false"/>
          <w:sz w:val="19"/>
        </w:rPr>
        <w:t xml:space="preserve">we have initiated a randomized Phase 2 clinical trial in the United States evaluating CAN-2409 in borderline resectable pancreatic adenocarcinoma. In March 2023, in connection with our cost management and dynamic portfolio management initiatives, we elected to pause new enrollment in this randomized Phase 2 clinical trial, subject to additional funding. Despite the pause in patient enrollment, we continue to expect to present initial clinical data in the fourth quarter of 2023. In a previous Phase 1b trial, patients with pancreatic cancer treated with CAN-2409 in addition to standard of care demonstrated a greater survival duration over the expected survival of the patients treated with the existing standard of care alone in a comparison to historical trial results. Furthermore, in the group of patients where pre- and post-treatment tumor biopsies were available, a statistically significant increase in the number of CD8+ tumor infiltrating lymphocytes was observed. </w:t>
      </w:r>
    </w:p>
    <w:p>
      <w:pPr>
        <w:pStyle w:val="TextBody"/>
        <w:spacing w:before="120" w:after="0"/>
        <w:jc w:val="left"/>
        <w:rPr>
          <w:rFonts w:ascii="Times New Roman" w:hAnsi="Times New Roman"/>
          <w:sz w:val="20"/>
        </w:rPr>
      </w:pPr>
      <w:r>
        <w:rPr>
          <w:rFonts w:ascii="Arial;sans-serif" w:hAnsi="Arial;sans-serif"/>
          <w:b w:val="false"/>
          <w:sz w:val="19"/>
        </w:rPr>
        <w:t>Our lead HSV-based product candidate, CAN-3110, is currently in an ongoing investigator-sponsored Phase 1 clinical trial in our initial target indication of recurrent high-grade glioma (HGG). These patients have failed standard of care treatment and have a poor prognosis. Initial clinical data from this clinical trial was presented in an oral presentation at the ASCO 25th Annual Meeting in June 2021, and additional biomarker data was reported in an oral presentation at the Society for Neuro-Oncology 2th Annual Meeting in November 2021. During our Research and Development Day in December 2022, we presented updated data demonstrating that CAN-3110 treatment was well tolerated with no observed dose-limiting toxicity; achieved 11.6 months mOS with a single dose; and showed evidence of persistent HSV-1 antigen and HSV-1 replication consistent with mechanism of action​ as well as robust evidence of immune activation​. In May 2023, we anticipate presenting new clinical data from this ongoing study in an oral presentation at the American Society of Gene &amp; Cell Therapy 26th Annual Meeting.</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We are currently pursuing a repeat dosing regimen of CAN-3110 (up to six injections over four months) in patients with recurrent HGG supported by the Break Through Cancer foundation.</w:t>
      </w:r>
    </w:p>
    <w:p>
      <w:pPr>
        <w:pStyle w:val="TextBody"/>
        <w:spacing w:before="120" w:after="0"/>
        <w:jc w:val="left"/>
        <w:rPr>
          <w:rFonts w:ascii="Arial;sans-serif" w:hAnsi="Arial;sans-serif"/>
          <w:b w:val="false"/>
          <w:sz w:val="19"/>
        </w:rPr>
      </w:pPr>
      <w:r>
        <w:rPr>
          <w:rFonts w:ascii="Arial;sans-serif" w:hAnsi="Arial;sans-serif"/>
          <w:b w:val="false"/>
          <w:sz w:val="19"/>
        </w:rPr>
        <w:t>We are also designing other novel viral immunotherapy candidates using our proprietary enLIGHTEN Discovery Platform, a systematic, iterative HSV-based discovery platform leveraging human biology and advanced analytics to create new viral immunotherapy candidates for solid tumors. In October 2022, we entered into a collaboration with the University of Pennsylvania (UPenn) Center for Cellular Immunotherapies to study the impact of novel viral immunotherapy candidates based on Candel’s enLIGHTEN Discovery Platform to strengthen the activity of UPenn’s investigational CAR-T cell therapies in difficult to treat solid tumors.</w:t>
      </w:r>
    </w:p>
    <w:p>
      <w:pPr>
        <w:pStyle w:val="TextBody"/>
        <w:spacing w:before="120" w:after="0"/>
        <w:jc w:val="left"/>
        <w:rPr>
          <w:rFonts w:ascii="Times New Roman" w:hAnsi="Times New Roman"/>
          <w:sz w:val="20"/>
        </w:rPr>
      </w:pPr>
      <w:r>
        <w:rPr>
          <w:rFonts w:ascii="Arial;sans-serif" w:hAnsi="Arial;sans-serif"/>
          <w:b w:val="false"/>
          <w:sz w:val="19"/>
        </w:rPr>
        <w:t>We currently own development and commercialization rights for our programs in major markets, including the United States, Europe and Asia, allowing us to control development and seek approval in those areas as we prepare our commercialization efforts.</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We were incorporated in Delaware in June 2003 as Advantagene, Inc. (Advantagene). In December 2019, Advantagene licensed substantially all the assets of Periphagen, a company focused on engineering HSV as a gene therapy vector, and in September 2020, licensed CAN-3110 from Mass General Brigham (MGB). In December 2020, we formally changed our name from Advantagene to Candel Therapeutics, Inc. We completed our initial public offering (IPO) in July 2021.</w:t>
      </w:r>
    </w:p>
    <w:p>
      <w:pPr>
        <w:pStyle w:val="TextBody"/>
        <w:spacing w:before="120" w:after="0"/>
        <w:jc w:val="left"/>
        <w:rPr>
          <w:rFonts w:ascii="Times New Roman" w:hAnsi="Times New Roman"/>
          <w:sz w:val="20"/>
        </w:rPr>
      </w:pPr>
      <w:r>
        <w:rPr>
          <w:rFonts w:ascii="Arial;sans-serif" w:hAnsi="Arial;sans-serif"/>
          <w:b w:val="false"/>
          <w:sz w:val="19"/>
        </w:rPr>
        <w:t>Our cash and cash equivalents were $59.3 million as of March 31, 2023. In accordance with the Financial Accounting Standards Board (FASB) Accounting Standards Codification, 205-40, Presentation of Financial Statements - Going Concern, we are required to assess our ability to continue as a going concern for the one-year look forward period following the date that the condensed consolidated financial statements are issued. Based on our current operating plan and existing cash and cash equivalents, we determined that substantial doubt exists regarding our ability to continue as a going concern for the one-year period following the date these condensed consolidated financial statements are issued. To sustain its future operations beyond such one-year period, we will require additional funding. We expect to finance our cash needs through a combination of public or private equity or debt financings, government grants, and other sources, which may include collaborations, strategic alliances and licensing arrangements with third parties. There is no assurance that we will be successful in obtaining sufficient funding on acceptable terms, if at all, and could be forced to delay, reduce, or eliminate some or all of its research, clinical trials, product</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20</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development or future commercialization efforts, which could materially adversely affect our business prospects or our ability to continue as a going concern.</w:t>
      </w:r>
    </w:p>
    <w:p>
      <w:pPr>
        <w:pStyle w:val="TextBody"/>
        <w:spacing w:before="120" w:after="0"/>
        <w:jc w:val="left"/>
        <w:rPr>
          <w:rFonts w:ascii="Arial;sans-serif" w:hAnsi="Arial;sans-serif"/>
          <w:b w:val="false"/>
          <w:sz w:val="19"/>
        </w:rPr>
      </w:pPr>
      <w:r>
        <w:rPr>
          <w:rFonts w:ascii="Arial;sans-serif" w:hAnsi="Arial;sans-serif"/>
          <w:b w:val="false"/>
          <w:sz w:val="19"/>
        </w:rPr>
        <w:t>The accompanying condensed consolidated financial statements do not include any adjustments that might result from the outcome of this uncertainty. Accordingly, the condensed consolidated financial statements have been prepared on a basis that assumes we will continue as a going concern and that contemplates the realization of assets and satisfaction of liabilities and commitments in the ordinary course of business.</w:t>
      </w:r>
    </w:p>
    <w:p>
      <w:pPr>
        <w:pStyle w:val="TextBody"/>
        <w:spacing w:before="160" w:after="0"/>
        <w:jc w:val="left"/>
        <w:rPr>
          <w:rFonts w:ascii="Times New Roman" w:hAnsi="Times New Roman"/>
          <w:sz w:val="20"/>
        </w:rPr>
      </w:pPr>
      <w:r>
        <w:rPr>
          <w:rFonts w:ascii="Arial;sans-serif" w:hAnsi="Arial;sans-serif"/>
          <w:b/>
          <w:sz w:val="20"/>
        </w:rPr>
        <w:t>Collaborations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We are a party to a number of license and collaboration agreements under which we license patents, patent applications and other intellectual property to and from third parties.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Periphagen</w:t>
      </w:r>
      <w:r>
        <w:rPr>
          <w:rFonts w:ascii="Arial;sans-serif" w:hAnsi="Arial;sans-serif"/>
          <w:b w:val="false"/>
          <w:sz w:val="20"/>
        </w:rPr>
        <w:t xml:space="preserve">. </w:t>
      </w:r>
      <w:r>
        <w:rPr>
          <w:rFonts w:ascii="Arial;sans-serif" w:hAnsi="Arial;sans-serif"/>
          <w:b w:val="false"/>
          <w:sz w:val="19"/>
        </w:rPr>
        <w:t>On December 9, 2019, we entered into a series of agreements, including an exclusive license agreement, a novation agreement, an equipment purchase agreement and an intellectual property assignment agreement, collectively the Periphagen Agreements, with Periphagen, whereby we acquired certain assets and licensed certain rights (including specified patent rights and know-how, or the Licensed IP Rights) of Periphagen, primarily consisting of exclusive rights to their technology platform and a portfolio of pre-clinical, development stage virus vectors. The primary classes of assets are HSV-derived assets expressing neurotrophin-3 (or NT-3 Assets) and other HSV-derived assets (Gene Transfer Neuro-Assets). Under the license agreement, Periphagen granted us a worldwide exclusive license with the right to grant sublicenses through multiple tiers under the Licensed IP Rights to conduct research and to develop, make, have made, use, have used, offer for sale, have sold, export and import products incorporating the Licensed IP Rights in all fields of use except the treatment, diagnosis, and prevention of nononcologic skin diseases and conditions (including use as an aesthetic).</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We are currently engaged with Periphagen under a dispute and escalation provision in our exclusive license agreement with Periphagen concerning whether we have used commercially reasonable efforts to complete a human proof of concept clinical trial of an NT-3 Asset.</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Mass General Brigham (MGB)</w:t>
      </w:r>
      <w:r>
        <w:rPr>
          <w:rFonts w:ascii="Arial;sans-serif" w:hAnsi="Arial;sans-serif"/>
          <w:b w:val="false"/>
          <w:sz w:val="20"/>
        </w:rPr>
        <w:t xml:space="preserve">. </w:t>
      </w:r>
      <w:r>
        <w:rPr>
          <w:rFonts w:ascii="Arial;sans-serif" w:hAnsi="Arial;sans-serif"/>
          <w:b w:val="false"/>
          <w:sz w:val="19"/>
        </w:rPr>
        <w:t>On January 20, 2018, we entered into an exclusive option agreement (the Option Agreement) with MGB. Pursuant to the Option Agreement, we obtained the exclusive right from MGB to negotiate a world-wide, royalty-bearing license to develop and commercialize products covered by certain MGB patents, including those patents covering CAN-3110, in the field of gene therapy and oncolytic vector therapy for the treatment or prevention of cancerous tumors in humans or animals, as such field is further detailed in the Option Agreement (the Licensed Field). In consideration for MGB’s granting of the exclusive option, we paid MGB a non-refundable fee of $40,000.</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Under the Option Agreement, we were required to use reasonable efforts to enter into a clinical trial agreement with MGB. We entered into such clinical trial agreement with MGB (MGB Clinical Trial Agreement) on June 19, 2018. Under the MGB Clinical Trial Agreement, we have committed to remitting financial support for the performance of a specified Phase 1 clinical trial by MGB pursuant to a protocol summary contained in the Option Agreement.</w:t>
      </w:r>
    </w:p>
    <w:p>
      <w:pPr>
        <w:pStyle w:val="TextBody"/>
        <w:spacing w:before="120" w:after="0"/>
        <w:jc w:val="left"/>
        <w:rPr>
          <w:rFonts w:ascii="Times New Roman" w:hAnsi="Times New Roman"/>
          <w:sz w:val="20"/>
        </w:rPr>
      </w:pPr>
      <w:r>
        <w:rPr>
          <w:rFonts w:ascii="Arial;sans-serif" w:hAnsi="Arial;sans-serif"/>
          <w:b w:val="false"/>
          <w:sz w:val="19"/>
        </w:rPr>
        <w:t>On September 15, 2020, we exercised our option and entered into an exclusive patent license agreement with MGB (the MGB License Agreement). Under the MGB License Agreement, MGB granted to us (a) an exclusive, royalty-bearing license under certain of MGB’s patents to make, have made, use, have used, sell and have sold certain products covered by such licensed patents (Licensed Products) and otherwise practice processes covered by such licensed patents (Licensed Processes); and (b) a non-exclusive, royalty-bearing license under certain other of MGB’s patents to make, have made, use, have used, sell and have sold Licensed Products, but not to sell or have sold Licensed Processes. The foregoing rights are sublicensable, subject to sublicensing terms set forth in the MGB License Agreement. In connection with executing the MGB License Agreement, we paid a license issue fee and also agreed to reimburse MGB for all reasonable fees and expenses MGB had incurred and will incur for the preparation, filing, prosecution and maintenance of the licensed patent rights.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Ventagen</w:t>
      </w:r>
      <w:r>
        <w:rPr>
          <w:rFonts w:ascii="Arial;sans-serif" w:hAnsi="Arial;sans-serif"/>
          <w:b w:val="false"/>
          <w:sz w:val="20"/>
        </w:rPr>
        <w:t xml:space="preserve">. </w:t>
      </w:r>
      <w:r>
        <w:rPr>
          <w:rFonts w:ascii="Arial;sans-serif" w:hAnsi="Arial;sans-serif"/>
          <w:b w:val="false"/>
          <w:sz w:val="19"/>
        </w:rPr>
        <w:t>On March 1, 2014, we entered into an exclusive license agreement (the Ventagen Agreement) with Ventagen a related party. The Ventagen Agreement provides Ventagen an exclusive license, with rights to grant sublicense (subject to certain terms and conditions) under any worldwide patent rights and know-how owned or controlled by us during the term of the Ventagen Agreement which cover applicable technology utilizing the delivery method of the herpes derived TK protein to tumors or other tissues via a viral vector (as further specified therein), to research, use, have used, import, have imported, export, have exported, offer for sale, have sold, sell, distribute and market certain products for the prevention or treatment of cancer in humans and any use in animals (or the Field of Use), or the Licensed Products, for commercial sale and distribution within</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21</w:t>
      </w:r>
    </w:p>
    <w:p>
      <w:pPr>
        <w:pStyle w:val="HorizontalLine"/>
        <w:rPr/>
      </w:pPr>
      <w:r>
        <w:rPr/>
      </w:r>
    </w:p>
    <w:p>
      <w:pPr>
        <w:pStyle w:val="TextBody"/>
        <w:spacing w:before="160" w:after="0"/>
        <w:jc w:val="left"/>
        <w:rPr>
          <w:rFonts w:ascii="Arial;sans-serif" w:hAnsi="Arial;sans-serif"/>
          <w:b w:val="false"/>
          <w:sz w:val="19"/>
        </w:rPr>
      </w:pPr>
      <w:r>
        <w:rPr>
          <w:rFonts w:ascii="Arial;sans-serif" w:hAnsi="Arial;sans-serif"/>
          <w:b w:val="false"/>
          <w:sz w:val="19"/>
        </w:rPr>
        <w:t>Mexico, Belize, Guatemala, Honduras, El Salvador, Costa Rica, Nicaragua, Panama, Colombia and Bolivia. Ventagen is 49.5% owned by certain of our stockholders.</w:t>
      </w:r>
    </w:p>
    <w:p>
      <w:pPr>
        <w:pStyle w:val="TextBody"/>
        <w:spacing w:before="160" w:after="0"/>
        <w:jc w:val="left"/>
        <w:rPr>
          <w:rFonts w:ascii="Arial;sans-serif" w:hAnsi="Arial;sans-serif"/>
          <w:b/>
          <w:sz w:val="20"/>
        </w:rPr>
      </w:pPr>
      <w:r>
        <w:rPr>
          <w:rFonts w:ascii="Arial;sans-serif" w:hAnsi="Arial;sans-serif"/>
          <w:b/>
          <w:sz w:val="20"/>
        </w:rPr>
        <w:t>Components of Our Results of Operations</w:t>
      </w:r>
    </w:p>
    <w:p>
      <w:pPr>
        <w:pStyle w:val="TextBody"/>
        <w:spacing w:before="160" w:after="0"/>
        <w:jc w:val="left"/>
        <w:rPr>
          <w:rFonts w:ascii="Times New Roman" w:hAnsi="Times New Roman"/>
          <w:sz w:val="20"/>
        </w:rPr>
      </w:pPr>
      <w:r>
        <w:rPr>
          <w:rFonts w:ascii="Arial;sans-serif" w:hAnsi="Arial;sans-serif"/>
          <w:b/>
          <w:i/>
          <w:sz w:val="20"/>
        </w:rPr>
        <w:t>Revenue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To date, we have not generated any revenue from product sales and do not expect to generate any revenue from sales of products in the foreseeable future. We are recognizing as research and development service revenue $1.0 million that we received in 2014 and 2015 from Ventagen for an exclusive license to develop products for commercial sale and development within certain countries. We recognized revenue over the period during which we provided services under the license agreement, and the revenue has been fully recognized as of December 31, 2022.</w:t>
      </w:r>
      <w:r>
        <w:rPr>
          <w:rFonts w:ascii="Times New Roman" w:hAnsi="Times New Roman"/>
          <w:sz w:val="20"/>
        </w:rPr>
        <w:t xml:space="preserve"> </w:t>
      </w:r>
    </w:p>
    <w:p>
      <w:pPr>
        <w:pStyle w:val="TextBody"/>
        <w:spacing w:before="160" w:after="0"/>
        <w:jc w:val="left"/>
        <w:rPr>
          <w:rFonts w:ascii="Arial;sans-serif" w:hAnsi="Arial;sans-serif"/>
          <w:b/>
          <w:i/>
          <w:sz w:val="20"/>
        </w:rPr>
      </w:pPr>
      <w:r>
        <w:rPr>
          <w:rFonts w:ascii="Arial;sans-serif" w:hAnsi="Arial;sans-serif"/>
          <w:b/>
          <w:i/>
          <w:sz w:val="20"/>
        </w:rPr>
        <w:t>Operating Expenses</w:t>
      </w:r>
    </w:p>
    <w:p>
      <w:pPr>
        <w:pStyle w:val="TextBody"/>
        <w:spacing w:before="120" w:after="0"/>
        <w:jc w:val="left"/>
        <w:rPr>
          <w:rFonts w:ascii="Times New Roman" w:hAnsi="Times New Roman"/>
          <w:sz w:val="20"/>
        </w:rPr>
      </w:pPr>
      <w:r>
        <w:rPr>
          <w:rFonts w:ascii="Arial;sans-serif" w:hAnsi="Arial;sans-serif"/>
          <w:b w:val="false"/>
          <w:sz w:val="19"/>
        </w:rPr>
        <w:t>Our operating expenses since inception have consisted solely of research and development costs and general and administrative costs.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Research and Development Expenses</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Research and development expenses consist primarily of costs incurred for our product development activities for our two primary drug candidates, CAN-2409 and CAN-3110. We expense research and development costs as incurred. These include the following: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employee-related costs, including salaries, benefits and stock-based compensation expense, for personnel engaged in research, development and clinical management functions;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expenses incurred under agreements with third party clinical sites for the treatment and follow-up for patients enrolled in our clinical trials;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cost of acquiring and manufacturing preclinical study materials, including manufacturing registration and validation batches;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payments made under third-party licensing agreements;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costs incurred to develop the manufacturing process and capabilities for future clinical trials and commercialization. Our clinical trial material for use in our existing clinical trials was manufactured in prior years;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costs related to compliance with quality and regulatory requirements;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costs of outside consultants, primarily related to regulatory;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facility-related expenses, which include direct depreciation costs and expenses for rent and maintenance of facilities and insurance, and other operating costs if specifically identifiable to research and development activities.</w:t>
      </w:r>
    </w:p>
    <w:p>
      <w:pPr>
        <w:pStyle w:val="TextBody"/>
        <w:spacing w:before="120" w:after="0"/>
        <w:jc w:val="left"/>
        <w:rPr>
          <w:rFonts w:ascii="Arial;sans-serif" w:hAnsi="Arial;sans-serif"/>
          <w:b w:val="false"/>
          <w:sz w:val="19"/>
        </w:rPr>
      </w:pPr>
      <w:r>
        <w:rPr>
          <w:rFonts w:ascii="Arial;sans-serif" w:hAnsi="Arial;sans-serif"/>
          <w:b w:val="false"/>
          <w:sz w:val="19"/>
        </w:rPr>
        <w:t>We expect that our research and development expenses will continue to increase substantially for the foreseeable future and will comprise a larger percentage of our total expenses as we complete our clinical trials and commence additional clinical trials, continue to discover and develop additional product candidates and develop and scale our manufacturing capabilities. Product candidates in later stages of clinical development generally have higher development costs than those in earlier stages of clinical development, primarily due to increased scale and duration of later stage clinical trials.</w:t>
      </w:r>
    </w:p>
    <w:p>
      <w:pPr>
        <w:pStyle w:val="TextBody"/>
        <w:spacing w:before="120" w:after="0"/>
        <w:jc w:val="left"/>
        <w:rPr>
          <w:rFonts w:ascii="Arial;sans-serif" w:hAnsi="Arial;sans-serif"/>
          <w:b w:val="false"/>
          <w:sz w:val="19"/>
        </w:rPr>
      </w:pPr>
      <w:r>
        <w:rPr>
          <w:rFonts w:ascii="Arial;sans-serif" w:hAnsi="Arial;sans-serif"/>
          <w:b w:val="false"/>
          <w:sz w:val="19"/>
        </w:rPr>
        <w:t>We cannot determine with certainty the duration and costs of future clinical trials of CAN-2409 and CAN-3110 or any other product candidate we may develop or if, when, or to what extent we will generate revenue from the commercialization and sale of any product candidate for which we obtain marketing approval. At this time, we cannot accurately estimate or know the nature, timing and costs of the efforts that will be necessary to complete the clinical development of, or obtain regulatory approval for, any of our current or future product candidates. The duration, costs, and timing of clinical trials and development of CAN-2409 and CAN-3110 and any other product candidate we may develop will depend on a variety of factors, including: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scope, rate of progress, expense and results of clinical trials;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successful enrollment in and completion of clinical trials, including our ability to generate positive data from any such trials;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add and retain key research and development personnel;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actual probability of success for our product candidates, including their safety and efficacy, early clinical data, competition, manufacturing capability, and commercial viability;</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significant and changing government regulation and regulatory guidance;</w:t>
      </w:r>
    </w:p>
    <w:p>
      <w:pPr>
        <w:pStyle w:val="TextBody"/>
        <w:spacing w:before="240" w:after="0"/>
        <w:jc w:val="center"/>
        <w:rPr>
          <w:rFonts w:ascii="Arial;sans-serif" w:hAnsi="Arial;sans-serif"/>
          <w:b w:val="false"/>
          <w:sz w:val="20"/>
        </w:rPr>
      </w:pPr>
      <w:r>
        <w:rPr>
          <w:rFonts w:ascii="Arial;sans-serif" w:hAnsi="Arial;sans-serif"/>
          <w:b w:val="false"/>
          <w:sz w:val="20"/>
        </w:rPr>
        <w:t>22</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timing and receipt of any marketing approvals;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progress of the development efforts of parties with whom we may enter into collaboration agreements, and the terms and timing of any additional collaboration agreements, license or other arrangement, including the timing of any payments thereunder;</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enter into agreements with CMOs for the commercial manufacture of our product candidate CAN-2409 and the clinical-scale manufacture of our product candidate CAN-3110 as well as complete the development, construction and qualification of our clinical manufacturing capabilities, internally or through CMOs;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costs related to manufacturing of our product candidates or to account for any future changes in our manufacturing plans;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successfully commercialize our product candidates, if and when approved;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raising additional funds necessary to complete clinical development of our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obtain and maintain third-party insurance coverage and adequate reimbursement for our product candidates, if and when approved;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acceptance of our product candidates, if approved, by patients, the medical community and third-party payors;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effectively competing with other products if our product candidates are approved;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impact of any business interruptions to our operations, including the timing and enrollment of patients in our planned clinical trials, or to those of our manufacturers, suppliers, or other vendors resulting from the COVID-19 pandemic or similar public health crisis;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maintain a continued acceptable safety profile for our therapies following approval;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obtain and maintain patents, trade secret and other intellectual property protection and regulatory exclusivity for our product candidates, both in the United States and internationally;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expense of filing, prosecuting, defending and enforcing any patent claims and other intellectual property rights.</w:t>
      </w:r>
    </w:p>
    <w:p>
      <w:pPr>
        <w:pStyle w:val="TextBody"/>
        <w:spacing w:before="120" w:after="0"/>
        <w:jc w:val="left"/>
        <w:rPr>
          <w:rFonts w:ascii="Times New Roman" w:hAnsi="Times New Roman"/>
          <w:sz w:val="20"/>
        </w:rPr>
      </w:pPr>
      <w:r>
        <w:rPr>
          <w:rFonts w:ascii="Arial;sans-serif" w:hAnsi="Arial;sans-serif"/>
          <w:b w:val="false"/>
          <w:sz w:val="19"/>
        </w:rPr>
        <w:t>A change in the outcome of any of these variables with respect to the development of a product candidate could significantly change the costs and timing associated with the development of that product candidate. We may never succeed in obtaining regulatory approval for any of our product candidates.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General and Administrative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including directors and officers insurance; travel expenses; and facility-related expenses, which include direct depreciation costs and expenses for rent and maintenance of facilities, and other operating costs that are not specifically attributable to research and development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We expect that our general and administrative expenses will increase in the future as we increase our personnel headcount to support our continued clinical development and manufacturing activities and to meet the requirements of a public company. We expect to incur increased expenses associated with being a public company, including costs of accounting, audit, legal, regulatory, and tax-related services associated with maintaining compliance with exchange listing and Securities and Exchange Commission (SEC) requirements; director and officer insurance costs; and investor and public relations costs.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Grant Income</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Grant income consists of amounts received under a grant from the Massachusetts Life Sciences Center.</w:t>
      </w:r>
    </w:p>
    <w:p>
      <w:pPr>
        <w:pStyle w:val="TextBody"/>
        <w:spacing w:before="160" w:after="0"/>
        <w:jc w:val="left"/>
        <w:rPr>
          <w:rFonts w:ascii="Arial;sans-serif" w:hAnsi="Arial;sans-serif"/>
          <w:b/>
          <w:i/>
          <w:sz w:val="20"/>
        </w:rPr>
      </w:pPr>
      <w:r>
        <w:rPr>
          <w:rFonts w:ascii="Arial;sans-serif" w:hAnsi="Arial;sans-serif"/>
          <w:b/>
          <w:i/>
          <w:sz w:val="20"/>
        </w:rPr>
        <w:t>Interest Income (Expense), net</w:t>
      </w:r>
    </w:p>
    <w:p>
      <w:pPr>
        <w:pStyle w:val="TextBody"/>
        <w:spacing w:before="120" w:after="0"/>
        <w:jc w:val="left"/>
        <w:rPr>
          <w:rFonts w:ascii="Arial;sans-serif" w:hAnsi="Arial;sans-serif"/>
          <w:b w:val="false"/>
          <w:sz w:val="19"/>
        </w:rPr>
      </w:pPr>
      <w:r>
        <w:rPr>
          <w:rFonts w:ascii="Arial;sans-serif" w:hAnsi="Arial;sans-serif"/>
          <w:b w:val="false"/>
          <w:sz w:val="19"/>
        </w:rPr>
        <w:t>Interest income (expense), net consists of amounts earned on investment of cash equivalents and is net of interest payments made on our debt.</w:t>
      </w:r>
    </w:p>
    <w:p>
      <w:pPr>
        <w:pStyle w:val="TextBody"/>
        <w:spacing w:before="160" w:after="0"/>
        <w:jc w:val="left"/>
        <w:rPr>
          <w:rFonts w:ascii="Times New Roman" w:hAnsi="Times New Roman"/>
          <w:sz w:val="20"/>
        </w:rPr>
      </w:pPr>
      <w:r>
        <w:rPr>
          <w:rFonts w:ascii="Arial;sans-serif" w:hAnsi="Arial;sans-serif"/>
          <w:b/>
          <w:i/>
          <w:sz w:val="20"/>
        </w:rPr>
        <w:t>Change in Fair Value of Warrant Liability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In connection with the November 13, 2018 issuance of Series B preferred stock we issued warrants to the purchasers of the Series B preferred stock, to purchase up to 7,344,968 shares of our common stock with an exercise price of $6.81 per share. We also issued a warrant to the NC Incorporated Ohio Trust, an irrevocable trust funded by us, to purchase 162,740 shares of our common stock, $0.01 par value, at an exercise price of $1.46 per share, subject to adjustments as specified in the warrant</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23</w:t>
      </w:r>
    </w:p>
    <w:p>
      <w:pPr>
        <w:pStyle w:val="HorizontalLine"/>
        <w:rPr/>
      </w:pPr>
      <w:r>
        <w:rPr/>
      </w:r>
    </w:p>
    <w:p>
      <w:pPr>
        <w:pStyle w:val="TextBody"/>
        <w:spacing w:before="120" w:after="0"/>
        <w:jc w:val="left"/>
        <w:rPr>
          <w:rFonts w:ascii="Times New Roman" w:hAnsi="Times New Roman"/>
          <w:sz w:val="20"/>
        </w:rPr>
      </w:pPr>
      <w:r>
        <w:rPr>
          <w:rFonts w:ascii="Arial;sans-serif" w:hAnsi="Arial;sans-serif"/>
          <w:b w:val="false"/>
          <w:sz w:val="19"/>
        </w:rPr>
        <w:t>agreement (the NC Ohio Warrants). Certain of those warrants are recorded as a liability on our balance sheet. The warrants recorded as a liability are remeasured to their fair value at each reporting date with changes in the fair value recognized as a component of other income (expense), net in the condensed consolidated statements of operations. We will continue to recognize changes in the fair value of the warrants until they are exercised, expire or qualify for equity classification. The fair value of the warrants is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risk-free interest rate, expected dividend yield, and the remaining contractual term of the warrants. Therefore, the fair value may not be appropriately captured by simple models.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Income Taxes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 xml:space="preserve">Since </w:t>
      </w:r>
      <w:r>
        <w:rPr>
          <w:rFonts w:ascii="Arial;sans-serif" w:hAnsi="Arial;sans-serif"/>
          <w:b w:val="false"/>
          <w:sz w:val="19"/>
        </w:rPr>
        <w:t>our inception, we have generated cumulative federal and state net operating loss and research and development credit carryforwards for which we have not recorded any net tax benefit due to uncertainty around utilizing these tax attributes within their respective carryforward periods.</w:t>
      </w:r>
    </w:p>
    <w:p>
      <w:pPr>
        <w:pStyle w:val="TextBody"/>
        <w:spacing w:before="120" w:after="0"/>
        <w:jc w:val="left"/>
        <w:rPr>
          <w:rFonts w:ascii="Arial;sans-serif" w:hAnsi="Arial;sans-serif"/>
          <w:b w:val="false"/>
          <w:sz w:val="19"/>
        </w:rPr>
      </w:pPr>
      <w:r>
        <w:rPr>
          <w:rFonts w:ascii="Arial;sans-serif" w:hAnsi="Arial;sans-serif"/>
          <w:b w:val="false"/>
          <w:sz w:val="19"/>
        </w:rPr>
        <w:t>As of December 31, 2022, we had federal net operating loss carryforwards (NOLs) of approximately $65.9 million and state NOLs of approximately $61.9 million which may be available to offset future taxable income. Our federal NOLs include $8.8 million available to reduce future taxable income through 2028 and approximately $57.1 million of NOLs that do not expire and are available to reduce future taxable income indefinitely. The state NOLs are available to offset future taxable income through 2032. As of December 31, 2022, we also had federal and state research and development tax credit carryforwards of $3.4 million and $1.8 million, respectively, which are available to offset federal and state tax liabilities through 2036 and 2028, respectively.</w:t>
      </w:r>
    </w:p>
    <w:p>
      <w:pPr>
        <w:pStyle w:val="TextBody"/>
        <w:spacing w:before="120" w:after="0"/>
        <w:jc w:val="left"/>
        <w:rPr>
          <w:rFonts w:ascii="Arial;sans-serif" w:hAnsi="Arial;sans-serif"/>
          <w:b w:val="false"/>
          <w:sz w:val="19"/>
        </w:rPr>
      </w:pPr>
      <w:r>
        <w:rPr>
          <w:rFonts w:ascii="Arial;sans-serif" w:hAnsi="Arial;sans-serif"/>
          <w:b w:val="false"/>
          <w:sz w:val="19"/>
        </w:rPr>
        <w:t>Realization of future tax benefits is dependent on many factors, including our ability to generate taxable income within the NOL period. Our management has evaluated the positive and negative evidence bearing upon the realizability of our deferred tax assets, which are comprised principally of net operating loss carryforwards and certain tax credits. Management has considered our history of cumulative net losses incurred since inception, as well as our lack of product revenue since inception, and has determined that it is more likely than not that we will not realize the benefits of its deferred tax assets. As a result, a full valuation allowance has been established at March 31, 2023 and December 31, 2022.</w:t>
      </w:r>
    </w:p>
    <w:p>
      <w:pPr>
        <w:pStyle w:val="TextBody"/>
        <w:spacing w:before="120" w:after="0"/>
        <w:jc w:val="left"/>
        <w:rPr>
          <w:rFonts w:ascii="Times New Roman" w:hAnsi="Times New Roman"/>
          <w:sz w:val="20"/>
        </w:rPr>
      </w:pPr>
      <w:r>
        <w:rPr>
          <w:rFonts w:ascii="Arial;sans-serif" w:hAnsi="Arial;sans-serif"/>
          <w:b w:val="false"/>
          <w:sz w:val="19"/>
        </w:rPr>
        <w:t>NOL and tax credit carryforwards may become subject to an annual limitation in the event of certain cumulative changes in the ownership interest of significant stockholders over a three-year period in excess of 50%, as provided under Sections 382 and 383 of the Internal Revenue Code of 1986, as amended (the Code), as well as under similar state provisions. These ownership changes may limit the amount of NOLs that can be utilized annually to offset future taxable income. In general, an ownership change, as defined under Section 382 of the Code (Section 382), results from transactions increasing the ownership of certain stockholders or public groups in the stock of a corporation by more than 50% over a three-year period. We have completed several financings and not yet determined if such a limitation would be placed against our NOL. We will make such a determination prior to the utilization of any NOL.</w:t>
      </w:r>
      <w:r>
        <w:rPr>
          <w:rFonts w:ascii="Times New Roman" w:hAnsi="Times New Roman"/>
          <w:sz w:val="20"/>
        </w:rPr>
        <w:t xml:space="preserve"> </w:t>
      </w:r>
    </w:p>
    <w:p>
      <w:pPr>
        <w:pStyle w:val="TextBody"/>
        <w:spacing w:before="160" w:after="0"/>
        <w:jc w:val="left"/>
        <w:rPr>
          <w:rFonts w:ascii="Arial;sans-serif" w:hAnsi="Arial;sans-serif"/>
          <w:b/>
          <w:sz w:val="20"/>
        </w:rPr>
      </w:pPr>
      <w:r>
        <w:rPr>
          <w:rFonts w:ascii="Arial;sans-serif" w:hAnsi="Arial;sans-serif"/>
          <w:b/>
          <w:sz w:val="20"/>
        </w:rPr>
        <w:t>Results of Operations</w:t>
      </w:r>
    </w:p>
    <w:p>
      <w:pPr>
        <w:pStyle w:val="TextBody"/>
        <w:spacing w:before="160" w:after="0"/>
        <w:jc w:val="left"/>
        <w:rPr>
          <w:rFonts w:ascii="Times New Roman" w:hAnsi="Times New Roman"/>
          <w:sz w:val="20"/>
        </w:rPr>
      </w:pPr>
      <w:r>
        <w:rPr>
          <w:rFonts w:ascii="Arial;sans-serif" w:hAnsi="Arial;sans-serif"/>
          <w:b/>
          <w:i/>
          <w:sz w:val="20"/>
        </w:rPr>
        <w:t>Comparison of the T</w:t>
      </w:r>
      <w:r>
        <w:rPr>
          <w:rFonts w:ascii="Arial;sans-serif" w:hAnsi="Arial;sans-serif"/>
          <w:b/>
          <w:i/>
          <w:sz w:val="19"/>
        </w:rPr>
        <w:t>hree Months Ended March 31, 2023 and 2022</w:t>
      </w:r>
    </w:p>
    <w:p>
      <w:pPr>
        <w:pStyle w:val="TextBody"/>
        <w:spacing w:before="120" w:after="0"/>
        <w:jc w:val="left"/>
        <w:rPr>
          <w:rFonts w:ascii="Times New Roman" w:hAnsi="Times New Roman"/>
          <w:sz w:val="20"/>
        </w:rPr>
      </w:pPr>
      <w:r>
        <w:rPr>
          <w:rFonts w:ascii="Arial;sans-serif" w:hAnsi="Arial;sans-serif"/>
          <w:b w:val="false"/>
          <w:sz w:val="19"/>
        </w:rPr>
        <w:t>The following table summarizes our results of operations for the three months ended March 31, 2023 and 2022 (in thousands):</w:t>
      </w:r>
      <w:r>
        <w:rPr>
          <w:rFonts w:ascii="Times New Roman" w:hAnsi="Times New Roman"/>
          <w:sz w:val="20"/>
        </w:rPr>
        <w:t xml:space="preserve"> </w:t>
      </w:r>
    </w:p>
    <w:p>
      <w:pPr>
        <w:pStyle w:val="TextBody"/>
        <w:spacing w:before="0" w:after="0"/>
        <w:jc w:val="left"/>
        <w:rPr/>
      </w:pPr>
      <w:r>
        <w:rPr/>
        <w:t> </w:t>
      </w:r>
    </w:p>
    <w:tbl>
      <w:tblPr>
        <w:tblW w:w="8303" w:type="dxa"/>
        <w:jc w:val="left"/>
        <w:tblInd w:w="0" w:type="dxa"/>
        <w:tblCellMar>
          <w:top w:w="28" w:type="dxa"/>
          <w:left w:w="28" w:type="dxa"/>
          <w:bottom w:w="28" w:type="dxa"/>
          <w:right w:w="28" w:type="dxa"/>
        </w:tblCellMar>
      </w:tblPr>
      <w:tblGrid>
        <w:gridCol w:w="3931"/>
        <w:gridCol w:w="146"/>
        <w:gridCol w:w="212"/>
        <w:gridCol w:w="650"/>
        <w:gridCol w:w="167"/>
        <w:gridCol w:w="147"/>
        <w:gridCol w:w="212"/>
        <w:gridCol w:w="650"/>
        <w:gridCol w:w="166"/>
        <w:gridCol w:w="146"/>
        <w:gridCol w:w="275"/>
        <w:gridCol w:w="850"/>
        <w:gridCol w:w="751"/>
      </w:tblGrid>
      <w:tr>
        <w:trPr/>
        <w:tc>
          <w:tcPr>
            <w:tcW w:w="3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39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3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5"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INCREASE/</w:t>
            </w:r>
          </w:p>
        </w:tc>
        <w:tc>
          <w:tcPr>
            <w:tcW w:w="751" w:type="dxa"/>
            <w:tcBorders/>
            <w:shd w:fill="auto" w:val="clear"/>
            <w:vAlign w:val="center"/>
          </w:tcPr>
          <w:p>
            <w:pPr>
              <w:pStyle w:val="TableContents"/>
              <w:spacing w:before="0" w:after="0"/>
              <w:ind w:left="0" w:right="0" w:hanging="0"/>
              <w:jc w:val="center"/>
              <w:rPr/>
            </w:pPr>
            <w:r>
              <w:rPr/>
              <w:t> </w:t>
            </w:r>
          </w:p>
        </w:tc>
      </w:tr>
      <w:tr>
        <w:trPr/>
        <w:tc>
          <w:tcPr>
            <w:tcW w:w="39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(DECREASE)</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Research and development service revenue</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0" w:type="dxa"/>
            <w:tcBorders/>
            <w:shd w:fill="auto" w:val="clear"/>
            <w:vAlign w:val="center"/>
          </w:tcPr>
          <w:p>
            <w:pPr>
              <w:pStyle w:val="TableContents"/>
              <w:spacing w:before="0" w:after="0"/>
              <w:ind w:left="0" w:right="0" w:hanging="0"/>
              <w:jc w:val="right"/>
              <w:rPr/>
            </w:pPr>
            <w:r>
              <w:rPr/>
              <w:t>—</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(31</w:t>
            </w:r>
          </w:p>
        </w:tc>
        <w:tc>
          <w:tcPr>
            <w:tcW w:w="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862" w:type="dxa"/>
            <w:gridSpan w:val="2"/>
            <w:tcBorders/>
            <w:shd w:fill="auto" w:val="clear"/>
            <w:vAlign w:val="center"/>
          </w:tcPr>
          <w:p>
            <w:pPr>
              <w:pStyle w:val="TableContents"/>
              <w:spacing w:before="0" w:after="0"/>
              <w:ind w:left="0" w:right="0" w:hanging="0"/>
              <w:jc w:val="right"/>
              <w:rPr/>
            </w:pPr>
            <w:r>
              <w:rPr/>
              <w:t> </w:t>
            </w:r>
          </w:p>
        </w:tc>
        <w:tc>
          <w:tcPr>
            <w:tcW w:w="167" w:type="dxa"/>
            <w:tcBorders/>
            <w:shd w:fill="auto" w:val="clear"/>
            <w:vAlign w:val="center"/>
          </w:tcPr>
          <w:p>
            <w:pPr>
              <w:pStyle w:val="TableContents"/>
              <w:spacing w:before="0" w:after="0"/>
              <w:ind w:left="0" w:right="0" w:hanging="0"/>
              <w:jc w:val="righ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86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right"/>
              <w:rPr/>
            </w:pPr>
            <w:r>
              <w:rPr/>
              <w:t> </w:t>
            </w:r>
          </w:p>
        </w:tc>
        <w:tc>
          <w:tcPr>
            <w:tcW w:w="751" w:type="dxa"/>
            <w:tcBorders/>
            <w:shd w:fill="auto" w:val="clear"/>
            <w:vAlign w:val="center"/>
          </w:tcPr>
          <w:p>
            <w:pPr>
              <w:pStyle w:val="TableContents"/>
              <w:spacing w:before="0" w:after="0"/>
              <w:ind w:left="0" w:right="0" w:firstLine="280"/>
              <w:jc w:val="right"/>
              <w:rPr/>
            </w:pPr>
            <w:r>
              <w:rPr/>
              <w:t> </w:t>
            </w:r>
          </w:p>
        </w:tc>
      </w:tr>
      <w:tr>
        <w:trPr/>
        <w:tc>
          <w:tcPr>
            <w:tcW w:w="393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5,469</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52</w:t>
            </w:r>
          </w:p>
        </w:tc>
        <w:tc>
          <w:tcPr>
            <w:tcW w:w="751" w:type="dxa"/>
            <w:tcBorders/>
            <w:shd w:fill="auto" w:val="clear"/>
            <w:vAlign w:val="center"/>
          </w:tcPr>
          <w:p>
            <w:pPr>
              <w:pStyle w:val="TableContents"/>
              <w:spacing w:before="0" w:after="0"/>
              <w:ind w:left="0" w:right="0" w:firstLine="280"/>
              <w:jc w:val="left"/>
              <w:rPr/>
            </w:pPr>
            <w:r>
              <w:rPr/>
              <w:t> </w:t>
            </w:r>
          </w:p>
        </w:tc>
      </w:tr>
      <w:tr>
        <w:trPr/>
        <w:tc>
          <w:tcPr>
            <w:tcW w:w="3931" w:type="dxa"/>
            <w:tcBorders/>
            <w:shd w:fill="auto" w:val="clear"/>
            <w:vAlign w:val="center"/>
          </w:tcPr>
          <w:p>
            <w:pPr>
              <w:pStyle w:val="TableContents"/>
              <w:spacing w:before="0" w:after="0"/>
              <w:ind w:left="280" w:right="0" w:hanging="0"/>
              <w:jc w:val="left"/>
              <w:rPr>
                <w:rFonts w:ascii="Arial;sans-serif" w:hAnsi="Arial;sans-serif"/>
                <w:b w:val="false"/>
                <w:sz w:val="20"/>
              </w:rPr>
            </w:pPr>
            <w:r>
              <w:rPr>
                <w:rFonts w:ascii="Arial;sans-serif" w:hAnsi="Arial;sans-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4,164</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3,600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564</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560"/>
              <w:jc w:val="left"/>
              <w:rPr/>
            </w:pPr>
            <w:r>
              <w:rPr/>
              <w:t> </w:t>
            </w:r>
          </w:p>
        </w:tc>
      </w:tr>
      <w:tr>
        <w:trPr/>
        <w:tc>
          <w:tcPr>
            <w:tcW w:w="3931" w:type="dxa"/>
            <w:tcBorders/>
            <w:shd w:fill="auto" w:val="clear"/>
            <w:vAlign w:val="center"/>
          </w:tcPr>
          <w:p>
            <w:pPr>
              <w:pStyle w:val="TableContents"/>
              <w:spacing w:before="0" w:after="0"/>
              <w:ind w:left="560" w:right="0" w:hanging="0"/>
              <w:jc w:val="left"/>
              <w:rPr>
                <w:rFonts w:ascii="Arial;sans-serif" w:hAnsi="Arial;sans-serif"/>
                <w:b w:val="false"/>
                <w:sz w:val="20"/>
              </w:rPr>
            </w:pPr>
            <w:r>
              <w:rPr>
                <w:rFonts w:ascii="Arial;sans-serif" w:hAnsi="Arial;sans-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9,633</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9,017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616</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(9,633</w:t>
            </w:r>
          </w:p>
        </w:tc>
        <w:tc>
          <w:tcPr>
            <w:tcW w:w="167"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(8,986</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(647</w:t>
            </w:r>
          </w:p>
        </w:tc>
        <w:tc>
          <w:tcPr>
            <w:tcW w:w="7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Grant income</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w:t>
            </w:r>
          </w:p>
        </w:tc>
        <w:tc>
          <w:tcPr>
            <w:tcW w:w="751"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Interest income (expense), net</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102</w:t>
            </w:r>
          </w:p>
        </w:tc>
        <w:tc>
          <w:tcPr>
            <w:tcW w:w="167" w:type="dxa"/>
            <w:tcBorders/>
            <w:shd w:fill="auto" w:val="clear"/>
            <w:vAlign w:val="center"/>
          </w:tcPr>
          <w:p>
            <w:pPr>
              <w:pStyle w:val="TableContents"/>
              <w:spacing w:before="0" w:after="0"/>
              <w:ind w:left="0" w:right="0" w:hanging="0"/>
              <w:jc w:val="left"/>
              <w:rPr/>
            </w:pPr>
            <w:r>
              <w:rPr/>
              <w:t> </w:t>
            </w:r>
          </w:p>
        </w:tc>
        <w:tc>
          <w:tcPr>
            <w:tcW w:w="147" w:type="dxa"/>
            <w:tcBorders/>
            <w:shd w:fill="auto" w:val="clear"/>
            <w:vAlign w:val="center"/>
          </w:tcPr>
          <w:p>
            <w:pPr>
              <w:pStyle w:val="TableContents"/>
              <w:spacing w:before="0" w:after="0"/>
              <w:ind w:left="0" w:right="0" w:hanging="0"/>
              <w:jc w:val="left"/>
              <w:rPr/>
            </w:pPr>
            <w:r>
              <w:rPr/>
              <w:t> </w:t>
            </w:r>
          </w:p>
        </w:tc>
        <w:tc>
          <w:tcPr>
            <w:tcW w:w="212"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(175</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75" w:type="dxa"/>
            <w:tcBorders/>
            <w:shd w:fill="auto" w:val="clear"/>
            <w:vAlign w:val="center"/>
          </w:tcPr>
          <w:p>
            <w:pPr>
              <w:pStyle w:val="TableContents"/>
              <w:spacing w:before="0" w:after="0"/>
              <w:ind w:left="0" w:right="0" w:hanging="0"/>
              <w:jc w:val="left"/>
              <w:rPr/>
            </w:pPr>
            <w:r>
              <w:rPr/>
              <w:t> </w:t>
            </w:r>
          </w:p>
        </w:tc>
        <w:tc>
          <w:tcPr>
            <w:tcW w:w="850"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277</w:t>
            </w:r>
          </w:p>
        </w:tc>
        <w:tc>
          <w:tcPr>
            <w:tcW w:w="751" w:type="dxa"/>
            <w:tcBorders/>
            <w:shd w:fill="auto" w:val="clear"/>
            <w:vAlign w:val="center"/>
          </w:tcPr>
          <w:p>
            <w:pPr>
              <w:pStyle w:val="TableContents"/>
              <w:spacing w:before="0" w:after="0"/>
              <w:ind w:left="0" w:right="0" w:hanging="0"/>
              <w:jc w:val="left"/>
              <w:rPr/>
            </w:pPr>
            <w:r>
              <w:rPr/>
              <w:t> </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Change in fair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724</w:t>
            </w:r>
          </w:p>
        </w:tc>
        <w:tc>
          <w:tcPr>
            <w:tcW w:w="16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8,287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(7,563</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393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(8,795</w:t>
            </w:r>
          </w:p>
        </w:tc>
        <w:tc>
          <w:tcPr>
            <w:tcW w:w="16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(874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8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(7,921</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bl>
    <w:p>
      <w:pPr>
        <w:pStyle w:val="TextBody"/>
        <w:spacing w:before="160" w:after="0"/>
        <w:jc w:val="left"/>
        <w:rPr>
          <w:rFonts w:ascii="Times New Roman" w:hAnsi="Times New Roman"/>
          <w:sz w:val="20"/>
        </w:rPr>
      </w:pPr>
      <w:r>
        <w:rPr>
          <w:rFonts w:ascii="Arial;sans-serif" w:hAnsi="Arial;sans-serif"/>
          <w:b w:val="false"/>
          <w:i/>
          <w:sz w:val="20"/>
        </w:rPr>
        <w:t>Revenue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24</w:t>
      </w:r>
    </w:p>
    <w:p>
      <w:pPr>
        <w:pStyle w:val="HorizontalLine"/>
        <w:rPr/>
      </w:pPr>
      <w:r>
        <w:rPr/>
      </w:r>
    </w:p>
    <w:p>
      <w:pPr>
        <w:pStyle w:val="TextBody"/>
        <w:spacing w:before="120" w:after="0"/>
        <w:jc w:val="left"/>
        <w:rPr>
          <w:rFonts w:ascii="Times New Roman" w:hAnsi="Times New Roman"/>
          <w:sz w:val="20"/>
        </w:rPr>
      </w:pPr>
      <w:r>
        <w:rPr>
          <w:rFonts w:ascii="Arial;sans-serif" w:hAnsi="Arial;sans-serif"/>
          <w:b w:val="false"/>
          <w:sz w:val="19"/>
        </w:rPr>
        <w:t>We had research and development service revenue of zero and $31,000 for the three months ended March 31, 2023 and 2022, respectively. This represents the recognition as research and development service revenue of a portion of the $1.0 million up-front license fee that we received in 2014 and 2015 from Ventagen, a related party, which is being recognized over the period during which we provide the services, and has been fully recognized as of December 31, 2022.</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val="false"/>
          <w:i/>
          <w:sz w:val="20"/>
        </w:rPr>
        <w:t>Research and Development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following table summarizes our research and development expenses for the three months ended March 31, 2023 and 2022 (in thousands):</w:t>
      </w:r>
      <w:r>
        <w:rPr>
          <w:rFonts w:ascii="Times New Roman" w:hAnsi="Times New Roman"/>
          <w:sz w:val="20"/>
        </w:rPr>
        <w:t xml:space="preserve"> </w:t>
      </w:r>
    </w:p>
    <w:tbl>
      <w:tblPr>
        <w:tblW w:w="6409" w:type="dxa"/>
        <w:jc w:val="left"/>
        <w:tblInd w:w="0" w:type="dxa"/>
        <w:tblCellMar>
          <w:top w:w="28" w:type="dxa"/>
          <w:left w:w="28" w:type="dxa"/>
          <w:bottom w:w="28" w:type="dxa"/>
          <w:right w:w="28" w:type="dxa"/>
        </w:tblCellMar>
      </w:tblPr>
      <w:tblGrid>
        <w:gridCol w:w="2551"/>
        <w:gridCol w:w="146"/>
        <w:gridCol w:w="233"/>
        <w:gridCol w:w="648"/>
        <w:gridCol w:w="161"/>
        <w:gridCol w:w="161"/>
        <w:gridCol w:w="233"/>
        <w:gridCol w:w="648"/>
        <w:gridCol w:w="146"/>
        <w:gridCol w:w="146"/>
        <w:gridCol w:w="342"/>
        <w:gridCol w:w="783"/>
        <w:gridCol w:w="21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xml:space="preserve">THREE MONTHS ENDED </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INCREASE</w:t>
            </w:r>
          </w:p>
        </w:tc>
        <w:tc>
          <w:tcPr>
            <w:tcW w:w="211" w:type="dxa"/>
            <w:tcBorders/>
            <w:shd w:fill="auto" w:val="cle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(DECREASE)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Employee-related</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3,425</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8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(327</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Clinical development</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1,361</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323</w:t>
            </w:r>
          </w:p>
        </w:tc>
        <w:tc>
          <w:tcPr>
            <w:tcW w:w="21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Depreciation of fixed assets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227</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w:t>
            </w:r>
          </w:p>
        </w:tc>
        <w:tc>
          <w:tcPr>
            <w:tcW w:w="21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Occupancy</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140</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w:t>
            </w:r>
          </w:p>
        </w:tc>
        <w:tc>
          <w:tcPr>
            <w:tcW w:w="21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Recruiting</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93</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14</w:t>
            </w:r>
          </w:p>
        </w:tc>
        <w:tc>
          <w:tcPr>
            <w:tcW w:w="211" w:type="dxa"/>
            <w:tcBorders/>
            <w:shd w:fill="auto" w:val="cle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Pre-clinical research</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92</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(108</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55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131</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5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5,469</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5,417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Arial;sans-serif" w:hAnsi="Arial;sans-serif"/>
          <w:b w:val="false"/>
          <w:sz w:val="19"/>
        </w:rPr>
      </w:pPr>
      <w:r>
        <w:rPr>
          <w:rFonts w:ascii="Arial;sans-serif" w:hAnsi="Arial;sans-serif"/>
          <w:b w:val="false"/>
          <w:sz w:val="19"/>
        </w:rPr>
        <w:t>Research and development expenses increased $52,000 from $5.4 million for the three months ended March 31, 2022 to $5.5 million for the three months ended March 31, 2023. The increase was primarily attributable to $0.3 million increase in clinical development costs which was driven by increased manufacturing and regulatory costs in support of CAN-2409 programs, a $62,000 increase in depreciation expense, and a $62,000 increase in other expenses which was primarily driven by losses on the sale of equipment. These increases were partially offset by a $0.3 million decrease in employee compensation which was primarily driven by a decrease of $0.9 million of severance costs, which was partially offset by increased employee compensation costs due to increased research and development headcount. The overall increase in research and development expense was also partially offset by a decrease of $0.1 million in pre-clinical research costs.</w:t>
      </w:r>
    </w:p>
    <w:p>
      <w:pPr>
        <w:pStyle w:val="TextBody"/>
        <w:spacing w:before="160" w:after="0"/>
        <w:jc w:val="left"/>
        <w:rPr>
          <w:rFonts w:ascii="Times New Roman" w:hAnsi="Times New Roman"/>
          <w:sz w:val="20"/>
        </w:rPr>
      </w:pPr>
      <w:r>
        <w:rPr>
          <w:rFonts w:ascii="Arial;sans-serif" w:hAnsi="Arial;sans-serif"/>
          <w:b w:val="false"/>
          <w:i/>
          <w:sz w:val="20"/>
        </w:rPr>
        <w:t>General and Administrative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following table summarizes our general and administrative expenses for the three months ended March 31, 2023 and 2022 (in thousands):</w:t>
      </w:r>
      <w:r>
        <w:rPr>
          <w:rFonts w:ascii="Times New Roman" w:hAnsi="Times New Roman"/>
          <w:sz w:val="20"/>
        </w:rPr>
        <w:t xml:space="preserve"> </w:t>
      </w:r>
    </w:p>
    <w:tbl>
      <w:tblPr>
        <w:tblW w:w="6814" w:type="dxa"/>
        <w:jc w:val="left"/>
        <w:tblInd w:w="0" w:type="dxa"/>
        <w:tblCellMar>
          <w:top w:w="28" w:type="dxa"/>
          <w:left w:w="28" w:type="dxa"/>
          <w:bottom w:w="28" w:type="dxa"/>
          <w:right w:w="28" w:type="dxa"/>
        </w:tblCellMar>
      </w:tblPr>
      <w:tblGrid>
        <w:gridCol w:w="2956"/>
        <w:gridCol w:w="146"/>
        <w:gridCol w:w="233"/>
        <w:gridCol w:w="648"/>
        <w:gridCol w:w="161"/>
        <w:gridCol w:w="161"/>
        <w:gridCol w:w="233"/>
        <w:gridCol w:w="648"/>
        <w:gridCol w:w="146"/>
        <w:gridCol w:w="146"/>
        <w:gridCol w:w="342"/>
        <w:gridCol w:w="783"/>
        <w:gridCol w:w="21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 xml:space="preserve">THREE MONTHS ENDED </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5" w:type="dxa"/>
            <w:gridSpan w:val="2"/>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INCREASE</w:t>
            </w:r>
          </w:p>
        </w:tc>
        <w:tc>
          <w:tcPr>
            <w:tcW w:w="211" w:type="dxa"/>
            <w:tcBorders/>
            <w:shd w:fill="auto" w:val="cle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(DECREASE)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Employee-related</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2,254</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1,571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8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683</w:t>
            </w:r>
          </w:p>
        </w:tc>
        <w:tc>
          <w:tcPr>
            <w:tcW w:w="21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Professional and consulting fees</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1,166</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126</w:t>
            </w:r>
          </w:p>
        </w:tc>
        <w:tc>
          <w:tcPr>
            <w:tcW w:w="211" w:type="dxa"/>
            <w:tcBorders/>
            <w:shd w:fill="auto" w:val="cle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Insurance</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449</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(251</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Recruiting</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43</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(32</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Occupancy</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w:t>
            </w:r>
          </w:p>
        </w:tc>
        <w:tc>
          <w:tcPr>
            <w:tcW w:w="161" w:type="dxa"/>
            <w:tcBorders/>
            <w:shd w:fill="auto" w:val="clear"/>
            <w:vAlign w:val="center"/>
          </w:tcPr>
          <w:p>
            <w:pPr>
              <w:pStyle w:val="TableContents"/>
              <w:spacing w:before="0" w:after="0"/>
              <w:ind w:left="0" w:right="0" w:hanging="0"/>
              <w:jc w:val="left"/>
              <w:rPr/>
            </w:pPr>
            <w:r>
              <w:rPr/>
              <w:t> </w:t>
            </w:r>
          </w:p>
        </w:tc>
        <w:tc>
          <w:tcPr>
            <w:tcW w:w="161" w:type="dxa"/>
            <w:tcBorders/>
            <w:shd w:fill="auto" w:val="clear"/>
            <w:vAlign w:val="center"/>
          </w:tcPr>
          <w:p>
            <w:pPr>
              <w:pStyle w:val="TableContents"/>
              <w:spacing w:before="0" w:after="0"/>
              <w:ind w:left="0" w:right="0" w:hanging="0"/>
              <w:jc w:val="right"/>
              <w:rPr/>
            </w:pPr>
            <w:r>
              <w:rPr/>
              <w:t> </w:t>
            </w:r>
          </w:p>
        </w:tc>
        <w:tc>
          <w:tcPr>
            <w:tcW w:w="233" w:type="dxa"/>
            <w:tcBorders/>
            <w:shd w:fill="auto" w:val="clear"/>
            <w:vAlign w:val="center"/>
          </w:tcPr>
          <w:p>
            <w:pPr>
              <w:pStyle w:val="TableContents"/>
              <w:spacing w:before="0" w:after="0"/>
              <w:ind w:left="0" w:right="0" w:hanging="0"/>
              <w:jc w:val="left"/>
              <w:rPr/>
            </w:pPr>
            <w:r>
              <w:rPr/>
              <w:t> </w:t>
            </w:r>
          </w:p>
        </w:tc>
        <w:tc>
          <w:tcPr>
            <w:tcW w:w="648"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42" w:type="dxa"/>
            <w:tcBorders/>
            <w:shd w:fill="auto" w:val="clear"/>
            <w:vAlign w:val="center"/>
          </w:tcPr>
          <w:p>
            <w:pPr>
              <w:pStyle w:val="TableContents"/>
              <w:spacing w:before="0" w:after="0"/>
              <w:ind w:left="0" w:right="0" w:hanging="0"/>
              <w:jc w:val="left"/>
              <w:rPr/>
            </w:pPr>
            <w:r>
              <w:rPr/>
              <w:t> </w:t>
            </w:r>
          </w:p>
        </w:tc>
        <w:tc>
          <w:tcPr>
            <w:tcW w:w="783"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(7</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295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211</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4,164</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3,600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3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8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564</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 w:hAnsi="Times New Roman"/>
          <w:sz w:val="20"/>
        </w:rPr>
      </w:pPr>
      <w:r>
        <w:rPr>
          <w:rFonts w:ascii="Arial;sans-serif" w:hAnsi="Arial;sans-serif"/>
          <w:b w:val="false"/>
          <w:sz w:val="19"/>
        </w:rPr>
        <w:t>General and administrative expenses increased $0.6 million from $3.6 million for the three months ended March 31, 2022 to $4.2 million for the three months ended March 31, 2023. The increase was primarily attributable to a $0.7 million increase in employee compensation costs due to increased general and administrative headcount, $0.4 million of severance costs, and a $0.1 million increase in professional and consulting fees. These increases were partially offset by a $0.3 million decrease in the cost of directors and officers insurance.</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val="false"/>
          <w:i/>
          <w:sz w:val="20"/>
        </w:rPr>
        <w:t>Grant Income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Grant income was $12,000 and zero for the three months ended March 31, 2023 and 2022, respectively. Grant income for the three months ended March 31, 2023 relates to the recognition of income from a grant from the Massachusetts Life Sciences Center.</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val="false"/>
          <w:i/>
          <w:sz w:val="20"/>
        </w:rPr>
        <w:t>Interest Income (Expense), Net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Interest income was $102,000 for the three months ended March 31, 2023 compared to interest expense of $0.2 million for the three months ended March 31, 2022 and represents earnings on our cash equivalents net of interest expense on outstanding</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25</w:t>
      </w:r>
    </w:p>
    <w:p>
      <w:pPr>
        <w:pStyle w:val="HorizontalLine"/>
        <w:rPr/>
      </w:pPr>
      <w:r>
        <w:rPr/>
      </w:r>
    </w:p>
    <w:p>
      <w:pPr>
        <w:pStyle w:val="TextBody"/>
        <w:spacing w:before="120" w:after="0"/>
        <w:jc w:val="left"/>
        <w:rPr>
          <w:rFonts w:ascii="Times New Roman" w:hAnsi="Times New Roman"/>
          <w:sz w:val="20"/>
        </w:rPr>
      </w:pPr>
      <w:r>
        <w:rPr>
          <w:rFonts w:ascii="Arial;sans-serif" w:hAnsi="Arial;sans-serif"/>
          <w:b w:val="false"/>
          <w:sz w:val="19"/>
        </w:rPr>
        <w:t>debt obligations. The increase in interest income (expense), net is the result of higher interest rates for the three months ended March 31, 2023 compared to the three months ended March 31, 2022.</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val="false"/>
          <w:i/>
          <w:sz w:val="20"/>
        </w:rPr>
        <w:t>Change in Fair Value of Warrant Liability</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change in fair value of our warrant liability was a decrease of $0.7 million for the three months ended March 31, 2023, compared to a decrease of $8.3 million for the three months ended March 31, 2022. The change in fair value of the warrant liability is primarily driven by changes in the underlying value of our stock price.</w:t>
      </w:r>
      <w:r>
        <w:rPr>
          <w:rFonts w:ascii="Times New Roman" w:hAnsi="Times New Roman"/>
          <w:sz w:val="20"/>
        </w:rPr>
        <w:t xml:space="preserve"> </w:t>
      </w:r>
    </w:p>
    <w:p>
      <w:pPr>
        <w:pStyle w:val="TextBody"/>
        <w:spacing w:before="160" w:after="0"/>
        <w:jc w:val="left"/>
        <w:rPr>
          <w:rFonts w:ascii="Arial;sans-serif" w:hAnsi="Arial;sans-serif"/>
          <w:b/>
          <w:sz w:val="20"/>
        </w:rPr>
      </w:pPr>
      <w:r>
        <w:rPr>
          <w:rFonts w:ascii="Arial;sans-serif" w:hAnsi="Arial;sans-serif"/>
          <w:b/>
          <w:sz w:val="20"/>
        </w:rPr>
        <w:t>Liquidity and Capital Resources</w:t>
      </w:r>
    </w:p>
    <w:p>
      <w:pPr>
        <w:pStyle w:val="TextBody"/>
        <w:spacing w:before="120" w:after="0"/>
        <w:jc w:val="left"/>
        <w:rPr>
          <w:rFonts w:ascii="Arial;sans-serif" w:hAnsi="Arial;sans-serif"/>
          <w:b w:val="false"/>
          <w:sz w:val="19"/>
        </w:rPr>
      </w:pPr>
      <w:r>
        <w:rPr>
          <w:rFonts w:ascii="Arial;sans-serif" w:hAnsi="Arial;sans-serif"/>
          <w:b w:val="false"/>
          <w:sz w:val="19"/>
        </w:rPr>
        <w:t>Since our inception, we have not generated any revenue from product sales and have incurred significant operating losses.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for our product candidates, developing our manufacturing capabilities which may include the cost of establishing a relationship with contract manufacturers to support commercial launch of our product candidate CAN-2409 and costs associated with equipping our laboratory and manufacturing facility to support clinical trials and commercialization and providing general and administrative support for our operations, including the cost associated with operating as a public company. As a result, we will need additional capital to fund our operations, which we may obtain from additional equity or debt financings, collaborations, licensing arrangements or other sources.</w:t>
      </w:r>
    </w:p>
    <w:p>
      <w:pPr>
        <w:pStyle w:val="TextBody"/>
        <w:spacing w:before="120" w:after="0"/>
        <w:jc w:val="left"/>
        <w:rPr>
          <w:rFonts w:ascii="Arial;sans-serif" w:hAnsi="Arial;sans-serif"/>
          <w:b w:val="false"/>
          <w:sz w:val="19"/>
        </w:rPr>
      </w:pPr>
      <w:r>
        <w:rPr>
          <w:rFonts w:ascii="Arial;sans-serif" w:hAnsi="Arial;sans-serif"/>
          <w:b w:val="false"/>
          <w:sz w:val="19"/>
        </w:rPr>
        <w:t>We do not currently have any approved products and have never generated any revenue from product sales. We have financed our operations primarily through proceeds from government grants and proceeds from the sale of convertible notes, common stock, and our convertible preferred stock. As of March 31, 2023, we have raised approximately $160.6 million, including $15.4 million of government grants, $66.1 million from the sale of convertible preferred stock, and $79.1 million from the sale of our common stock in our IPO. Our cash and cash equivalents totaled $59.3 million as of March 31, 2023. We had $21.0 million of debt as of March 31, 2023.</w:t>
      </w:r>
    </w:p>
    <w:p>
      <w:pPr>
        <w:pStyle w:val="TextBody"/>
        <w:spacing w:before="120" w:after="0"/>
        <w:jc w:val="left"/>
        <w:rPr>
          <w:rFonts w:ascii="Arial;sans-serif" w:hAnsi="Arial;sans-serif"/>
          <w:b w:val="false"/>
          <w:sz w:val="19"/>
        </w:rPr>
      </w:pPr>
      <w:r>
        <w:rPr>
          <w:rFonts w:ascii="Arial;sans-serif" w:hAnsi="Arial;sans-serif"/>
          <w:b w:val="false"/>
          <w:sz w:val="19"/>
        </w:rPr>
        <w:t>On February 24, 2022, the Company entered into a loan and security agreement Loan Agreement with SVB pursuant to which SVB agreed to provide term loans to the Company in an aggregate principal amount of $20.0 million. The Company borrowed $20.0 million upon entering into the Loan Agreement. The Company could have borrowed up to an additional aggregate principal amount not to exceed $5.0 million, at any time on or prior to December 31, 2022, upon the achievement of all of the following milestones, inclusively: (a) positive Phase 2 clinical activity data from the Company’s CAN-2409 NSCLC clinical trial, (b) dosing of its first patient in its Phase 3 CAN-2409 high-grade glioma clinical trial; and (c) receipt on or prior to December 31, 2022, of net cash proceeds in an amount equal to at least $75.0 million from the issuance and sale of equity securities to investors acceptable to SVB. The Company did not borrow any of the additional aggregate principal amount on or prior to December 31, 2022. The term loans are secured by substantially all of the Company’s properties, rights and assets, except for its intellectual property, which is subject to a negative pledge under the Loan Agreement.</w:t>
      </w:r>
    </w:p>
    <w:p>
      <w:pPr>
        <w:pStyle w:val="TextBody"/>
        <w:spacing w:before="120" w:after="0"/>
        <w:jc w:val="left"/>
        <w:rPr>
          <w:rFonts w:ascii="Arial;sans-serif" w:hAnsi="Arial;sans-serif"/>
          <w:b w:val="false"/>
          <w:sz w:val="19"/>
        </w:rPr>
      </w:pPr>
      <w:r>
        <w:rPr>
          <w:rFonts w:ascii="Arial;sans-serif" w:hAnsi="Arial;sans-serif"/>
          <w:b w:val="false"/>
          <w:sz w:val="19"/>
        </w:rPr>
        <w:t>The term loans bear interest at a floating rate per annum equal to the greater of (A) 5.75% and (B) the prime rate (as published in the money rates section of The Wall Street Journal) plus 2.50%. The Company is required to make monthly interest payments, and commencing on February 1, 2024, 24 consecutive installments of principal plus monthly payments of accrued interest. The term loans mature on January 1, 2026. Upon repayment in full of the term loans, the Company will be required to pay a final payment fee equal to 4.50% of the original principal amount of any funded term loan being repaid. The Loan Agreement permits voluntary prepayment of all, but not less than all, of the SVB term loans, subject to a prepayment premium of 1% to 3% based upon the timing of the prepayment.</w:t>
      </w:r>
    </w:p>
    <w:p>
      <w:pPr>
        <w:pStyle w:val="TextBody"/>
        <w:spacing w:before="120" w:after="0"/>
        <w:jc w:val="left"/>
        <w:rPr>
          <w:rFonts w:ascii="Arial;sans-serif" w:hAnsi="Arial;sans-serif"/>
          <w:b w:val="false"/>
          <w:sz w:val="19"/>
        </w:rPr>
      </w:pPr>
      <w:r>
        <w:rPr>
          <w:rFonts w:ascii="Arial;sans-serif" w:hAnsi="Arial;sans-serif"/>
          <w:b w:val="false"/>
          <w:sz w:val="19"/>
        </w:rPr>
        <w:t>On August 5, 2022, we filed a shelf registration statement on Form S-3 (the Shelf) with the SEC, which covers the offering, issuance and sale by us of up to an aggregate of $200.0 million of our common stock, preferred stock, debt securities, warrants and/or units of any combination thereof. We simultaneously entered into a sales agreement with Jefferies LLC, as sales agent, to provide for the issuance and sale by us of up to $75.0 million of our common stock from time to time in “at-the-market” offerings under the Shelf (the ATM Program). The Shelf was declared effective by the SEC on August 12, 2022. As of the date hereof, no sales have been made pursuant to the ATM Program.</w:t>
      </w:r>
    </w:p>
    <w:p>
      <w:pPr>
        <w:pStyle w:val="TextBody"/>
        <w:spacing w:before="120" w:after="0"/>
        <w:jc w:val="left"/>
        <w:rPr>
          <w:rFonts w:ascii="Arial;sans-serif" w:hAnsi="Arial;sans-serif"/>
          <w:b w:val="false"/>
          <w:sz w:val="19"/>
        </w:rPr>
      </w:pPr>
      <w:r>
        <w:rPr>
          <w:rFonts w:ascii="Arial;sans-serif" w:hAnsi="Arial;sans-serif"/>
          <w:b w:val="false"/>
          <w:sz w:val="19"/>
        </w:rPr>
        <w:t>As of the date of this Form 10-Q, we had an accumulated deficit of $107.9 million and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and contract manufacturing costs, legal and other regulatory expenses, and general overhead costs.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will require substantial additional financing to fund our operations and to continue to execute our strategy, and we will pursue a range of options to secure additional capital.</w:t>
      </w:r>
    </w:p>
    <w:p>
      <w:pPr>
        <w:pStyle w:val="TextBody"/>
        <w:spacing w:before="240" w:after="0"/>
        <w:jc w:val="center"/>
        <w:rPr>
          <w:rFonts w:ascii="Arial;sans-serif" w:hAnsi="Arial;sans-serif"/>
          <w:b w:val="false"/>
          <w:sz w:val="20"/>
        </w:rPr>
      </w:pPr>
      <w:r>
        <w:rPr>
          <w:rFonts w:ascii="Arial;sans-serif" w:hAnsi="Arial;sans-serif"/>
          <w:b w:val="false"/>
          <w:sz w:val="20"/>
        </w:rPr>
        <w:t>26</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clinical trials, product development or future commercialization efforts.</w:t>
      </w:r>
    </w:p>
    <w:p>
      <w:pPr>
        <w:pStyle w:val="TextBody"/>
        <w:spacing w:before="160" w:after="0"/>
        <w:jc w:val="left"/>
        <w:rPr>
          <w:rFonts w:ascii="Times New Roman" w:hAnsi="Times New Roman"/>
          <w:sz w:val="20"/>
        </w:rPr>
      </w:pPr>
      <w:r>
        <w:rPr>
          <w:rFonts w:ascii="Arial;sans-serif" w:hAnsi="Arial;sans-serif"/>
          <w:b/>
          <w:i/>
          <w:sz w:val="20"/>
        </w:rPr>
        <w:t>Cash Flows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 following table summarizes our sources and uses of cash for the periods presented (in thousands):</w:t>
      </w:r>
      <w:r>
        <w:rPr>
          <w:rFonts w:ascii="Times New Roman" w:hAnsi="Times New Roman"/>
          <w:sz w:val="20"/>
        </w:rPr>
        <w:t xml:space="preserve"> </w:t>
      </w:r>
    </w:p>
    <w:tbl>
      <w:tblPr>
        <w:tblW w:w="7319" w:type="dxa"/>
        <w:jc w:val="left"/>
        <w:tblInd w:w="0" w:type="dxa"/>
        <w:tblCellMar>
          <w:top w:w="28" w:type="dxa"/>
          <w:left w:w="28" w:type="dxa"/>
          <w:bottom w:w="28" w:type="dxa"/>
          <w:right w:w="28" w:type="dxa"/>
        </w:tblCellMar>
      </w:tblPr>
      <w:tblGrid>
        <w:gridCol w:w="4786"/>
        <w:gridCol w:w="146"/>
        <w:gridCol w:w="211"/>
        <w:gridCol w:w="751"/>
        <w:gridCol w:w="166"/>
        <w:gridCol w:w="146"/>
        <w:gridCol w:w="211"/>
        <w:gridCol w:w="691"/>
        <w:gridCol w:w="211"/>
      </w:tblGrid>
      <w:tr>
        <w:trPr/>
        <w:tc>
          <w:tcPr>
            <w:tcW w:w="4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7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(10,819</w:t>
            </w:r>
          </w:p>
        </w:tc>
        <w:tc>
          <w:tcPr>
            <w:tcW w:w="16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(8,053</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7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(171</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r>
      <w:tr>
        <w:trPr/>
        <w:tc>
          <w:tcPr>
            <w:tcW w:w="47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19,916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78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Net increase (decrease)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(10,800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11,692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60" w:after="0"/>
        <w:jc w:val="left"/>
        <w:rPr>
          <w:rFonts w:ascii="Arial;sans-serif" w:hAnsi="Arial;sans-serif"/>
          <w:b/>
          <w:i/>
          <w:sz w:val="20"/>
        </w:rPr>
      </w:pPr>
      <w:r>
        <w:rPr>
          <w:rFonts w:ascii="Arial;sans-serif" w:hAnsi="Arial;sans-serif"/>
          <w:b/>
          <w:i/>
          <w:sz w:val="20"/>
        </w:rPr>
        <w:t>Cash Flows for the three months ended March 31, 2023 and 2022</w:t>
      </w:r>
    </w:p>
    <w:p>
      <w:pPr>
        <w:pStyle w:val="TextBody"/>
        <w:spacing w:before="160" w:after="0"/>
        <w:jc w:val="left"/>
        <w:rPr>
          <w:rFonts w:ascii="Times New Roman" w:hAnsi="Times New Roman"/>
          <w:sz w:val="20"/>
        </w:rPr>
      </w:pPr>
      <w:r>
        <w:rPr>
          <w:rFonts w:ascii="Arial;sans-serif" w:hAnsi="Arial;sans-serif"/>
          <w:b/>
          <w:i/>
          <w:sz w:val="20"/>
        </w:rPr>
        <w:t>Operating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Net cash used in operating activities for the three months ended March 31, 2023 was $10.8 million, primarily consisting of a net loss of $8.8 million as we incurred expenses associated with our clinical programs, increased our headcount and incurred costs associated with operating as a public company. In addition, we had non-cash income of $0.7 million as a result of the change in the fair value of our warrant liability. Non-cash income was offset by $1.2 million in non-cash charges primarily related to depreciation and non-cash stock compensation expense. Net cash used in operating activities was also impacted by $2.5 million in changes in operating assets and liabilities, primarily driven by a decrease of $1.8 million in accrued expenses and a $0.7 million increase to prepaid expenses and other current assets.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Net cash used in operating activities for the three months ended March 31, 2022 was $8.1 million, primarily consisting of a net loss of $0.9 million as we incurred expenses associated with our clinical programs and we increased our headcount. In addition, we had non-cash income of $8.3 million as a result of the change in the fair value of our warrant liability. Non-cash income was partially offset by $0.8 million in non-cash charges primarily related to depreciation and non-cash stock compensation expense. Net cash used in operating activities was also impacted by $0.3 million in changes in operating assets and liabilities, primarily driven by a decrease of $1.0 million in prepaids and other current assets, which was partially offset by an increase in $0.6 million in accounts payable.</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Investing Activities</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Net cash provided by investing activities for the three months ended March 31, 2023 was $19,000 and consisted of proceeds from the sale of fixed assets, which was partially offset by the purchase of fixed assets.</w:t>
      </w:r>
    </w:p>
    <w:p>
      <w:pPr>
        <w:pStyle w:val="TextBody"/>
        <w:spacing w:before="120" w:after="0"/>
        <w:jc w:val="left"/>
        <w:rPr>
          <w:rFonts w:ascii="Arial;sans-serif" w:hAnsi="Arial;sans-serif"/>
          <w:b w:val="false"/>
          <w:sz w:val="19"/>
        </w:rPr>
      </w:pPr>
      <w:r>
        <w:rPr>
          <w:rFonts w:ascii="Arial;sans-serif" w:hAnsi="Arial;sans-serif"/>
          <w:b w:val="false"/>
          <w:sz w:val="19"/>
        </w:rPr>
        <w:t>Net cash used in investing activities for the three months ended March 31, 2022 was $0.2 million and consisted of the purchase of fixed assets.</w:t>
      </w:r>
    </w:p>
    <w:p>
      <w:pPr>
        <w:pStyle w:val="TextBody"/>
        <w:spacing w:before="160" w:after="0"/>
        <w:jc w:val="left"/>
        <w:rPr>
          <w:rFonts w:ascii="Times New Roman" w:hAnsi="Times New Roman"/>
          <w:sz w:val="20"/>
        </w:rPr>
      </w:pPr>
      <w:r>
        <w:rPr>
          <w:rFonts w:ascii="Arial;sans-serif" w:hAnsi="Arial;sans-serif"/>
          <w:b/>
          <w:i/>
          <w:sz w:val="20"/>
        </w:rPr>
        <w:t>Financing Activities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There were no financing activities for the three months ended March 31, 2023.</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Net cash provided by financing activities for the three months ended March 31, 2022 was $19.9 million and primarily consisted of $19.9 million of net proceeds from a term loan with a bank.</w:t>
      </w:r>
    </w:p>
    <w:p>
      <w:pPr>
        <w:pStyle w:val="TextBody"/>
        <w:spacing w:before="160" w:after="0"/>
        <w:jc w:val="left"/>
        <w:rPr>
          <w:rFonts w:ascii="Times New Roman" w:hAnsi="Times New Roman"/>
          <w:sz w:val="20"/>
        </w:rPr>
      </w:pPr>
      <w:r>
        <w:rPr>
          <w:rFonts w:ascii="Arial;sans-serif" w:hAnsi="Arial;sans-serif"/>
          <w:b/>
          <w:i/>
          <w:sz w:val="20"/>
        </w:rPr>
        <w:t>Funding Requirements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 xml:space="preserve">We </w:t>
      </w:r>
      <w:r>
        <w:rPr>
          <w:rFonts w:ascii="Arial;sans-serif" w:hAnsi="Arial;sans-serif"/>
          <w:b w:val="false"/>
          <w:sz w:val="19"/>
        </w:rPr>
        <w:t>expect our operating expenses to increase substantially in the future in connection with our ongoing activities, particularly as we advance CAN-2409 and CAN-3110 through research and development, clinical trials, develop our manufacturing capabilities and build our laboratory and clinical manufacturing facility, as we research and develop additional product candidates including preclinical activities and as we prepare for marketing approval and commercialization. We also expect to incur additional costs associated with operating as a public company.</w:t>
      </w:r>
    </w:p>
    <w:p>
      <w:pPr>
        <w:pStyle w:val="TextBody"/>
        <w:spacing w:before="120" w:after="0"/>
        <w:jc w:val="left"/>
        <w:rPr>
          <w:rFonts w:ascii="Arial;sans-serif" w:hAnsi="Arial;sans-serif"/>
          <w:b w:val="false"/>
          <w:sz w:val="19"/>
        </w:rPr>
      </w:pPr>
      <w:r>
        <w:rPr>
          <w:rFonts w:ascii="Arial;sans-serif" w:hAnsi="Arial;sans-serif"/>
          <w:b w:val="false"/>
          <w:sz w:val="19"/>
        </w:rPr>
        <w:t>Specifically, our costs and expenses will increase as we: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advance the clinical development of CAN-2409 and CAN-3110;</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pursue the preclinical and clinical development of other product candidates using our HSV-based platform;</w:t>
      </w:r>
    </w:p>
    <w:p>
      <w:pPr>
        <w:pStyle w:val="TextBody"/>
        <w:spacing w:before="240" w:after="0"/>
        <w:jc w:val="center"/>
        <w:rPr>
          <w:rFonts w:ascii="Arial;sans-serif" w:hAnsi="Arial;sans-serif"/>
          <w:b w:val="false"/>
          <w:sz w:val="20"/>
        </w:rPr>
      </w:pPr>
      <w:r>
        <w:rPr>
          <w:rFonts w:ascii="Arial;sans-serif" w:hAnsi="Arial;sans-serif"/>
          <w:b w:val="false"/>
          <w:sz w:val="20"/>
        </w:rPr>
        <w:t>27</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develop our manufacturing capabilities, including establishing a relationship with a contract manufacturer for commercial manufacturing of our product candidate CAN-2409 and the construction of our laboratory and clinical manufacturing facility for our product candidate CAN-3110; and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expand our operational, financial, and management systems and increase personnel, including personnel to support our operations as a public company.</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We believe that our existing cash and cash equivalents as of March 31, 2023, will enable us to fund our operating expenses and capital expense requirements into the second quarter of 2024. We have based this estimate on assumptions that may prove to be incorrect, and we could utilize our available capital resources sooner than we currently expect.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Because of the numerous risks and uncertainties associated with the research, development, and commercialization of therapeutics, it is difficult to estimate with certainty the amount of our working capital requirements. Our future funding requirements will depend on many factors, including: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progress, costs, and results of our clinical development and clinical trials for CAN-2409 and CAN-3110;</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progress, costs, and results of our additional research and preclinical development programs;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costs, timing and outcome of regulatory review of our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establish and maintain collaborations on favorable terms, if at all;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outcome, timing and cost of meeting regulatory requirements established by the FDA and comparable foreign regulatory authorities, if applicable, for our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costs and timing of internal process development for our manufacturing capabilities;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scope, progress, results, and costs of any product candidates that we may derive from our HSV-based platform or with collaborators;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costs of preparing, filing and prosecuting patent applications, obtaining, maintaining and enforcing our intellectual property rights and defending intellectual property-related claims; hire additional personnel in research, manufacturing, and regulatory and clinical development, as well as management personnel;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extent to which we in-license or acquire rights to other products, product candidates, or technologies;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additions or departures of key scientific or management personnel;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costs and timing of future commercialization activities, including product manufacturing, marketing, sales, and distribution for any of our product candidates for which we obtain marketing approval;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amount of revenue, if any, received from commercial sales of our product candidates, should any of our product candidates receive marketing approval;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costs of operating as a public company.</w:t>
      </w:r>
    </w:p>
    <w:p>
      <w:pPr>
        <w:pStyle w:val="TextBody"/>
        <w:spacing w:before="120" w:after="0"/>
        <w:jc w:val="left"/>
        <w:rPr>
          <w:rFonts w:ascii="Times New Roman" w:hAnsi="Times New Roman"/>
          <w:sz w:val="20"/>
        </w:rPr>
      </w:pPr>
      <w:r>
        <w:rPr>
          <w:rFonts w:ascii="Arial;sans-serif" w:hAnsi="Arial;sans-serif"/>
          <w:b w:val="false"/>
          <w:sz w:val="19"/>
        </w:rPr>
        <w:t xml:space="preserve">Until such time as we can generate significant revenue from product sales, if ever, we expect to finance our cash needs through a combination of public or private equity or debt financings and other sources, which may include collaborations strategic alliances and licensing arrangements with third parties.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could adversely affect your rights as a common stockholder. Debt financing and equity financing, if available, may involve agreements that include restrictive covenants limiting or restricting our ability to take specific actions, such as incurring additional debt, making capital expenditures or declaring dividends, that could adversely impact our ability to conduct our business, in addition to those restrictive covenants contained in the Loan Agreement. If we raise additional funds through other sources, such as collaboration agreements, strategic alliances, licensing arrangements or marketing and distribution arrangements, we may have to relinquish valuable rights to our technologies, future revenue streams, product development, and research programs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products or product candidates that we would otherwise prefer to develop and market </w:t>
      </w:r>
      <w:r>
        <w:rPr>
          <w:rFonts w:ascii="Arial;sans-serif" w:hAnsi="Arial;sans-serif"/>
          <w:b w:val="false"/>
          <w:sz w:val="20"/>
        </w:rPr>
        <w:t>ourselves.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28</w:t>
      </w:r>
    </w:p>
    <w:p>
      <w:pPr>
        <w:pStyle w:val="HorizontalLine"/>
        <w:rPr/>
      </w:pPr>
      <w:r>
        <w:rPr/>
      </w:r>
    </w:p>
    <w:p>
      <w:pPr>
        <w:pStyle w:val="TextBody"/>
        <w:spacing w:before="160" w:after="0"/>
        <w:jc w:val="left"/>
        <w:rPr>
          <w:rFonts w:ascii="Times New Roman" w:hAnsi="Times New Roman"/>
          <w:sz w:val="20"/>
        </w:rPr>
      </w:pPr>
      <w:r>
        <w:rPr>
          <w:rFonts w:ascii="Arial;sans-serif" w:hAnsi="Arial;sans-serif"/>
          <w:b/>
          <w:sz w:val="20"/>
        </w:rPr>
        <w:t>Contractual Obligations and Commitments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Our primary contractual obligations are our facility lease, the Loan Agreement with SVB, and the Periphagen Note. The table below summarizes the contractual obligations that will become due as of March 31, 2023 (in thousands):</w:t>
      </w:r>
      <w:r>
        <w:rPr>
          <w:rFonts w:ascii="Times New Roman" w:hAnsi="Times New Roman"/>
          <w:sz w:val="20"/>
        </w:rPr>
        <w:t xml:space="preserve"> </w:t>
      </w:r>
    </w:p>
    <w:tbl>
      <w:tblPr>
        <w:tblW w:w="7475" w:type="dxa"/>
        <w:jc w:val="left"/>
        <w:tblInd w:w="0" w:type="dxa"/>
        <w:tblCellMar>
          <w:top w:w="28" w:type="dxa"/>
          <w:left w:w="28" w:type="dxa"/>
          <w:bottom w:w="28" w:type="dxa"/>
          <w:right w:w="28" w:type="dxa"/>
        </w:tblCellMar>
      </w:tblPr>
      <w:tblGrid>
        <w:gridCol w:w="2626"/>
        <w:gridCol w:w="146"/>
        <w:gridCol w:w="211"/>
        <w:gridCol w:w="691"/>
        <w:gridCol w:w="146"/>
        <w:gridCol w:w="146"/>
        <w:gridCol w:w="274"/>
        <w:gridCol w:w="761"/>
        <w:gridCol w:w="146"/>
        <w:gridCol w:w="146"/>
        <w:gridCol w:w="211"/>
        <w:gridCol w:w="691"/>
        <w:gridCol w:w="146"/>
        <w:gridCol w:w="146"/>
        <w:gridCol w:w="211"/>
        <w:gridCol w:w="586"/>
        <w:gridCol w:w="191"/>
      </w:tblGrid>
      <w:tr>
        <w:trPr/>
        <w:tc>
          <w:tcPr>
            <w:tcW w:w="26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6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PAYMENTS DUE BY PERIOD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512" w:type="dxa"/>
            <w:gridSpan w:val="14"/>
            <w:tcBorders/>
            <w:shd w:fill="auto" w:val="cle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26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LESS THAN</w:t>
              <w:br/>
              <w:t>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1 TO 3</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16"/>
              </w:rPr>
            </w:pPr>
            <w:r>
              <w:rPr>
                <w:rFonts w:ascii="Arial;sans-serif" w:hAnsi="Arial;sans-serif"/>
                <w:b/>
                <w:sz w:val="16"/>
              </w:rPr>
              <w:t>3 TO 5</w:t>
              <w:br/>
              <w:t>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Operating lease obligation</w:t>
            </w:r>
            <w:r>
              <w:rPr>
                <w:rFonts w:ascii="Times New Roman" w:hAnsi="Times New Roman"/>
                <w:sz w:val="20"/>
              </w:rPr>
              <w:t> </w:t>
            </w:r>
            <w:r>
              <w:rPr>
                <w:rFonts w:ascii="Arial;sans-serif" w:hAnsi="Arial;sans-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586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260</w:t>
            </w:r>
          </w:p>
        </w:tc>
        <w:tc>
          <w:tcPr>
            <w:tcW w:w="191"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 xml:space="preserve">Loan Agreement with SVB </w:t>
            </w:r>
            <w:r>
              <w:rPr>
                <w:rFonts w:ascii="Arial;sans-serif" w:hAnsi="Arial;sans-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24,044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4" w:type="dxa"/>
            <w:tcBorders/>
            <w:shd w:fill="auto" w:val="clear"/>
            <w:vAlign w:val="center"/>
          </w:tcPr>
          <w:p>
            <w:pPr>
              <w:pStyle w:val="TableContents"/>
              <w:spacing w:before="0" w:after="0"/>
              <w:ind w:left="0" w:right="0" w:hanging="0"/>
              <w:jc w:val="left"/>
              <w:rPr/>
            </w:pPr>
            <w:r>
              <w:rPr/>
              <w:t> </w:t>
            </w:r>
          </w:p>
        </w:tc>
        <w:tc>
          <w:tcPr>
            <w:tcW w:w="76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3,706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20,338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Times New Roman" w:hAnsi="Times New Roman"/>
                <w:sz w:val="20"/>
              </w:rPr>
            </w:pPr>
            <w:r>
              <w:rPr>
                <w:rFonts w:ascii="Arial;sans-serif" w:hAnsi="Arial;sans-serif"/>
                <w:b w:val="false"/>
                <w:sz w:val="20"/>
              </w:rPr>
              <w:t xml:space="preserve">Periphagen Note </w:t>
            </w:r>
            <w:r>
              <w:rPr>
                <w:rFonts w:ascii="Arial;sans-serif" w:hAnsi="Arial;sans-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1,000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26" w:type="dxa"/>
            <w:tcBorders/>
            <w:shd w:fill="auto" w:val="cle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27,108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7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4,292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21,556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Arial;sans-serif" w:hAnsi="Arial;sans-serif"/>
                <w:b w:val="false"/>
                <w:sz w:val="20"/>
              </w:rPr>
            </w:pPr>
            <w:r>
              <w:rPr>
                <w:rFonts w:ascii="Arial;sans-serif" w:hAnsi="Arial;sans-serif"/>
                <w:b w:val="false"/>
                <w:sz w:val="20"/>
              </w:rPr>
              <w:t>1,260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Arial" w:hAnsi="Arial"/>
          <w:b w:val="false"/>
          <w:sz w:val="19"/>
        </w:rPr>
      </w:pPr>
      <w:r>
        <w:rPr>
          <w:rFonts w:ascii="Arial" w:hAnsi="Arial"/>
          <w:b w:val="false"/>
          <w:sz w:val="19"/>
        </w:rPr>
        <w:t>(1)</w:t>
      </w:r>
    </w:p>
    <w:p>
      <w:pPr>
        <w:pStyle w:val="TextBody"/>
        <w:spacing w:before="0" w:after="0"/>
        <w:jc w:val="left"/>
        <w:rPr>
          <w:rFonts w:ascii="Arial;sans-serif" w:hAnsi="Arial;sans-serif"/>
          <w:b w:val="false"/>
          <w:sz w:val="19"/>
        </w:rPr>
      </w:pPr>
      <w:r>
        <w:rPr>
          <w:rFonts w:ascii="Arial;sans-serif" w:hAnsi="Arial;sans-serif"/>
          <w:b w:val="false"/>
          <w:sz w:val="19"/>
        </w:rPr>
        <w:t>Represents future minimum lease payments under our operating lease for office and laboratory space at our Needham, Massachusetts facility. Our facility lease extends to August of 2026.</w:t>
      </w:r>
    </w:p>
    <w:p>
      <w:pPr>
        <w:pStyle w:val="TextBody"/>
        <w:spacing w:before="0" w:after="0"/>
        <w:jc w:val="left"/>
        <w:rPr>
          <w:rFonts w:ascii="Arial" w:hAnsi="Arial"/>
          <w:b w:val="false"/>
          <w:sz w:val="19"/>
        </w:rPr>
      </w:pPr>
      <w:r>
        <w:rPr>
          <w:rFonts w:ascii="Arial" w:hAnsi="Arial"/>
          <w:b w:val="false"/>
          <w:sz w:val="19"/>
        </w:rPr>
        <w:t>(2)</w:t>
      </w:r>
    </w:p>
    <w:p>
      <w:pPr>
        <w:pStyle w:val="TextBody"/>
        <w:spacing w:before="0" w:after="0"/>
        <w:jc w:val="left"/>
        <w:rPr>
          <w:rFonts w:ascii="Arial;sans-serif" w:hAnsi="Arial;sans-serif"/>
          <w:b w:val="false"/>
          <w:sz w:val="19"/>
        </w:rPr>
      </w:pPr>
      <w:r>
        <w:rPr>
          <w:rFonts w:ascii="Arial;sans-serif" w:hAnsi="Arial;sans-serif"/>
          <w:b w:val="false"/>
          <w:sz w:val="19"/>
        </w:rPr>
        <w:t>Represents future principal and interest payments on our Loan Agreement with SVB, which matures on January 1, 2026.</w:t>
      </w:r>
    </w:p>
    <w:p>
      <w:pPr>
        <w:pStyle w:val="TextBody"/>
        <w:spacing w:before="0" w:after="0"/>
        <w:jc w:val="left"/>
        <w:rPr>
          <w:rFonts w:ascii="Arial" w:hAnsi="Arial"/>
          <w:b w:val="false"/>
          <w:sz w:val="19"/>
        </w:rPr>
      </w:pPr>
      <w:r>
        <w:rPr>
          <w:rFonts w:ascii="Arial" w:hAnsi="Arial"/>
          <w:b w:val="false"/>
          <w:sz w:val="19"/>
        </w:rPr>
        <w:t>(3)</w:t>
      </w:r>
    </w:p>
    <w:p>
      <w:pPr>
        <w:pStyle w:val="TextBody"/>
        <w:jc w:val="left"/>
        <w:rPr>
          <w:rFonts w:ascii="Arial;sans-serif" w:hAnsi="Arial;sans-serif"/>
          <w:b w:val="false"/>
          <w:sz w:val="19"/>
        </w:rPr>
      </w:pPr>
      <w:r>
        <w:rPr>
          <w:rFonts w:ascii="Arial;sans-serif" w:hAnsi="Arial;sans-serif"/>
          <w:b w:val="false"/>
          <w:sz w:val="19"/>
        </w:rPr>
        <w:t>Represents a $1.0 million promissory note under the terms of our asset purchase agreements with Periphagen, Inc. The promissory note is due upon maturity in November 2027.</w:t>
      </w:r>
    </w:p>
    <w:p>
      <w:pPr>
        <w:pStyle w:val="TextBody"/>
        <w:spacing w:before="120" w:after="0"/>
        <w:jc w:val="left"/>
        <w:rPr>
          <w:rFonts w:ascii="Arial;sans-serif" w:hAnsi="Arial;sans-serif"/>
          <w:b w:val="false"/>
          <w:sz w:val="19"/>
        </w:rPr>
      </w:pPr>
      <w:r>
        <w:rPr>
          <w:rFonts w:ascii="Arial;sans-serif" w:hAnsi="Arial;sans-serif"/>
          <w:b w:val="false"/>
          <w:sz w:val="19"/>
        </w:rPr>
        <w:t>See our financial statements and related footnotes elsewhere in this Form 10-Q for additional information on these agreements.</w:t>
      </w:r>
    </w:p>
    <w:p>
      <w:pPr>
        <w:pStyle w:val="TextBody"/>
        <w:spacing w:before="120" w:after="0"/>
        <w:jc w:val="left"/>
        <w:rPr>
          <w:rFonts w:ascii="Times New Roman" w:hAnsi="Times New Roman"/>
          <w:sz w:val="20"/>
        </w:rPr>
      </w:pPr>
      <w:r>
        <w:rPr>
          <w:rFonts w:ascii="Arial;sans-serif" w:hAnsi="Arial;sans-serif"/>
          <w:b w:val="false"/>
          <w:sz w:val="19"/>
        </w:rPr>
        <w:t>We also enter into contracts in the normal course of business with hospitals, clinics, universities, and other third parties for clinical trials and testing and with construction contractors and process developers for the construction of our manufacturing facility. These contracts do not contain minimum purchase commitments and are cancelable by us upon prior written notice. Payments due upon cancelation consist only of payments for services provided or expenses incurred, including noncancelable obligations of our service providers, up to the date of cancelation. These payments are not included in the table above as the amount and timing of such payments are not known.</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sz w:val="20"/>
        </w:rPr>
        <w:t>Critical accounting estimates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 xml:space="preserve">Our </w:t>
      </w:r>
      <w:r>
        <w:rPr>
          <w:rFonts w:ascii="Arial;sans-serif" w:hAnsi="Arial;sans-serif"/>
          <w:b w:val="false"/>
          <w:sz w:val="19"/>
        </w:rPr>
        <w:t>management’s discussion and analysis of financial condition and results of operations is based on our financial statements, which have been prepared in accordance with U.S. GAAP. The preparation of our financial statements and related disclosures requires us to make estimates and assumptions that affect the reported amounts of assets and liabilities, costs and expenses, and the disclosure of contingent assets and liabilities in our financial statements. These items are monitored and analyzed by us for changes in facts and circumstances, and material changes in these estimates could occur in the future.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pStyle w:val="TextBody"/>
        <w:spacing w:before="120" w:after="0"/>
        <w:jc w:val="left"/>
        <w:rPr>
          <w:rFonts w:ascii="Times New Roman" w:hAnsi="Times New Roman"/>
          <w:sz w:val="20"/>
        </w:rPr>
      </w:pPr>
      <w:r>
        <w:rPr>
          <w:rFonts w:ascii="Arial;sans-serif" w:hAnsi="Arial;sans-serif"/>
          <w:b w:val="false"/>
          <w:sz w:val="19"/>
        </w:rPr>
        <w:t xml:space="preserve">While our significant accounting policies are described in more detail in the notes to our condensed consolidated financial statements included elsewhere in this Form 10-Q, we believe that the following accounting policies are those most significant to the judgments and estimates used in the preparation of our consolidated financial </w:t>
      </w:r>
      <w:r>
        <w:rPr>
          <w:rFonts w:ascii="Arial;sans-serif" w:hAnsi="Arial;sans-serif"/>
          <w:b w:val="false"/>
          <w:sz w:val="20"/>
        </w:rPr>
        <w:t>statements.</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Accrued Research and Development Expenses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 xml:space="preserve">As </w:t>
      </w:r>
      <w:r>
        <w:rPr>
          <w:rFonts w:ascii="Arial;sans-serif" w:hAnsi="Arial;sans-serif"/>
          <w:b w:val="false"/>
          <w:sz w:val="19"/>
        </w:rPr>
        <w:t>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Most of our service providers invoice us in arrears for services performed, on a pre-determined schedule or when contractual milestones are met; however, some require advance payments. We make estimates of our accrued expenses as of each balance sheet date in our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 the following: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clinical trial sites where patients are being treated with our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consultants providing services related to process development, regulatory and other services;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CMOs who are manufacturing commercial-scale quantities of our product candidates</w:t>
      </w:r>
    </w:p>
    <w:p>
      <w:pPr>
        <w:pStyle w:val="TextBody"/>
        <w:spacing w:before="120" w:after="0"/>
        <w:jc w:val="left"/>
        <w:rPr>
          <w:rFonts w:ascii="Times New Roman" w:hAnsi="Times New Roman"/>
          <w:sz w:val="20"/>
        </w:rPr>
      </w:pPr>
      <w:r>
        <w:rPr>
          <w:rFonts w:ascii="Arial;sans-serif" w:hAnsi="Arial;sans-serif"/>
          <w:b w:val="false"/>
          <w:sz w:val="19"/>
        </w:rPr>
        <w:t>Actual services performed may vary from our estimates, resulting in adjustments to research and development costs or inventories in future periods. Changes in these estimates that result in material changes to our accruals could materially affect our results of</w:t>
      </w:r>
      <w:r>
        <w:rPr>
          <w:rFonts w:ascii="Times New Roman" w:hAnsi="Times New Roman"/>
          <w:sz w:val="20"/>
        </w:rPr>
        <w:t xml:space="preserve"> </w:t>
      </w:r>
      <w:r>
        <w:rPr>
          <w:rFonts w:ascii="Arial;sans-serif" w:hAnsi="Arial;sans-serif"/>
          <w:b w:val="false"/>
          <w:sz w:val="20"/>
        </w:rPr>
        <w:t>operations.</w:t>
      </w:r>
    </w:p>
    <w:p>
      <w:pPr>
        <w:pStyle w:val="TextBody"/>
        <w:spacing w:before="240" w:after="0"/>
        <w:jc w:val="center"/>
        <w:rPr>
          <w:rFonts w:ascii="Arial;sans-serif" w:hAnsi="Arial;sans-serif"/>
          <w:b w:val="false"/>
          <w:sz w:val="20"/>
        </w:rPr>
      </w:pPr>
      <w:r>
        <w:rPr>
          <w:rFonts w:ascii="Arial;sans-serif" w:hAnsi="Arial;sans-serif"/>
          <w:b w:val="false"/>
          <w:sz w:val="20"/>
        </w:rPr>
        <w:t>29</w:t>
      </w:r>
    </w:p>
    <w:p>
      <w:pPr>
        <w:pStyle w:val="HorizontalLine"/>
        <w:rPr/>
      </w:pPr>
      <w:r>
        <w:rPr/>
      </w:r>
    </w:p>
    <w:p>
      <w:pPr>
        <w:pStyle w:val="TextBody"/>
        <w:spacing w:before="160" w:after="0"/>
        <w:jc w:val="left"/>
        <w:rPr>
          <w:rFonts w:ascii="Arial;sans-serif" w:hAnsi="Arial;sans-serif"/>
          <w:b/>
          <w:i/>
          <w:sz w:val="20"/>
        </w:rPr>
      </w:pPr>
      <w:r>
        <w:rPr>
          <w:rFonts w:ascii="Arial;sans-serif" w:hAnsi="Arial;sans-serif"/>
          <w:b/>
          <w:i/>
          <w:sz w:val="20"/>
        </w:rPr>
        <w:t>Determination of Fair Value of Warrants</w:t>
      </w:r>
    </w:p>
    <w:p>
      <w:pPr>
        <w:pStyle w:val="TextBody"/>
        <w:spacing w:before="120" w:after="0"/>
        <w:jc w:val="left"/>
        <w:rPr>
          <w:rFonts w:ascii="Times New Roman" w:hAnsi="Times New Roman"/>
          <w:sz w:val="20"/>
        </w:rPr>
      </w:pPr>
      <w:r>
        <w:rPr>
          <w:rFonts w:ascii="Arial;sans-serif" w:hAnsi="Arial;sans-serif"/>
          <w:b w:val="false"/>
          <w:sz w:val="20"/>
        </w:rPr>
        <w:t xml:space="preserve">In </w:t>
      </w:r>
      <w:r>
        <w:rPr>
          <w:rFonts w:ascii="Arial;sans-serif" w:hAnsi="Arial;sans-serif"/>
          <w:b w:val="false"/>
          <w:sz w:val="19"/>
        </w:rPr>
        <w:t>connection with the Series B convertible preferred stock issuance in November 2018, the Company issued warrants to purchase shares of common stock of which certain warrants are shown as a liability on the balance sheet. The fair value of the warrants was determined based on significant inputs not observable in the market. The fair value of the warrants uses various valuation methods, including the Monte Carlo method, the option-pricing method, probability-weighted expected return and the hybrid method, all of which incorporate assumptions and estimates, to value the common stock warrants. The hybrid method is often used when a company is expecting a liquidity event in the near future and is a combination of the option-pricing and probability-weighted expected return methods. Estimates and assumptions impacting the fair value measurement include the fair value per share of the underlying shares of common stock prior to the IPO, risk-free interest rate, expected dividend yield, expected volatility of the price of the underlying preferred stock, and the remaining contractual term of the warrants. The most significant assumption in the model impacting the fair value of the common stock warrants is the fair value of the Company’s common stock as of each remeasurement date. Prior to the IPO, the Company determined the fair value per share of the underlying common stock by taking into consideration the most recent sales of preferred stock, results obtained from third-party valuations and additional factors that were deemed relevant</w:t>
      </w:r>
      <w:r>
        <w:rPr>
          <w:rFonts w:ascii="Arial;sans-serif" w:hAnsi="Arial;sans-serif"/>
          <w:b w:val="false"/>
          <w:sz w:val="20"/>
        </w:rPr>
        <w:t>.</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i/>
          <w:sz w:val="20"/>
        </w:rPr>
        <w:t>Stock-Based Compensation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We measure stock options and other stock-based awards granted to our employees, directors, consultants, advisors based on the fair value on the date of the grant, awards, net of actual forfeitures, over the requisite service period, which is generally the vesting period of the respective award. For stock-based awards granted to non-employees, compensation expense is recognized over the vesting period which approximates the period over which services are rendered by such non-employees.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We estimate the fair value of each stock option grant on the date of grant using the Black-Scholes option-pricing model, which uses as inputs the fair value of our common stock and assumptions we make for the expected volatility of our common stock, the expected term of our stock options, the risk-free interest rate for a period that approximates the expected term of our stock options, and our expected dividend yield.</w:t>
      </w:r>
      <w:r>
        <w:rPr>
          <w:rFonts w:ascii="Times New Roman" w:hAnsi="Times New Roman"/>
          <w:sz w:val="20"/>
        </w:rPr>
        <w:t xml:space="preserve"> </w:t>
      </w:r>
    </w:p>
    <w:p>
      <w:pPr>
        <w:pStyle w:val="TextBody"/>
        <w:spacing w:before="160" w:after="0"/>
        <w:jc w:val="left"/>
        <w:rPr>
          <w:rFonts w:ascii="Times New Roman" w:hAnsi="Times New Roman"/>
          <w:sz w:val="20"/>
        </w:rPr>
      </w:pPr>
      <w:r>
        <w:rPr>
          <w:rFonts w:ascii="Arial;sans-serif" w:hAnsi="Arial;sans-serif"/>
          <w:b/>
          <w:sz w:val="20"/>
        </w:rPr>
        <w:t>Recent Accounting Pronouncements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 xml:space="preserve">A </w:t>
      </w:r>
      <w:r>
        <w:rPr>
          <w:rFonts w:ascii="Arial;sans-serif" w:hAnsi="Arial;sans-serif"/>
          <w:b w:val="false"/>
          <w:sz w:val="19"/>
        </w:rPr>
        <w:t>description of recent accounting pronouncements that may potentially impact our financial position, results of operations, or cash flows is disclosed in Note 2 to our condensed consolidated financial statements included elsewhere in this Form 10-Q</w:t>
      </w:r>
      <w:r>
        <w:rPr>
          <w:rFonts w:ascii="Arial;sans-serif" w:hAnsi="Arial;sans-serif"/>
          <w:b w:val="false"/>
          <w:sz w:val="20"/>
        </w:rPr>
        <w:t>.</w:t>
      </w:r>
    </w:p>
    <w:p>
      <w:pPr>
        <w:pStyle w:val="TextBody"/>
        <w:spacing w:before="160" w:after="0"/>
        <w:jc w:val="left"/>
        <w:rPr>
          <w:rFonts w:ascii="Times New Roman" w:hAnsi="Times New Roman"/>
          <w:sz w:val="20"/>
        </w:rPr>
      </w:pPr>
      <w:r>
        <w:rPr>
          <w:rFonts w:ascii="Arial;sans-serif" w:hAnsi="Arial;sans-serif"/>
          <w:b/>
          <w:sz w:val="20"/>
        </w:rPr>
        <w:t>Emerging Growth Company Status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In April 2012, the Jumpstart Our Business Startups Act of 2012 (the JOBS Act) was enacted. Section 107 of the JOBS Act provides that an “emerging growth company,” or an EGC, can take advantage of the extended transition period provided in Section 7(a)(2)(B) of the Securities Act of 1933, as amended (the Securities Act) for complying with new or revised accounting standards. Thus, an EGC can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We will remain an emerging growth company until the earliest to occur of: (1) the last day of the fiscal year in which we have more than $1.235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pStyle w:val="TextBody"/>
        <w:spacing w:before="160" w:after="0"/>
        <w:jc w:val="left"/>
        <w:rPr>
          <w:rFonts w:ascii="Arial;sans-serif" w:hAnsi="Arial;sans-serif"/>
          <w:b/>
          <w:sz w:val="20"/>
        </w:rPr>
      </w:pPr>
      <w:r>
        <w:rPr>
          <w:rFonts w:ascii="Arial;sans-serif" w:hAnsi="Arial;sans-serif"/>
          <w:b/>
          <w:sz w:val="20"/>
        </w:rPr>
        <w:t>Inflation</w:t>
      </w:r>
    </w:p>
    <w:p>
      <w:pPr>
        <w:pStyle w:val="TextBody"/>
        <w:spacing w:before="120" w:after="0"/>
        <w:jc w:val="left"/>
        <w:rPr>
          <w:rFonts w:ascii="Arial;sans-serif" w:hAnsi="Arial;sans-serif"/>
          <w:b w:val="false"/>
          <w:sz w:val="19"/>
        </w:rPr>
      </w:pPr>
      <w:r>
        <w:rPr>
          <w:rFonts w:ascii="Arial;sans-serif" w:hAnsi="Arial;sans-serif"/>
          <w:b w:val="false"/>
          <w:sz w:val="19"/>
        </w:rPr>
        <w:t>Inflation has increased during the periods covered by this Form 10-Q, and is expected to continue to increase for the near future. Inflationary factors, such as increases in the cost of our product components, interest rates and overhead costs may adversely affect our operating results. Although we do not believe that inflation has had a material impact on our financial position or results of operations to date, we may experience some effect in the future, especially if inflation rates continue to rise.</w:t>
      </w:r>
    </w:p>
    <w:p>
      <w:pPr>
        <w:pStyle w:val="TextBody"/>
        <w:spacing w:before="240" w:after="0"/>
        <w:jc w:val="center"/>
        <w:rPr>
          <w:rFonts w:ascii="Arial;sans-serif" w:hAnsi="Arial;sans-serif"/>
          <w:b w:val="false"/>
          <w:sz w:val="20"/>
        </w:rPr>
      </w:pPr>
      <w:r>
        <w:rPr>
          <w:rFonts w:ascii="Arial;sans-serif" w:hAnsi="Arial;sans-serif"/>
          <w:b w:val="false"/>
          <w:sz w:val="20"/>
        </w:rPr>
        <w:t>30</w:t>
      </w:r>
    </w:p>
    <w:p>
      <w:pPr>
        <w:pStyle w:val="HorizontalLine"/>
        <w:rPr/>
      </w:pPr>
      <w:r>
        <w:rPr/>
      </w:r>
    </w:p>
    <w:p>
      <w:pPr>
        <w:pStyle w:val="TextBody"/>
        <w:spacing w:before="160" w:after="0"/>
        <w:jc w:val="left"/>
        <w:rPr>
          <w:rFonts w:ascii="Arial;sans-serif" w:hAnsi="Arial;sans-serif"/>
          <w:b/>
          <w:sz w:val="20"/>
        </w:rPr>
      </w:pPr>
      <w:bookmarkStart w:id="10" w:name="item_3_quantitative_qualitative_disclosu"/>
      <w:bookmarkEnd w:id="10"/>
      <w:r>
        <w:rPr>
          <w:rFonts w:ascii="Arial;sans-serif" w:hAnsi="Arial;sans-serif"/>
          <w:b/>
          <w:sz w:val="20"/>
        </w:rPr>
        <w:t>Item 3. Quantitative and Qualitative Disclosures About Market Risk.</w:t>
      </w:r>
    </w:p>
    <w:p>
      <w:pPr>
        <w:pStyle w:val="TextBody"/>
        <w:spacing w:before="120" w:after="0"/>
        <w:jc w:val="left"/>
        <w:rPr>
          <w:rFonts w:ascii="Arial;sans-serif" w:hAnsi="Arial;sans-serif"/>
          <w:b w:val="false"/>
          <w:sz w:val="19"/>
        </w:rPr>
      </w:pPr>
      <w:r>
        <w:rPr>
          <w:rFonts w:ascii="Arial;sans-serif" w:hAnsi="Arial;sans-serif"/>
          <w:b w:val="false"/>
          <w:sz w:val="19"/>
        </w:rPr>
        <w:t>We are a smaller reporting company as defined by Rule 12b-2 of the Securities Exchange Act of 1934, as amended, and are not required to provide the information under this item.</w:t>
      </w:r>
    </w:p>
    <w:p>
      <w:pPr>
        <w:pStyle w:val="TextBody"/>
        <w:spacing w:before="160" w:after="0"/>
        <w:jc w:val="left"/>
        <w:rPr>
          <w:rFonts w:ascii="Times New Roman" w:hAnsi="Times New Roman"/>
          <w:sz w:val="20"/>
        </w:rPr>
      </w:pPr>
      <w:bookmarkStart w:id="11" w:name="item_4_controls_procedures"/>
      <w:bookmarkEnd w:id="11"/>
      <w:r>
        <w:rPr>
          <w:rFonts w:ascii="Arial;sans-serif" w:hAnsi="Arial;sans-serif"/>
          <w:b/>
          <w:sz w:val="20"/>
        </w:rPr>
        <w:t>Item 4. Controls</w:t>
      </w:r>
      <w:r>
        <w:rPr>
          <w:rFonts w:ascii="Times New Roman" w:hAnsi="Times New Roman"/>
          <w:sz w:val="20"/>
        </w:rPr>
        <w:t xml:space="preserve"> </w:t>
      </w:r>
      <w:r>
        <w:rPr>
          <w:rFonts w:ascii="Arial;sans-serif" w:hAnsi="Arial;sans-serif"/>
          <w:b/>
          <w:sz w:val="20"/>
        </w:rPr>
        <w:t>and Procedures.</w:t>
      </w:r>
    </w:p>
    <w:p>
      <w:pPr>
        <w:pStyle w:val="TextBody"/>
        <w:spacing w:before="160" w:after="0"/>
        <w:jc w:val="left"/>
        <w:rPr>
          <w:rFonts w:ascii="Arial;sans-serif" w:hAnsi="Arial;sans-serif"/>
          <w:b/>
          <w:sz w:val="20"/>
        </w:rPr>
      </w:pPr>
      <w:r>
        <w:rPr>
          <w:rFonts w:ascii="Arial;sans-serif" w:hAnsi="Arial;sans-serif"/>
          <w:b/>
          <w:sz w:val="20"/>
        </w:rPr>
        <w:t>Limitations on Effectiveness of Controls and Procedures</w:t>
      </w:r>
    </w:p>
    <w:p>
      <w:pPr>
        <w:pStyle w:val="TextBody"/>
        <w:spacing w:before="120" w:after="0"/>
        <w:jc w:val="left"/>
        <w:rPr>
          <w:rFonts w:ascii="Arial;sans-serif" w:hAnsi="Arial;sans-serif"/>
          <w:b w:val="false"/>
          <w:sz w:val="19"/>
        </w:rPr>
      </w:pPr>
      <w:r>
        <w:rPr>
          <w:rFonts w:ascii="Arial;sans-serif" w:hAnsi="Arial;sans-serif"/>
          <w:b w:val="false"/>
          <w:sz w:val="19"/>
        </w:rPr>
        <w:t>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spacing w:before="160" w:after="0"/>
        <w:jc w:val="left"/>
        <w:rPr>
          <w:rFonts w:ascii="Arial;sans-serif" w:hAnsi="Arial;sans-serif"/>
          <w:b/>
          <w:sz w:val="20"/>
        </w:rPr>
      </w:pPr>
      <w:r>
        <w:rPr>
          <w:rFonts w:ascii="Arial;sans-serif" w:hAnsi="Arial;sans-serif"/>
          <w:b/>
          <w:sz w:val="20"/>
        </w:rPr>
        <w:t>Evaluation of Disclosure Controls and Procedures</w:t>
      </w:r>
    </w:p>
    <w:p>
      <w:pPr>
        <w:pStyle w:val="TextBody"/>
        <w:spacing w:before="120" w:after="0"/>
        <w:jc w:val="left"/>
        <w:rPr>
          <w:rFonts w:ascii="Times New Roman" w:hAnsi="Times New Roman"/>
          <w:sz w:val="20"/>
        </w:rPr>
      </w:pPr>
      <w:r>
        <w:rPr>
          <w:rFonts w:ascii="Arial;sans-serif" w:hAnsi="Arial;sans-serif"/>
          <w:b w:val="false"/>
          <w:sz w:val="19"/>
        </w:rPr>
        <w:t>Our management is responsible for establishing and maintaining adequate internal control over financial reporting (as defined in Rule 13a-15(f) under the Securities and Exchange Act of 1934, as amended). 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Our management, with the participation of our Chief Executive Officer and Chief Financial Officer (our principal executive officer and principal financial officer, respectively), evaluated the effectiveness of our disclosure controls and procedures as of March 31, 2023. Based on the evaluation of our disclosure controls and procedures as of March 31, 2023, our Chief Executive Officer and Chief Financial Officer concluded that, as of such date, our disclosure controls and procedures were effective at the reasonable assurance level.</w:t>
      </w:r>
    </w:p>
    <w:p>
      <w:pPr>
        <w:pStyle w:val="TextBody"/>
        <w:spacing w:before="160" w:after="0"/>
        <w:jc w:val="left"/>
        <w:rPr>
          <w:rFonts w:ascii="Arial;sans-serif" w:hAnsi="Arial;sans-serif"/>
          <w:b/>
          <w:sz w:val="19"/>
        </w:rPr>
      </w:pPr>
      <w:r>
        <w:rPr>
          <w:rFonts w:ascii="Arial;sans-serif" w:hAnsi="Arial;sans-serif"/>
          <w:b/>
          <w:sz w:val="19"/>
        </w:rPr>
        <w:t>Changes in Internal Control Over Financial Reporting</w:t>
      </w:r>
    </w:p>
    <w:p>
      <w:pPr>
        <w:pStyle w:val="TextBody"/>
        <w:spacing w:before="120" w:after="0"/>
        <w:jc w:val="left"/>
        <w:rPr>
          <w:rFonts w:ascii="Times New Roman" w:hAnsi="Times New Roman"/>
          <w:sz w:val="20"/>
        </w:rPr>
      </w:pPr>
      <w:r>
        <w:rPr>
          <w:rFonts w:ascii="Arial;sans-serif" w:hAnsi="Arial;sans-serif"/>
          <w:b w:val="false"/>
          <w:sz w:val="19"/>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31</w:t>
      </w:r>
    </w:p>
    <w:p>
      <w:pPr>
        <w:pStyle w:val="HorizontalLine"/>
        <w:rPr/>
      </w:pPr>
      <w:r>
        <w:rPr/>
      </w:r>
    </w:p>
    <w:p>
      <w:pPr>
        <w:pStyle w:val="TextBody"/>
        <w:spacing w:before="0" w:after="0"/>
        <w:jc w:val="center"/>
        <w:rPr>
          <w:rFonts w:ascii="Times New Roman" w:hAnsi="Times New Roman"/>
          <w:sz w:val="20"/>
        </w:rPr>
      </w:pPr>
      <w:bookmarkStart w:id="12" w:name="part_iior_information"/>
      <w:bookmarkEnd w:id="12"/>
      <w:r>
        <w:rPr>
          <w:rFonts w:ascii="Arial;sans-serif" w:hAnsi="Arial;sans-serif"/>
          <w:b/>
          <w:sz w:val="20"/>
        </w:rPr>
        <w:t>PART II—OTHER</w:t>
      </w:r>
      <w:r>
        <w:rPr>
          <w:rFonts w:ascii="Times New Roman" w:hAnsi="Times New Roman"/>
          <w:sz w:val="20"/>
        </w:rPr>
        <w:t xml:space="preserve"> </w:t>
      </w:r>
      <w:r>
        <w:rPr>
          <w:rFonts w:ascii="Arial;sans-serif" w:hAnsi="Arial;sans-serif"/>
          <w:b/>
          <w:sz w:val="20"/>
        </w:rPr>
        <w:t>INFORMATION</w:t>
      </w:r>
    </w:p>
    <w:p>
      <w:pPr>
        <w:pStyle w:val="TextBody"/>
        <w:spacing w:before="360" w:after="0"/>
        <w:jc w:val="left"/>
        <w:rPr>
          <w:rFonts w:ascii="Times New Roman" w:hAnsi="Times New Roman"/>
          <w:sz w:val="20"/>
        </w:rPr>
      </w:pPr>
      <w:bookmarkStart w:id="13" w:name="item_1_legal_proceedings"/>
      <w:bookmarkEnd w:id="13"/>
      <w:r>
        <w:rPr>
          <w:rFonts w:ascii="Arial;sans-serif" w:hAnsi="Arial;sans-serif"/>
          <w:b/>
          <w:sz w:val="20"/>
        </w:rPr>
        <w:t>Item 1. Legal</w:t>
      </w:r>
      <w:r>
        <w:rPr>
          <w:rFonts w:ascii="Times New Roman" w:hAnsi="Times New Roman"/>
          <w:sz w:val="20"/>
        </w:rPr>
        <w:t xml:space="preserve"> </w:t>
      </w:r>
      <w:r>
        <w:rPr>
          <w:rFonts w:ascii="Arial;sans-serif" w:hAnsi="Arial;sans-serif"/>
          <w:b/>
          <w:sz w:val="20"/>
        </w:rPr>
        <w:t>Proceedings.</w:t>
      </w:r>
    </w:p>
    <w:p>
      <w:pPr>
        <w:pStyle w:val="TextBody"/>
        <w:spacing w:before="120" w:after="0"/>
        <w:jc w:val="left"/>
        <w:rPr>
          <w:rFonts w:ascii="Times New Roman" w:hAnsi="Times New Roman"/>
          <w:sz w:val="20"/>
        </w:rPr>
      </w:pPr>
      <w:r>
        <w:rPr>
          <w:rFonts w:ascii="Arial;sans-serif" w:hAnsi="Arial;sans-serif"/>
          <w:b w:val="false"/>
          <w:sz w:val="20"/>
        </w:rPr>
        <w:t xml:space="preserve">From </w:t>
      </w:r>
      <w:r>
        <w:rPr>
          <w:rFonts w:ascii="Arial;sans-serif" w:hAnsi="Arial;sans-serif"/>
          <w:b w:val="false"/>
          <w:sz w:val="19"/>
        </w:rPr>
        <w:t>time to time, we may become involved in litigation or other legal proceedings. On December 15, 2022, Periphagen notified us by letter of its claim that we have failed to use commercially reasonable efforts to complete a human proof of concept clinical trial of an NT-3 Asset under an Exclusive License Agreement dated December 9, 2019 between us and Periphagen (the “Periphagen License Agreement”). We have denied Periphagen’s claims. On January 13, 2023, we filed a demand for arbitration against Periphagen with the American Arbitration Association, seeking a declaration that Periphagen’s December 15 letter failed to comply with the dispute and escalation provisions in the Periphagen License Agreement. After filing the demand, the parties began engaging in the dispute and escalation process under the Periphagen License Agreement. On March 10, 2023, Periphagen filed its answer and counterclaims to our demand for arbitration. In its counterclaims, Periphagen seeks a declaration that we have not used commercially reasonable efforts to complete a human proof of concept clinical trial of the NT-3 Asset and a declaration that any further extension of time would not be scientifically or commercially reasonable. Periphagen also seeks a declaration that we must use commercially reasonable efforts to develop the NT-3 Asset during any remaining time under the agreement. We have denied Periphagen’s counterclaims.</w:t>
      </w:r>
    </w:p>
    <w:p>
      <w:pPr>
        <w:pStyle w:val="TextBody"/>
        <w:spacing w:before="120" w:after="0"/>
        <w:jc w:val="left"/>
        <w:rPr>
          <w:rFonts w:ascii="Arial;sans-serif" w:hAnsi="Arial;sans-serif"/>
          <w:b w:val="false"/>
          <w:sz w:val="19"/>
        </w:rPr>
      </w:pPr>
      <w:r>
        <w:rPr>
          <w:rFonts w:ascii="Arial;sans-serif" w:hAnsi="Arial;sans-serif"/>
          <w:b w:val="false"/>
          <w:sz w:val="19"/>
        </w:rPr>
        <w:t>In the event the parties are unable to resolve the dispute as part of the escalation process, an arbitrator will decide whether we have used commercially reasonable efforts. In the event that the arbitrator determines that we have not used commercially reasonable efforts, then we may submit a specified payment in lieu of satisfying such obligations.</w:t>
      </w:r>
    </w:p>
    <w:p>
      <w:pPr>
        <w:pStyle w:val="TextBody"/>
        <w:spacing w:before="120" w:after="0"/>
        <w:jc w:val="left"/>
        <w:rPr>
          <w:rFonts w:ascii="Times New Roman" w:hAnsi="Times New Roman"/>
          <w:sz w:val="20"/>
        </w:rPr>
      </w:pPr>
      <w:r>
        <w:rPr>
          <w:rFonts w:ascii="Arial;sans-serif" w:hAnsi="Arial;sans-serif"/>
          <w:b w:val="false"/>
          <w:sz w:val="19"/>
        </w:rPr>
        <w:t>Aside from the proceeding with Periphagen,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r>
        <w:rPr>
          <w:rFonts w:ascii="Arial;sans-serif" w:hAnsi="Arial;sans-serif"/>
          <w:b w:val="false"/>
          <w:sz w:val="24"/>
        </w:rPr>
        <w:t>.</w:t>
      </w:r>
    </w:p>
    <w:p>
      <w:pPr>
        <w:pStyle w:val="TextBody"/>
        <w:spacing w:before="160" w:after="0"/>
        <w:jc w:val="left"/>
        <w:rPr>
          <w:rFonts w:ascii="Arial;sans-serif" w:hAnsi="Arial;sans-serif"/>
          <w:b/>
          <w:sz w:val="20"/>
        </w:rPr>
      </w:pPr>
      <w:bookmarkStart w:id="14" w:name="item_1a_risk_factors"/>
      <w:bookmarkEnd w:id="14"/>
      <w:r>
        <w:rPr>
          <w:rFonts w:ascii="Arial;sans-serif" w:hAnsi="Arial;sans-serif"/>
          <w:b/>
          <w:sz w:val="20"/>
        </w:rPr>
        <w:t>Item 1A. Risk Factors.</w:t>
      </w:r>
    </w:p>
    <w:p>
      <w:pPr>
        <w:pStyle w:val="TextBody"/>
        <w:spacing w:before="120" w:after="0"/>
        <w:jc w:val="left"/>
        <w:rPr>
          <w:rFonts w:ascii="Arial;sans-serif" w:hAnsi="Arial;sans-serif"/>
          <w:b w:val="false"/>
          <w:i/>
          <w:sz w:val="19"/>
        </w:rPr>
      </w:pPr>
      <w:r>
        <w:rPr>
          <w:rFonts w:ascii="Arial;sans-serif" w:hAnsi="Arial;sans-serif"/>
          <w:b w:val="false"/>
          <w:i/>
          <w:sz w:val="19"/>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“Forward-Looking Statements” for a discussion of some of the forward-looking statements that are qualified by these risk factors. Factors that could cause or contribute to such differences include those factors discussed below.</w:t>
      </w:r>
    </w:p>
    <w:p>
      <w:pPr>
        <w:pStyle w:val="TextBody"/>
        <w:spacing w:before="160" w:after="0"/>
        <w:jc w:val="left"/>
        <w:rPr>
          <w:rFonts w:ascii="Arial;sans-serif" w:hAnsi="Arial;sans-serif"/>
          <w:b/>
          <w:sz w:val="19"/>
        </w:rPr>
      </w:pPr>
      <w:r>
        <w:rPr>
          <w:rFonts w:ascii="Arial;sans-serif" w:hAnsi="Arial;sans-serif"/>
          <w:b/>
          <w:sz w:val="19"/>
        </w:rPr>
        <w:t>Risks Related to Our Business, Financial Position and Capital Requirements</w:t>
      </w:r>
    </w:p>
    <w:p>
      <w:pPr>
        <w:pStyle w:val="TextBody"/>
        <w:spacing w:before="120" w:after="0"/>
        <w:jc w:val="left"/>
        <w:rPr>
          <w:rFonts w:ascii="Arial;sans-serif" w:hAnsi="Arial;sans-serif"/>
          <w:b/>
          <w:i/>
          <w:sz w:val="19"/>
        </w:rPr>
      </w:pPr>
      <w:r>
        <w:rPr>
          <w:rFonts w:ascii="Arial;sans-serif" w:hAnsi="Arial;sans-serif"/>
          <w:b/>
          <w:i/>
          <w:sz w:val="19"/>
        </w:rPr>
        <w:t>We are a biopharmaceutical company with a limited operating history and have not generated any revenue to date from product sales.</w:t>
      </w:r>
    </w:p>
    <w:p>
      <w:pPr>
        <w:pStyle w:val="TextBody"/>
        <w:spacing w:before="120" w:after="0"/>
        <w:jc w:val="left"/>
        <w:rPr>
          <w:rFonts w:ascii="Arial;sans-serif" w:hAnsi="Arial;sans-serif"/>
          <w:b w:val="false"/>
          <w:sz w:val="19"/>
        </w:rPr>
      </w:pPr>
      <w:r>
        <w:rPr>
          <w:rFonts w:ascii="Arial;sans-serif" w:hAnsi="Arial;sans-serif"/>
          <w:b w:val="false"/>
          <w:sz w:val="19"/>
        </w:rPr>
        <w:t>Biopharmaceutical product development is a highly speculative undertaking and involves a substantial degree of risk. We were incorporated under the laws of the State of Delaware in June 2003. Since inception, we have focused substantially all of our efforts and financial resources on raising capital and developing our initial product candidates. To date, we have financed our operations primarily through the issuance and sale of our convertible preferred stock to outside investors in private equity financings and from the proceeds of the initial public offering of our common stock (the IPO). From our inception through March 31, 2023, we raised an aggregate of $145.2 million of gross proceeds from such transactions. In addition, in February 2022, we borrowed $20.0 million under the Loan Agreement with SVB. As of March 31, 2023, our cash and cash equivalents were $59.3 million. We have incurred net losses in each year since our inception, and we had an accumulated deficit of $107.9 million as of March 31, 2023. For the three months ended March 31, 2023 and 2022, we reported net losses of $8.8 million and $0.9 million, respectively. We have no products approved for commercial sale and therefore have never generated any revenue from product sales, and we do not expect to do so in the foreseeable future. We have not obtained regulatory approvals for any of our product candidates, and even if our clinical development efforts result in positive data, our product candidates may not receive regulatory approval or be successfully introduced and marketed at prices that would permit us to operate profitably.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p>
    <w:p>
      <w:pPr>
        <w:pStyle w:val="TextBody"/>
        <w:spacing w:before="120" w:after="0"/>
        <w:jc w:val="left"/>
        <w:rPr>
          <w:rFonts w:ascii="Arial;sans-serif" w:hAnsi="Arial;sans-serif"/>
          <w:b/>
          <w:i/>
          <w:sz w:val="19"/>
        </w:rPr>
      </w:pPr>
      <w:r>
        <w:rPr>
          <w:rFonts w:ascii="Arial;sans-serif" w:hAnsi="Arial;sans-serif"/>
          <w:b/>
          <w:i/>
          <w:sz w:val="19"/>
        </w:rPr>
        <w:t>We have incurred significant operating losses since our inception and anticipate that we will incur continued losses for the foreseeable future.</w:t>
      </w:r>
    </w:p>
    <w:p>
      <w:pPr>
        <w:pStyle w:val="TextBody"/>
        <w:spacing w:before="120" w:after="0"/>
        <w:jc w:val="left"/>
        <w:rPr>
          <w:rFonts w:ascii="Times New Roman" w:hAnsi="Times New Roman"/>
          <w:sz w:val="20"/>
        </w:rPr>
      </w:pPr>
      <w:r>
        <w:rPr>
          <w:rFonts w:ascii="Arial;sans-serif" w:hAnsi="Arial;sans-serif"/>
          <w:b w:val="false"/>
          <w:sz w:val="19"/>
        </w:rPr>
        <w:t>Substantially all of our operating losses have resulted from costs incurred in connection with our research and development programs and from general and administrative costs associated with our operations. We expect our research and development</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32</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expenses to significantly increase in connection with the commencement and continuation of clinical trials of our product candidates. In addition, if we obtain marketing approval for our product candidates, we will incur significant sales, marketing and manufacturing expenses. We are incurring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pStyle w:val="TextBody"/>
        <w:spacing w:before="120" w:after="0"/>
        <w:jc w:val="left"/>
        <w:rPr>
          <w:rFonts w:ascii="Times New Roman" w:hAnsi="Times New Roman"/>
          <w:sz w:val="20"/>
        </w:rPr>
      </w:pPr>
      <w:r>
        <w:rPr>
          <w:rFonts w:ascii="Arial;sans-serif" w:hAnsi="Arial;sans-serif"/>
          <w:b w:val="false"/>
          <w:sz w:val="19"/>
        </w:rPr>
        <w:t>The amount of our future losses is uncertain, and our quarterly and annual operating results may fluctuate significantly or may fall below the expectations of investors or securities analysts, each of which may cause our stock price to fluctuate or decline.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quarterly and annual operating results may fluctuate significantly in the future due to a variety of factors, many of which are outside of our control and may be difficult to predict, including the following: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successfully enroll and retain subjects for clinical trials, and any delays caused by difficulties in such efforts;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obtain marketing approval for our product candidates, and the timing and scope of any such approvals we may receive;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changing and volatile U.S. and global economic environments, including as a result of the COVID-19 pandemic;</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timing and cost of, and level of investment in, research and development activities relating to our product candidates, which may change from time to time;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 xml:space="preserve">the cost of manufacturing our product candidates, which may vary depending on the quantity of production, and the success of achieving clinical-scale manufacturing operations in our new facility and commercial and clinical-scale manufacturing at third-party manufacturers </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attract, hire and retain qualified personnel;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expenditures that we will or may incur to develop additional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level of demand for our product candidates should they receive approval, which may vary significantly;</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risk/benefit profile, cost and reimbursement policies with respect to our product candidates, if approved, and existing and potential future therapeutics that compete with our product candidates;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future accounting pronouncements or changes in our accounting policies.</w:t>
      </w:r>
    </w:p>
    <w:p>
      <w:pPr>
        <w:pStyle w:val="TextBody"/>
        <w:spacing w:before="120" w:after="0"/>
        <w:jc w:val="left"/>
        <w:rPr>
          <w:rFonts w:ascii="Arial;sans-serif" w:hAnsi="Arial;sans-serif"/>
          <w:b w:val="false"/>
          <w:sz w:val="19"/>
        </w:rPr>
      </w:pPr>
      <w:r>
        <w:rPr>
          <w:rFonts w:ascii="Arial;sans-serif" w:hAnsi="Arial;sans-serif"/>
          <w:b w:val="false"/>
          <w:sz w:val="19"/>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spacing w:before="120" w:after="0"/>
        <w:jc w:val="left"/>
        <w:rPr>
          <w:rFonts w:ascii="Arial;sans-serif" w:hAnsi="Arial;sans-serif"/>
          <w:b/>
          <w:i/>
          <w:sz w:val="19"/>
        </w:rPr>
      </w:pPr>
      <w:r>
        <w:rPr>
          <w:rFonts w:ascii="Arial;sans-serif" w:hAnsi="Arial;sans-serif"/>
          <w:b/>
          <w:i/>
          <w:sz w:val="19"/>
        </w:rPr>
        <w:t>We have no products approved for commercial sale and have not generated any revenue from product sales.</w:t>
      </w:r>
    </w:p>
    <w:p>
      <w:pPr>
        <w:pStyle w:val="TextBody"/>
        <w:spacing w:before="120" w:after="0"/>
        <w:jc w:val="left"/>
        <w:rPr>
          <w:rFonts w:ascii="Arial;sans-serif" w:hAnsi="Arial;sans-serif"/>
          <w:b w:val="false"/>
          <w:sz w:val="19"/>
        </w:rPr>
      </w:pPr>
      <w:r>
        <w:rPr>
          <w:rFonts w:ascii="Arial;sans-serif" w:hAnsi="Arial;sans-serif"/>
          <w:b w:val="false"/>
          <w:sz w:val="19"/>
        </w:rPr>
        <w:t>Our ability to become profitable depends upon our ability to generate revenue. To date, we have not generated any revenue from our product candidates,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successfully complete our ongoing and planned preclinical studies and clinical trials for our viral immunotherapy programs;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timely file and receive acceptance of our Investigational New Drug applications (INDs), in order to commence our planned clinical trials or future clinical trials;</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successfully enroll subjects in, and complete, clinical trials for our viral immunotherapy programs;</w:t>
      </w:r>
    </w:p>
    <w:p>
      <w:pPr>
        <w:pStyle w:val="TextBody"/>
        <w:spacing w:before="240" w:after="0"/>
        <w:jc w:val="center"/>
        <w:rPr>
          <w:rFonts w:ascii="Arial;sans-serif" w:hAnsi="Arial;sans-serif"/>
          <w:b w:val="false"/>
          <w:sz w:val="20"/>
        </w:rPr>
      </w:pPr>
      <w:r>
        <w:rPr>
          <w:rFonts w:ascii="Arial;sans-serif" w:hAnsi="Arial;sans-serif"/>
          <w:b w:val="false"/>
          <w:sz w:val="20"/>
        </w:rPr>
        <w:t>33</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timely file marketing applications and receive regulatory approvals for our product candidates from the FDA and comparable foreign regulatory authorities;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initiate and successfully complete all safety studies required to obtain U.S. and foreign marketing approval for our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establish clinical supply capabilities through arrangements with third-party manufacturers for clinical supply and commercial manufacturing;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obtain and maintain patent and trade secret protection or regulatory exclusivity for our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launch commercial sales of our product candidates, if and when approved, whether alone or in collaboration with others;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maintain a continued acceptable safety profile of the product candidates following approval;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obtain and maintain acceptance of the product candidates, if and when approved, by patients, the medical community and third-party payors;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position our products to effectively compete with other therapies;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obtain and maintain favorable coverage and adequate reimbursement by third-party payors for our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enforce and defend intellectual property rights and claims with respect to our product candidates;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hire additional staff, including clinical, scientific and management personnel.</w:t>
      </w:r>
    </w:p>
    <w:p>
      <w:pPr>
        <w:pStyle w:val="TextBody"/>
        <w:spacing w:before="120" w:after="0"/>
        <w:jc w:val="left"/>
        <w:rPr>
          <w:rFonts w:ascii="Arial;sans-serif" w:hAnsi="Arial;sans-serif"/>
          <w:b w:val="false"/>
          <w:sz w:val="19"/>
        </w:rPr>
      </w:pPr>
      <w:r>
        <w:rPr>
          <w:rFonts w:ascii="Arial;sans-serif" w:hAnsi="Arial;sans-serif"/>
          <w:b w:val="false"/>
          <w:sz w:val="19"/>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pStyle w:val="TextBody"/>
        <w:spacing w:before="120" w:after="0"/>
        <w:jc w:val="left"/>
        <w:rPr>
          <w:rFonts w:ascii="Arial;sans-serif" w:hAnsi="Arial;sans-serif"/>
          <w:b/>
          <w:i/>
          <w:sz w:val="19"/>
        </w:rPr>
      </w:pPr>
      <w:r>
        <w:rPr>
          <w:rFonts w:ascii="Arial;sans-serif" w:hAnsi="Arial;sans-serif"/>
          <w:b/>
          <w:i/>
          <w:sz w:val="19"/>
        </w:rPr>
        <w:t>There is substantial doubt regarding our ability to continue as a going concern. We will need to raise substantial additional funding, which may not be available on acceptable terms, or at all. If we are unable to raise capital when needed, we would be forced to delay, reduce or eliminate some of our product development programs or commercialization efforts.</w:t>
      </w:r>
    </w:p>
    <w:p>
      <w:pPr>
        <w:pStyle w:val="TextBody"/>
        <w:spacing w:before="120" w:after="0"/>
        <w:jc w:val="left"/>
        <w:rPr>
          <w:rFonts w:ascii="Arial;sans-serif" w:hAnsi="Arial;sans-serif"/>
          <w:b w:val="false"/>
          <w:sz w:val="19"/>
        </w:rPr>
      </w:pPr>
      <w:r>
        <w:rPr>
          <w:rFonts w:ascii="Arial;sans-serif" w:hAnsi="Arial;sans-serif"/>
          <w:b w:val="false"/>
          <w:sz w:val="19"/>
        </w:rPr>
        <w:t>The development of pharmaceutical products is capital-intensive. We are currently advancing our product candidates through clinical development across a number of potential indications. We are currently conducting a Phase 3 clinical trial for CAN-2409 as first-line treatment in newly diagnosed localized prostate cancer in intermediate to high-risk patients for which we completed enrollment in September of 2021 and expect to present topline data in the fourth quarter of 2024. Our second program using CAN-2409 is for the treatment of NSCLC. We have an ongoing Phase 2 trial and initial clinical data was presented at the ASCO Annual Meeting in June 2022, and an update during our Research and Development Day in December 2022. If the final Phase 2 clinical trial is positive, this may warrant the initiation of a potentially registrational Phase 3 clinical trial. We are also studying CAN-2409 in a randomized Phase 2 clinical trial in pancreatic cancer. Consequently, we expect our expenses to significantly increase in connection with our ongoing activities, particularly as we continue our ongoing clinical trials or initiate future trials and pursue the research and development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 and may be unable to expand our operations or otherwise capitalize on our business opportunities, as desired, which could materially affect our business, financial condition and results of operations. In March 2023, in connection with our cost management and dynamic portfolio management initiatives, we elected to pause new enrollment in this Phase 2 clinical trial, subject to additional funding. Despite this pause in patient enrollment, we continue to expect to present initial clinical data in the fourth quarter of 2023.</w:t>
      </w:r>
    </w:p>
    <w:p>
      <w:pPr>
        <w:pStyle w:val="TextBody"/>
        <w:spacing w:before="120" w:after="0"/>
        <w:jc w:val="left"/>
        <w:rPr>
          <w:rFonts w:ascii="Arial;sans-serif" w:hAnsi="Arial;sans-serif"/>
          <w:b w:val="false"/>
          <w:sz w:val="19"/>
        </w:rPr>
      </w:pPr>
      <w:r>
        <w:rPr>
          <w:rFonts w:ascii="Arial;sans-serif" w:hAnsi="Arial;sans-serif"/>
          <w:b w:val="false"/>
          <w:sz w:val="19"/>
        </w:rPr>
        <w:t>We expect that our existing cash and cash equivalents will be sufficient to fund our current operating plan into the second quarter of 2024. However, our future capital requirements will depend on and could increase significantly as a result of many factors, including:</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scope, progress, results and costs of product discovery, preclinical and clinical development, laboratory testing, manufacturing and clinical trials for the development of CAN-2409, CAN-3110, or our other potential product candidates;</w:t>
      </w:r>
    </w:p>
    <w:p>
      <w:pPr>
        <w:pStyle w:val="TextBody"/>
        <w:spacing w:before="240" w:after="0"/>
        <w:jc w:val="center"/>
        <w:rPr>
          <w:rFonts w:ascii="Arial;sans-serif" w:hAnsi="Arial;sans-serif"/>
          <w:b w:val="false"/>
          <w:sz w:val="20"/>
        </w:rPr>
      </w:pPr>
      <w:r>
        <w:rPr>
          <w:rFonts w:ascii="Arial;sans-serif" w:hAnsi="Arial;sans-serif"/>
          <w:b w:val="false"/>
          <w:sz w:val="20"/>
        </w:rPr>
        <w:t>34</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timing of, and the costs involved in, obtaining marketing approvals for CAN-2409 in newly diagnosed localized prostate cancer, NSCLC, and pancreatic cancer as well as for CAN-3110 in our initial target indication of recurrent high-grade glioma (HGG) and our other potential product candidates that we may develop;</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if approved, the costs of commercialization activities for CAN-2409 or CAN-3110 for any approved indications or any other product candidate that receives regulatory approval to the extent such costs are not the responsibility of a collaborator that we may contract with in the future, including the costs and timing of establishing product sales, marketing, distribution and manufacturing capabilities;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scope, prioritization and number of our research and development programs;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costs, timing and outcome of regulatory review of our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establish and maintain additional collaborations on favorable terms, if at all;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achievement of milestones or occurrence of other developments that trigger payments under any additional collaboration agreements we may enter into;</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extent to which we are obligated to reimburse, or entitled to reimbursement of, clinical trial costs under future collaboration agreements, if any;</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costs of preparing, filing and prosecuting patent applications, maintaining and enforcing our intellectual property rights and defending intellectual property-related claims;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extent to which we acquire or in-license other product candidates and technologies;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costs of securing manufacturing arrangements for commercial production;</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emergence of competing viral immunotherapies as well as immuno-oncology therapies in general and other adverse market developments;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costs of transitioning our clinical manufacturing operations to our new facility;</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costs of establishing or contracting for sales and marketing capabilities if we obtain regulatory approvals to market our product candidates;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impact of the COVID-19 pandemic or any future public health crisis, which may exacerbate the magnitude of the factors discussed above.</w:t>
      </w:r>
    </w:p>
    <w:p>
      <w:pPr>
        <w:pStyle w:val="TextBody"/>
        <w:spacing w:before="120" w:after="0"/>
        <w:jc w:val="left"/>
        <w:rPr>
          <w:rFonts w:ascii="Arial;sans-serif" w:hAnsi="Arial;sans-serif"/>
          <w:b w:val="false"/>
          <w:sz w:val="19"/>
        </w:rPr>
      </w:pPr>
      <w:r>
        <w:rPr>
          <w:rFonts w:ascii="Arial;sans-serif" w:hAnsi="Arial;sans-serif"/>
          <w:b w:val="false"/>
          <w:sz w:val="19"/>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pStyle w:val="TextBody"/>
        <w:spacing w:before="120" w:after="0"/>
        <w:jc w:val="left"/>
        <w:rPr>
          <w:rFonts w:ascii="Times New Roman" w:hAnsi="Times New Roman"/>
          <w:sz w:val="20"/>
        </w:rPr>
      </w:pPr>
      <w:r>
        <w:rPr>
          <w:rFonts w:ascii="Arial;sans-serif" w:hAnsi="Arial;sans-serif"/>
          <w:b w:val="false"/>
          <w:sz w:val="19"/>
        </w:rPr>
        <w:t>As of March 31, 2023, our cash and cash equivalents were $59.3 million. Based on our current business plan, there is substantial doubt regarding our ability to continue as a going concern for a period of one year after the date that our financial statements for the quarter ended March 31, 2023 are issued and we need to raise significant amounts of additional funding to complete all of our ongoing trials and execute on our business plan. Financing may not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In addition, our efforts to raise additional capital may divert our management from their day-to-day activities, which may adversely affect our ability to develop our product candidates in a timely manner.</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pStyle w:val="TextBody"/>
        <w:spacing w:before="120" w:after="0"/>
        <w:jc w:val="left"/>
        <w:rPr>
          <w:rFonts w:ascii="Arial;sans-serif" w:hAnsi="Arial;sans-serif"/>
          <w:b w:val="false"/>
          <w:sz w:val="19"/>
        </w:rPr>
      </w:pPr>
      <w:r>
        <w:rPr>
          <w:rFonts w:ascii="Arial;sans-serif" w:hAnsi="Arial;sans-serif"/>
          <w:b w:val="false"/>
          <w:sz w:val="19"/>
        </w:rPr>
        <w:t>If we are unable to obtain adequate funding on a timely basis, we may be required to revise our business plan and strategy and potentially curtail, delay, or discontinue one or more of our clinical trials, our research efforts, product development, future commercialization efforts, or may result in our being unable to expand our operations or otherwise capitalize on our business opportunities. As a result, our business, financial condition and results of operations could be materially affected.</w:t>
      </w:r>
    </w:p>
    <w:p>
      <w:pPr>
        <w:pStyle w:val="TextBody"/>
        <w:spacing w:before="240" w:after="0"/>
        <w:jc w:val="center"/>
        <w:rPr>
          <w:rFonts w:ascii="Arial;sans-serif" w:hAnsi="Arial;sans-serif"/>
          <w:b w:val="false"/>
          <w:sz w:val="20"/>
        </w:rPr>
      </w:pPr>
      <w:r>
        <w:rPr>
          <w:rFonts w:ascii="Arial;sans-serif" w:hAnsi="Arial;sans-serif"/>
          <w:b w:val="false"/>
          <w:sz w:val="20"/>
        </w:rPr>
        <w:t>35</w:t>
      </w:r>
    </w:p>
    <w:p>
      <w:pPr>
        <w:pStyle w:val="HorizontalLine"/>
        <w:rPr/>
      </w:pPr>
      <w:r>
        <w:rPr/>
      </w:r>
    </w:p>
    <w:p>
      <w:pPr>
        <w:pStyle w:val="TextBody"/>
        <w:spacing w:before="120" w:after="0"/>
        <w:jc w:val="left"/>
        <w:rPr>
          <w:rFonts w:ascii="Arial;sans-serif" w:hAnsi="Arial;sans-serif"/>
          <w:b/>
          <w:i/>
          <w:sz w:val="19"/>
        </w:rPr>
      </w:pPr>
      <w:r>
        <w:rPr>
          <w:rFonts w:ascii="Arial;sans-serif" w:hAnsi="Arial;sans-serif"/>
          <w:b/>
          <w:i/>
          <w:sz w:val="19"/>
        </w:rPr>
        <w:t>We have incurred indebtedness, and we may incur additional indebtedness, which could adversely affect our financial condition.</w:t>
      </w:r>
    </w:p>
    <w:p>
      <w:pPr>
        <w:pStyle w:val="TextBody"/>
        <w:spacing w:before="120" w:after="0"/>
        <w:jc w:val="left"/>
        <w:rPr>
          <w:rFonts w:ascii="Arial;sans-serif" w:hAnsi="Arial;sans-serif"/>
          <w:b w:val="false"/>
          <w:sz w:val="19"/>
        </w:rPr>
      </w:pPr>
      <w:r>
        <w:rPr>
          <w:rFonts w:ascii="Arial;sans-serif" w:hAnsi="Arial;sans-serif"/>
          <w:b w:val="false"/>
          <w:sz w:val="19"/>
        </w:rPr>
        <w:t>On February 24, 2022, we entered into a loan and security agreement (the SVB Loan Agreement) with Silicon Valley Bank, as lender (SVB), pursuant to which SVB has agreed to provide term loans to us in an aggregate principal amount of up to $25.0 million. Our indebtedness could have important consequences to our stockholders. For example, it: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increases our vulnerability to adverse general economic and industry conditions;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limits our flexibility in planning for, or reacting to, changes in our business or the industries in which we operate by restricting our ability to make acquisitions, investments or divestments, or take other corporate actions quickly;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limits our ability to obtain additional financing or refinancing in the future for working capital, clinical trials, research and development, or other purposes.</w:t>
      </w:r>
    </w:p>
    <w:p>
      <w:pPr>
        <w:pStyle w:val="TextBody"/>
        <w:spacing w:before="120" w:after="0"/>
        <w:jc w:val="left"/>
        <w:rPr>
          <w:rFonts w:ascii="Arial;sans-serif" w:hAnsi="Arial;sans-serif"/>
          <w:b w:val="false"/>
          <w:sz w:val="19"/>
        </w:rPr>
      </w:pPr>
      <w:r>
        <w:rPr>
          <w:rFonts w:ascii="Arial;sans-serif" w:hAnsi="Arial;sans-serif"/>
          <w:b w:val="false"/>
          <w:sz w:val="19"/>
        </w:rPr>
        <w:t>Any of the above-listed factors could materially adversely affect our business, financial condition, results of operations, and cash flows. The SVB Loan Agreement also contains certain covenants, including limitations on, among other things, additional indebtedness, making certain dispositions, paying dividends in certain circumstances, and making certain acquisitions and investments. Any failure to comply with the terms, covenants and conditions of the SVB Loan Agreement may limit our ability to draw upon additional tranches of term loans and may result in an event of default under such agreement entitling the lender to accelerate our indebtedness, which could have a material adverse effect on our business, financial condition, and results of operations.</w:t>
      </w:r>
    </w:p>
    <w:p>
      <w:pPr>
        <w:pStyle w:val="TextBody"/>
        <w:spacing w:before="120" w:after="0"/>
        <w:jc w:val="left"/>
        <w:rPr>
          <w:rFonts w:ascii="Times New Roman" w:hAnsi="Times New Roman"/>
          <w:sz w:val="20"/>
        </w:rPr>
      </w:pPr>
      <w:r>
        <w:rPr>
          <w:rFonts w:ascii="Arial;sans-serif" w:hAnsi="Arial;sans-serif"/>
          <w:b w:val="false"/>
          <w:sz w:val="19"/>
        </w:rPr>
        <w:t>Recent increases in interest rates have increased our borrowing costs and may also affect our ability to obtain working capital through borrowings such as bank credit lines and public or private sales of debt securities, which may result in lower liquidity, reduced working capital and other adverse impacts on our business.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A portion of our outstanding debt under the SVB Loan Agreement, bears interest at variable interest rates. To meet our liquidity needs, we have relied in part on borrowed funds with variable interest rates and may continue to do so in the future. Continued increase in interest rates may increase the cost of new indebtedness and the servicing of our outstanding indebtedness, and could materially and adversely affect our results of operations, financial condition, liquidity and cash flows.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i/>
          <w:sz w:val="19"/>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indicated that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lenders or counterparties to any such instruments were to be placed into receivership, we may be unable to access such funds. We currently have a $20 million loan outstanding pursuant to a $25 million term loan facility with SVB, which was entered into in February 2022. There can be no assurance that we will continue to have access to the balance of such loan.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such as us,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w:t>
      </w:r>
    </w:p>
    <w:p>
      <w:pPr>
        <w:pStyle w:val="TextBody"/>
        <w:spacing w:before="120" w:after="0"/>
        <w:jc w:val="left"/>
        <w:rPr>
          <w:rFonts w:ascii="Times New Roman" w:hAnsi="Times New Roman"/>
          <w:sz w:val="20"/>
        </w:rPr>
      </w:pPr>
      <w:r>
        <w:rPr>
          <w:rFonts w:ascii="Arial;sans-serif" w:hAnsi="Arial;sans-serif"/>
          <w:b w:val="false"/>
          <w:sz w:val="19"/>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Additionally, there is no guarantee that the U.S. Department of Treasury, FDIC and Federal Reserve Board will provide access to uninsured funds in the future in the event of the closure of other banks or financial institutions, or that they would do so in a timely fashion.</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36</w:t>
      </w:r>
    </w:p>
    <w:p>
      <w:pPr>
        <w:pStyle w:val="HorizontalLine"/>
        <w:rPr/>
      </w:pPr>
      <w:r>
        <w:rPr/>
      </w:r>
    </w:p>
    <w:p>
      <w:pPr>
        <w:pStyle w:val="TextBody"/>
        <w:spacing w:before="120" w:after="0"/>
        <w:jc w:val="left"/>
        <w:rPr>
          <w:rFonts w:ascii="Times New Roman" w:hAnsi="Times New Roman"/>
          <w:sz w:val="20"/>
        </w:rPr>
      </w:pPr>
      <w:r>
        <w:rPr>
          <w:rFonts w:ascii="Arial;sans-serif" w:hAnsi="Arial;sans-serif"/>
          <w:b w:val="false"/>
          <w:sz w:val="19"/>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Delayed access to deposits or other financial assets or the uninsured loss of deposits or other financial assets;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Delayed or lost access to, or reductions in borrowings available under revolving existing credit facilities or other working capital sources and/or delays, inability or reductions in our ability to refund, roll over or extend the maturity of, or enter into new credit facilities or other working capital resources;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Potential or actual breach of contractual obligations that require us to maintain letters of credit or other credit support arrangements;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Potential or actual breach of financial covenants in our credit agreements or credit arrangements;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Potential or actual cross-defaults in other credit agreements, credit arrangements or operating or financing agreements; or</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Termination of cash management arrangements and/or delays in accessing or actual loss of funds subject to cash management arrangements.</w:t>
      </w:r>
    </w:p>
    <w:p>
      <w:pPr>
        <w:pStyle w:val="TextBody"/>
        <w:spacing w:before="120" w:after="0"/>
        <w:jc w:val="left"/>
        <w:rPr>
          <w:rFonts w:ascii="Times New Roman" w:hAnsi="Times New Roman"/>
          <w:sz w:val="20"/>
        </w:rPr>
      </w:pPr>
      <w:r>
        <w:rPr>
          <w:rFonts w:ascii="Arial;sans-serif" w:hAnsi="Arial;sans-serif"/>
          <w:b w:val="false"/>
          <w:sz w:val="19"/>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a material adverse impact on our business.</w:t>
      </w:r>
    </w:p>
    <w:p>
      <w:pPr>
        <w:pStyle w:val="TextBody"/>
        <w:spacing w:before="160" w:after="0"/>
        <w:jc w:val="left"/>
        <w:rPr>
          <w:rFonts w:ascii="Arial;sans-serif" w:hAnsi="Arial;sans-serif"/>
          <w:b/>
          <w:sz w:val="19"/>
        </w:rPr>
      </w:pPr>
      <w:r>
        <w:rPr>
          <w:rFonts w:ascii="Arial;sans-serif" w:hAnsi="Arial;sans-serif"/>
          <w:b/>
          <w:sz w:val="19"/>
        </w:rPr>
        <w:t>Risks Related to Product Development</w:t>
      </w:r>
    </w:p>
    <w:p>
      <w:pPr>
        <w:pStyle w:val="TextBody"/>
        <w:spacing w:before="120" w:after="0"/>
        <w:jc w:val="left"/>
        <w:rPr>
          <w:rFonts w:ascii="Arial;sans-serif" w:hAnsi="Arial;sans-serif"/>
          <w:b/>
          <w:i/>
          <w:sz w:val="19"/>
        </w:rPr>
      </w:pPr>
      <w:r>
        <w:rPr>
          <w:rFonts w:ascii="Arial;sans-serif" w:hAnsi="Arial;sans-serif"/>
          <w:b/>
          <w:i/>
          <w:sz w:val="19"/>
        </w:rPr>
        <w:t>Our business is dependent on the success of our lead product candidate, CAN-2409, as well as CAN-3110 and any other product candidates that we advance into the clinic. All of our product candidates will require additional development before we may be able to seek regulatory approval for and launch a product commercially.</w:t>
      </w:r>
    </w:p>
    <w:p>
      <w:pPr>
        <w:pStyle w:val="TextBody"/>
        <w:spacing w:before="120" w:after="0"/>
        <w:jc w:val="left"/>
        <w:rPr>
          <w:rFonts w:ascii="Times New Roman" w:hAnsi="Times New Roman"/>
          <w:sz w:val="20"/>
        </w:rPr>
      </w:pPr>
      <w:r>
        <w:rPr>
          <w:rFonts w:ascii="Arial;sans-serif" w:hAnsi="Arial;sans-serif"/>
          <w:b w:val="false"/>
          <w:sz w:val="19"/>
        </w:rPr>
        <w:t>We currently have no products that are approved for commercial sale and may never be able to develop marketable products. We expect that a substantial portion of our efforts and expenditures over the next several years will be devoted to our CAN-2409 program, which is currently our lead product candidate. We are currently conducting, as part of our most advanced CAN-2409 program, a Phase 3 clinical trial under an SPA for CAN-2409 as first-line neoadjuvant therapy in patients with newly diagnosed localized prostate cancer who have an intermediate to high-risk for progression. We completed enrollment for this trial in September 2021 and expect to present topline data at the end of 2024. We are conducting a Phase 2 clinical trial of CAN-2409 in patients with NSCLC who had an inadequate response to ICI and continue the same ICI in combination with CAN-2409. We presented initial clinical data from this clinical trial at the ASCO Annual Meeting in June 2022 and an update during our</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37</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Research and Development Day in December 2022. We are also studying CAN-2409 in a randomized Phase 2 clinical trial in pancreatic cancer, which we elected to pause in March 2023, subject to additional funding. Additionally, we have an ongoing investigator-sponsored Phase 1 clinical trial of CAN-3110, our most advanced HSV-based product candidate, in recurrent HGG and reported additional biomarker results in November of 2021. Additional data was presented at SITC in November 2022 and during the Company's Research and Development Day on December 6, 2022. If CAN-2409, CAN-3110 or any other product candidate we develop encounters safety or efficacy issues, development delays, regulatory issues or other problems, our development plans and business would be significantly harmed. We can provide no assurance that CAN-2409, CAN-3110 or any other product candidates we develop will receive regulatory approval or be successfully commercialized even if we receive regulatory approval. If we were required to discontinue development of CAN-2409, CAN-3110 or any future product candidate, or if CAN-2409, CAN-3110, or any future product candidate do not receive regulatory approval or fail to achieve significant market acceptance, we would be delayed by many years in our ability to achieve profitability, if ever.</w:t>
      </w:r>
    </w:p>
    <w:p>
      <w:pPr>
        <w:pStyle w:val="TextBody"/>
        <w:spacing w:before="120" w:after="0"/>
        <w:jc w:val="left"/>
        <w:rPr>
          <w:rFonts w:ascii="Arial;sans-serif" w:hAnsi="Arial;sans-serif"/>
          <w:b w:val="false"/>
          <w:sz w:val="19"/>
        </w:rPr>
      </w:pPr>
      <w:r>
        <w:rPr>
          <w:rFonts w:ascii="Arial;sans-serif" w:hAnsi="Arial;sans-serif"/>
          <w:b w:val="false"/>
          <w:sz w:val="19"/>
        </w:rPr>
        <w:t>Furthermore, even if we obtain regulatory approval for CAN-2409, CAN-3110 or any other product candidates we develop, we will still need to develop a commercial infrastructure, expand our manufacturing capabilities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CAN-2409, CAN-3110 or any other product candidates we develop, we may not be able to generate sufficient revenue to continue our business.</w:t>
      </w:r>
    </w:p>
    <w:p>
      <w:pPr>
        <w:pStyle w:val="TextBody"/>
        <w:spacing w:before="120" w:after="0"/>
        <w:jc w:val="left"/>
        <w:rPr>
          <w:rFonts w:ascii="Arial;sans-serif" w:hAnsi="Arial;sans-serif"/>
          <w:b/>
          <w:i/>
          <w:sz w:val="19"/>
        </w:rPr>
      </w:pPr>
      <w:r>
        <w:rPr>
          <w:rFonts w:ascii="Arial;sans-serif" w:hAnsi="Arial;sans-serif"/>
          <w:b/>
          <w:i/>
          <w:sz w:val="19"/>
        </w:rPr>
        <w:t>Our preclinical studies and clinical trials may fail to demonstrate adequately the safety and efficacy of any of our product candidates, which would prevent or delay development, regulatory approval, and commercialization.</w:t>
      </w:r>
    </w:p>
    <w:p>
      <w:pPr>
        <w:pStyle w:val="TextBody"/>
        <w:spacing w:before="120" w:after="0"/>
        <w:jc w:val="left"/>
        <w:rPr>
          <w:rFonts w:ascii="Arial;sans-serif" w:hAnsi="Arial;sans-serif"/>
          <w:b w:val="false"/>
          <w:sz w:val="19"/>
        </w:rPr>
      </w:pPr>
      <w:r>
        <w:rPr>
          <w:rFonts w:ascii="Arial;sans-serif" w:hAnsi="Arial;sans-serif"/>
          <w:b w:val="false"/>
          <w:sz w:val="19"/>
        </w:rPr>
        <w:t>Before obtaining regulatory approvals for the commercial sale of our product candidates, including CAN-2409, CAN-3110 or any other product candidates we develop, we must demonstrate the safety and efficacy of our product candidates for use in each target indication through lengthy, complex, and expensive preclinical studies and clinical trials. Failure can occur at any time during the preclinical study and clinical trial processes and there is a high risk of failure, so we may never succeed in developing marketable products. Any preclinical studies or clinical trials that we may conduct may not demonstrate the safety and efficacy necessary to obtain regulatory approval to market any of our product candidates. If the results of our ongoing or future preclinical studies and clinical trials are inconclusive with respect to the safety or efficacy of our product candidates, if we do not meet the clinical endpoints with statistical and clinically meaningful significance, or if there are safety concerns associated with our product candidates, we may be prevented or delayed in obtaining marketing approval for such product candidates. In some instances, there can be significant variability in safety or efficacy results between different preclinical studies and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While we are currently in a Phase 3 clinical trial for CAN-2409 for prostate cancer and are in early stages of clinical development for CAN-3110, it is likely, as is the case with many oncology therapies, that there may be side effects associated with their use.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pStyle w:val="TextBody"/>
        <w:spacing w:before="120" w:after="0"/>
        <w:jc w:val="left"/>
        <w:rPr>
          <w:rFonts w:ascii="Times New Roman" w:hAnsi="Times New Roman"/>
          <w:sz w:val="20"/>
        </w:rPr>
      </w:pPr>
      <w:r>
        <w:rPr>
          <w:rFonts w:ascii="Arial;sans-serif" w:hAnsi="Arial;sans-serif"/>
          <w:b w:val="false"/>
          <w:sz w:val="19"/>
        </w:rPr>
        <w:t>Our product candidates have caused side effects in clinical trials related to on-target toxicity such as fever, chills and muscle aches and other flu-like symptoms. The most common side effects observed in our clinical trials have been transient, injection site-related flu-like symptoms. The specific symptoms are largely dependent on the tumor site (site of injection). Patients who have participated in our trials have experienced grade 3 and grade 4 treatment-related side effects, including blood abnormalities. Those include pyrexia, genitourinary toxicity, increased aspartate transaminase / alanine transaminase (AST/ALT), increased bilirubin, hemiparesis, worsening of speech impairment, insomnia, headache, wound complications, empyema, motor-neuropathy symptoms/signs, transient lymphopenia, dehydration with renal insufficiency, urinary retention, worsening abdominal pain and increased lipase. Different nomenclature for the same side effect can be used in different trials (i.e. lymphopenia or low lymphocyte count). If on-target toxicity is observed at unacceptable levels,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observed yet to date. Many compounds that initially showed promise in early-stage testing for treating cancer have later been found to cause side effects that prevented further development of the compound. In addition to our ongoing clinical trials of CAN-2409 and CAN-3110, patients have been, and may continue to be, treated with CAN-2409 and/or CAN-3110 under an expanded access or “compassionate use” program. To the extent the experiences of patients being treated in this program are inconsistent with or less favorable than the results of our ongoing or planned company-sponsored trials with CAN-2409 and/or CAN-3110, it may negatively affect perceptions of CAN-2409 and/or CAN-3110, our other product candidates, or our business. In addition, the FDA or comparable foreign regulatory authorities may require us to obtain and submit additional clinical data due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38</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to these inconsistent or unfavorable results, which could delay clinical development or marketing approval of CAN-2409 and/or CAN-3110 or potentially our other product candidates.</w:t>
      </w:r>
    </w:p>
    <w:p>
      <w:pPr>
        <w:pStyle w:val="TextBody"/>
        <w:spacing w:before="120" w:after="0"/>
        <w:jc w:val="left"/>
        <w:rPr>
          <w:rFonts w:ascii="Arial;sans-serif" w:hAnsi="Arial;sans-serif"/>
          <w:b/>
          <w:i/>
          <w:sz w:val="19"/>
        </w:rPr>
      </w:pPr>
      <w:r>
        <w:rPr>
          <w:rFonts w:ascii="Arial;sans-serif" w:hAnsi="Arial;sans-serif"/>
          <w:b/>
          <w:i/>
          <w:sz w:val="19"/>
        </w:rPr>
        <w:t>Interim, topline and preliminary data from our clinical trials that we announce or publish from time to time may change as more patient data become available and are subject to regulatory audit and verification procedures that could result in material changes in the final data.</w:t>
      </w:r>
    </w:p>
    <w:p>
      <w:pPr>
        <w:pStyle w:val="TextBody"/>
        <w:spacing w:before="120" w:after="0"/>
        <w:jc w:val="left"/>
        <w:rPr>
          <w:rFonts w:ascii="Arial;sans-serif" w:hAnsi="Arial;sans-serif"/>
          <w:b w:val="false"/>
          <w:sz w:val="19"/>
        </w:rPr>
      </w:pPr>
      <w:r>
        <w:rPr>
          <w:rFonts w:ascii="Arial;sans-serif" w:hAnsi="Arial;sans-serif"/>
          <w:b w:val="false"/>
          <w:sz w:val="19"/>
        </w:rPr>
        <w:t>From time to time, we may publish interim, topline or preliminary data from our clinical trials. We may decide to conduct an interim analysis of the data after a certain number or percentage of patients have been enrolled, or after only a part of the full follow-up period but before completion of the trial. Similarly, we may report topline or preliminary results of primary and key secondary endpoints before the final trial results are completed. Preliminary, topline and interim data from our clinical trials may change as more patient data or analyses become available. Preliminary, topline or interim data from our clinical trials are not necessarily predictive of final results and are subject to the risk that one or more of the clinical outcomes may materially change as patient enrollment continues, more patient data become available and we issue our final clinical trial report. These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Material adverse changes in the final data compared to the interim data could significantly harm our business prospects.</w:t>
      </w:r>
    </w:p>
    <w:p>
      <w:pPr>
        <w:pStyle w:val="TextBody"/>
        <w:spacing w:before="120" w:after="0"/>
        <w:jc w:val="left"/>
        <w:rPr>
          <w:rFonts w:ascii="Arial;sans-serif" w:hAnsi="Arial;sans-serif"/>
          <w:b w:val="false"/>
          <w:sz w:val="19"/>
        </w:rPr>
      </w:pPr>
      <w:r>
        <w:rPr>
          <w:rFonts w:ascii="Arial;sans-serif" w:hAnsi="Arial;sans-serif"/>
          <w:b w:val="false"/>
          <w:sz w:val="19"/>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spacing w:before="120" w:after="0"/>
        <w:jc w:val="left"/>
        <w:rPr>
          <w:rFonts w:ascii="Arial;sans-serif" w:hAnsi="Arial;sans-serif"/>
          <w:b w:val="false"/>
          <w:sz w:val="19"/>
        </w:rPr>
      </w:pPr>
      <w:r>
        <w:rPr>
          <w:rFonts w:ascii="Arial;sans-serif" w:hAnsi="Arial;sans-serif"/>
          <w:b w:val="false"/>
          <w:sz w:val="19"/>
        </w:rPr>
        <w:t>If the interim, topline, or preliminary data that we report differ from more complete results, or if others, including regulatory authorities, disagree with the conclusions reached, our ability to obtain marketing authorization for, and commercialize, our product candidates may be harmed, which could harm our business, operating results, prospects or financial condition.</w:t>
      </w:r>
    </w:p>
    <w:p>
      <w:pPr>
        <w:pStyle w:val="TextBody"/>
        <w:spacing w:before="120" w:after="0"/>
        <w:jc w:val="left"/>
        <w:rPr>
          <w:rFonts w:ascii="Arial;sans-serif" w:hAnsi="Arial;sans-serif"/>
          <w:b/>
          <w:i/>
          <w:sz w:val="19"/>
        </w:rPr>
      </w:pPr>
      <w:r>
        <w:rPr>
          <w:rFonts w:ascii="Arial;sans-serif" w:hAnsi="Arial;sans-serif"/>
          <w:b/>
          <w:i/>
          <w:sz w:val="19"/>
        </w:rPr>
        <w:t>We may not be successful in our efforts to identify additional product candidates or indications. Due to our limited resources and access to capital, we must prioritize development of certain product candidates and indications; these decisions may prove to be wrong and may adversely affect our business.</w:t>
      </w:r>
    </w:p>
    <w:p>
      <w:pPr>
        <w:pStyle w:val="TextBody"/>
        <w:spacing w:before="120" w:after="0"/>
        <w:jc w:val="left"/>
        <w:rPr>
          <w:rFonts w:ascii="Times New Roman" w:hAnsi="Times New Roman"/>
          <w:sz w:val="20"/>
        </w:rPr>
      </w:pPr>
      <w:r>
        <w:rPr>
          <w:rFonts w:ascii="Arial;sans-serif" w:hAnsi="Arial;sans-serif"/>
          <w:b w:val="false"/>
          <w:sz w:val="19"/>
        </w:rPr>
        <w:t>Although we intend to explore other therapeutic opportunities, in addition to the product candidates and indications that we are currently developing, we may fail to identify successful product candidates or additional indications for clinical development for a number of reasons. If we fail to identify additional potential product candidates or indications for development, our business could be materially harmed.</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Research programs to pursue the development of our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 xml:space="preserve">the research methodology used may not be successful in identifying potential indications and/or product candidates; </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 xml:space="preserve">potential product candidates may, after further study, be shown to have harmful adverse effects or other characteristics that indicate they are unlikely to be effective drugs; or </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 xml:space="preserve">it may take greater human and financial resources than we possess to identify additional therapeutic opportunities for our product candidates or to develop suitable potential product candidates through internal research programs, thereby limiting our ability to develop, diversify and expand our product portfolio. </w:t>
      </w:r>
    </w:p>
    <w:p>
      <w:pPr>
        <w:pStyle w:val="TextBody"/>
        <w:spacing w:before="120" w:after="0"/>
        <w:jc w:val="left"/>
        <w:rPr>
          <w:rFonts w:ascii="Times New Roman" w:hAnsi="Times New Roman"/>
          <w:sz w:val="20"/>
        </w:rPr>
      </w:pPr>
      <w:r>
        <w:rPr>
          <w:rFonts w:ascii="Arial;sans-serif" w:hAnsi="Arial;sans-serif"/>
          <w:b w:val="false"/>
          <w:sz w:val="19"/>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 For example,</w:t>
      </w:r>
      <w:r>
        <w:rPr>
          <w:rFonts w:ascii="Times New Roman" w:hAnsi="Times New Roman"/>
          <w:sz w:val="20"/>
        </w:rPr>
        <w:t xml:space="preserve"> </w:t>
      </w:r>
      <w:r>
        <w:rPr>
          <w:rFonts w:ascii="Times New Roman;serif" w:hAnsi="Times New Roman;serif"/>
          <w:b w:val="false"/>
          <w:sz w:val="20"/>
        </w:rPr>
        <w:t>a</w:t>
      </w:r>
      <w:r>
        <w:rPr>
          <w:rFonts w:ascii="Arial;sans-serif" w:hAnsi="Arial;sans-serif"/>
          <w:b w:val="false"/>
          <w:sz w:val="19"/>
        </w:rPr>
        <w:t>t the 37th Annual Meeting of Society for Immunotherapy of Cancer (SITC) in Boston in November 2022, due to promising clinical activity of CAN-3110 in recurrent HGG, we made a portfolio and resource decision to prioritize CAN-3110 in recurrent HGG and not to pursue a Phase 3 clinical trial of CAN-2409 in HGG.</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Accordingly, 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spacing w:before="120" w:after="0"/>
        <w:jc w:val="left"/>
        <w:rPr>
          <w:rFonts w:ascii="Arial;sans-serif" w:hAnsi="Arial;sans-serif"/>
          <w:b/>
          <w:i/>
          <w:sz w:val="19"/>
        </w:rPr>
      </w:pPr>
      <w:r>
        <w:rPr>
          <w:rFonts w:ascii="Arial;sans-serif" w:hAnsi="Arial;sans-serif"/>
          <w:b/>
          <w:i/>
          <w:sz w:val="19"/>
        </w:rPr>
        <w:t>Results of earlier studies and trials of our product candidates may not be predictive of future trial results.</w:t>
      </w:r>
    </w:p>
    <w:p>
      <w:pPr>
        <w:pStyle w:val="TextBody"/>
        <w:spacing w:before="240" w:after="0"/>
        <w:jc w:val="center"/>
        <w:rPr>
          <w:rFonts w:ascii="Arial;sans-serif" w:hAnsi="Arial;sans-serif"/>
          <w:b w:val="false"/>
          <w:sz w:val="20"/>
        </w:rPr>
      </w:pPr>
      <w:r>
        <w:rPr>
          <w:rFonts w:ascii="Arial;sans-serif" w:hAnsi="Arial;sans-serif"/>
          <w:b w:val="false"/>
          <w:sz w:val="20"/>
        </w:rPr>
        <w:t>39</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Success in preclinical studies and early clinical trials does not ensure that later clinical trials will be successful. Product candidates in later stages of clinical trials may fail to show the desired safety and efficacy traits despite having progressed through preclinical studies and initial clinical trials. As we commence new clinical trials and continue our ongoing clinical trials, issues may arise that could suspend or terminate such clinical trials. A number of companies in the biotechnology and pharmaceutical industries have suffered significant setbacks in clinical trials, even after positive results in earlier preclinical studies or clinical trials. These setbacks have been caused by, among other things, preclinical findings made while clinical trials were underway and safety or efficacy observations made in clinical trials, including previously unreported adverse events. Notwithstanding any potential promising results in earlier studies and trials, we cannot be certain that we will not face similar setbacks. In addition, the results of our preclinical animal studies, including our oncology mouse studies and other animal studies, may not be predictive of the results of outcomes in human clinical trials. For example, our oncology product candidates that are in preclinical development may demonstrate different chemical and biological properties in patients than they do in laboratory animal studies or may interact with human biological systems in unforeseen or harmful ways.</w:t>
      </w:r>
    </w:p>
    <w:p>
      <w:pPr>
        <w:pStyle w:val="TextBody"/>
        <w:spacing w:before="120" w:after="0"/>
        <w:jc w:val="left"/>
        <w:rPr>
          <w:rFonts w:ascii="Arial;sans-serif" w:hAnsi="Arial;sans-serif"/>
          <w:b w:val="false"/>
          <w:sz w:val="19"/>
        </w:rPr>
      </w:pPr>
      <w:r>
        <w:rPr>
          <w:rFonts w:ascii="Arial;sans-serif" w:hAnsi="Arial;sans-serif"/>
          <w:b w:val="false"/>
          <w:sz w:val="19"/>
        </w:rPr>
        <w:t>Additionally, some of past, ongoing and planned clinical trials utilize an “open-label” study design including our NSCLC trial in combination with ICI.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improved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trials when studied in a controlled environment with a placebo or active control.</w:t>
      </w:r>
    </w:p>
    <w:p>
      <w:pPr>
        <w:pStyle w:val="TextBody"/>
        <w:spacing w:before="0" w:after="0"/>
        <w:jc w:val="left"/>
        <w:rPr>
          <w:rFonts w:ascii="Times New Roman" w:hAnsi="Times New Roman"/>
          <w:sz w:val="20"/>
        </w:rPr>
      </w:pPr>
      <w:r>
        <w:rPr>
          <w:rFonts w:ascii="Times New Roman;serif" w:hAnsi="Times New Roman;serif"/>
          <w:b w:val="false"/>
          <w:sz w:val="2"/>
        </w:rPr>
        <w:br/>
      </w:r>
      <w:r>
        <w:rPr>
          <w:rFonts w:ascii="Times New Roman" w:hAnsi="Times New Roman"/>
          <w:sz w:val="20"/>
        </w:rPr>
        <w:t> </w:t>
      </w:r>
    </w:p>
    <w:p>
      <w:pPr>
        <w:pStyle w:val="TextBody"/>
        <w:spacing w:before="120" w:after="0"/>
        <w:jc w:val="left"/>
        <w:rPr>
          <w:rFonts w:ascii="Arial;sans-serif" w:hAnsi="Arial;sans-serif"/>
          <w:b/>
          <w:i/>
          <w:sz w:val="19"/>
        </w:rPr>
      </w:pPr>
      <w:r>
        <w:rPr>
          <w:rFonts w:ascii="Arial;sans-serif" w:hAnsi="Arial;sans-serif"/>
          <w:b/>
          <w:i/>
          <w:sz w:val="19"/>
        </w:rPr>
        <w:t>Our product candidates are based on a novel approach to the treatment of cancer, which makes it difficult to predict the time and cost of product candidate development and subsequently obtaining regulatory approval, if at all.</w:t>
      </w:r>
    </w:p>
    <w:p>
      <w:pPr>
        <w:pStyle w:val="TextBody"/>
        <w:spacing w:before="120" w:after="0"/>
        <w:jc w:val="left"/>
        <w:rPr>
          <w:rFonts w:ascii="Arial;sans-serif" w:hAnsi="Arial;sans-serif"/>
          <w:b w:val="false"/>
          <w:sz w:val="19"/>
        </w:rPr>
      </w:pPr>
      <w:r>
        <w:rPr>
          <w:rFonts w:ascii="Arial;sans-serif" w:hAnsi="Arial;sans-serif"/>
          <w:b w:val="false"/>
          <w:sz w:val="19"/>
        </w:rPr>
        <w:t>We have concentrated our research and development efforts on our CAN-2409 and CAN-3110 product candidates, and our future success largely depends on the successful development of these therapeutic approaches. In particular, CAN-2409 utilizes an adenovirus to activate the innate and adaptive immune system. To our knowledge, there are no FDA-approved products for the treatment of cancer that utilize the adenovirus.</w:t>
      </w:r>
    </w:p>
    <w:p>
      <w:pPr>
        <w:pStyle w:val="TextBody"/>
        <w:spacing w:before="120" w:after="0"/>
        <w:jc w:val="left"/>
        <w:rPr>
          <w:rFonts w:ascii="Arial;sans-serif" w:hAnsi="Arial;sans-serif"/>
          <w:b w:val="false"/>
          <w:sz w:val="19"/>
        </w:rPr>
      </w:pPr>
      <w:r>
        <w:rPr>
          <w:rFonts w:ascii="Arial;sans-serif" w:hAnsi="Arial;sans-serif"/>
          <w:b w:val="false"/>
          <w:sz w:val="19"/>
        </w:rPr>
        <w:t>We expect the novel nature of our product candidates to create further challenges in obtaining regulatory approval. Few viral immunotherapies have been approved globally or by the FDA to date. While the first oncolytic viral immunotherapy, talimogene laherparepvec (Imlygic, Amgen), has received FDA approval, regulatory agencies have reviewed relatively few viral immunotherapy product candidates such as CAN-2409 and CAN-3110. This may lengthen the regulatory review process, increase our development costs and delay or prevent commercialization of our product candidates. Further, any viral immunotherapies that are approved may be subject to extensive post-approval regulatory requirements, including requirements pertaining to manufacturing, distribution and promotion. We may need to devote significant time and resources to compliance with these requirements.</w:t>
      </w:r>
    </w:p>
    <w:p>
      <w:pPr>
        <w:pStyle w:val="TextBody"/>
        <w:spacing w:before="120" w:after="0"/>
        <w:jc w:val="left"/>
        <w:rPr>
          <w:rFonts w:ascii="Arial;sans-serif" w:hAnsi="Arial;sans-serif"/>
          <w:b w:val="false"/>
          <w:sz w:val="19"/>
        </w:rPr>
      </w:pPr>
      <w:r>
        <w:rPr>
          <w:rFonts w:ascii="Arial;sans-serif" w:hAnsi="Arial;sans-serif"/>
          <w:b w:val="false"/>
          <w:sz w:val="19"/>
        </w:rPr>
        <w:t>The FDA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often adheres to the advisory committee’s recommendations. Accordingly, the regulatory approval pathway for our product candidates may be uncertain, complex, expensive and lengthy, and approval may not be obtained.</w:t>
      </w:r>
    </w:p>
    <w:p>
      <w:pPr>
        <w:pStyle w:val="TextBody"/>
        <w:spacing w:before="120" w:after="0"/>
        <w:jc w:val="left"/>
        <w:rPr>
          <w:rFonts w:ascii="Arial;sans-serif" w:hAnsi="Arial;sans-serif"/>
          <w:b w:val="false"/>
          <w:sz w:val="19"/>
        </w:rPr>
      </w:pPr>
      <w:r>
        <w:rPr>
          <w:rFonts w:ascii="Arial;sans-serif" w:hAnsi="Arial;sans-serif"/>
          <w:b w:val="false"/>
          <w:sz w:val="19"/>
        </w:rPr>
        <w:t>In addition, our product candidates are live, gene-modified viruses for which the FDA, the European Medicines Agency (EMA) and other comparable foreign regulatory authorities and other public health authorities, such as the Centers of Disease Control and Prevention and hospitals involved in clinical studies, have established additional safety and contagion rules and procedures, which could establish additional hurdles for the development, manufacture or use of our vectors. These hurdles may lead to delays in the conduct of clinical trials or in obtaining regulatory approvals for further development, manufacturing or commercialization of our product candidates. We may also experience delays in transferring our process to commercial partners, which may prevent us from completing our clinical trials or commercializing our product candidates on a timely or profitable basis, if at all.</w:t>
      </w:r>
    </w:p>
    <w:p>
      <w:pPr>
        <w:pStyle w:val="TextBody"/>
        <w:spacing w:before="120" w:after="0"/>
        <w:jc w:val="left"/>
        <w:rPr>
          <w:rFonts w:ascii="Times New Roman" w:hAnsi="Times New Roman"/>
          <w:sz w:val="20"/>
        </w:rPr>
      </w:pPr>
      <w:r>
        <w:rPr>
          <w:rFonts w:ascii="Arial;sans-serif" w:hAnsi="Arial;sans-serif"/>
          <w:b w:val="false"/>
          <w:sz w:val="19"/>
        </w:rPr>
        <w:t>Furthermore, there has been limited historical clinical trial experience for the development of products that utilize the adenovirus. Moreover, the design and conduct of our clinical trials differs from the design and conduct of previously conducted clinical trials in this area. In particular, regulatory authorities in the United States and in other jurisdictions, including Europe, have not issued definitive guidance as to how to measure and demonstrate efficacy in newly diagnosed localized prostate cancer in intermediate- to high-risk patients in combination with the standard of care. As a result, there is substantial risk that the design or</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40</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outcomes of our clinical trials will not be satisfactory to support marketing approval. For example, the endpoint in our Phase 3 clinical trial investigating CAN-2409 in prostate cancer is a disease-free survival (DFS) endpoint with final results expected 24 months after last patient treated, which has not been utilized in prior trials and may not be accepted by regulators as a basis for approval despite the existence of the SPA. Even if this type of novel endpoint is accepted as a basis for approval in the United States, we cannot be certain that regulators outside of the United States will accept such endpoints or will not require us to conduct additional validation studies to support the suitability of such endpoints for approval in these jurisdictions.</w:t>
      </w:r>
    </w:p>
    <w:p>
      <w:pPr>
        <w:pStyle w:val="TextBody"/>
        <w:spacing w:before="120" w:after="0"/>
        <w:jc w:val="left"/>
        <w:rPr>
          <w:rFonts w:ascii="Arial;sans-serif" w:hAnsi="Arial;sans-serif"/>
          <w:b/>
          <w:i/>
          <w:sz w:val="19"/>
        </w:rPr>
      </w:pPr>
      <w:r>
        <w:rPr>
          <w:rFonts w:ascii="Arial;sans-serif" w:hAnsi="Arial;sans-serif"/>
          <w:b/>
          <w:i/>
          <w:sz w:val="19"/>
        </w:rPr>
        <w:t>We are developing, and in the future may develop, other product candidates, in combination with other therapies, which exposes us to additional risks related to any prodrugs or any agents used in combination with our product candidates.</w:t>
      </w:r>
    </w:p>
    <w:p>
      <w:pPr>
        <w:pStyle w:val="TextBody"/>
        <w:spacing w:before="120" w:after="0"/>
        <w:jc w:val="left"/>
        <w:rPr>
          <w:rFonts w:ascii="Arial;sans-serif" w:hAnsi="Arial;sans-serif"/>
          <w:b w:val="false"/>
          <w:sz w:val="19"/>
        </w:rPr>
      </w:pPr>
      <w:r>
        <w:rPr>
          <w:rFonts w:ascii="Arial;sans-serif" w:hAnsi="Arial;sans-serif"/>
          <w:b w:val="false"/>
          <w:sz w:val="19"/>
        </w:rPr>
        <w:t>Our CAN-2409 product candidate is being developed to be used in combination with the prodrug valacyclovir, which is an oral small molecule drug marketed for treatment of herpes infections. In the future, we may develop other product candidates to be used with one or more currently approved other therapies. Even if any product candidate we develop were to receive marketing approval or be commercialized for use in combination with other existing therapies, we would continue to be subject to the risks that the FDA or comparable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pStyle w:val="TextBody"/>
        <w:spacing w:before="120" w:after="0"/>
        <w:jc w:val="left"/>
        <w:rPr>
          <w:rFonts w:ascii="Arial;sans-serif" w:hAnsi="Arial;sans-serif"/>
          <w:b w:val="false"/>
          <w:sz w:val="19"/>
        </w:rPr>
      </w:pPr>
      <w:r>
        <w:rPr>
          <w:rFonts w:ascii="Arial;sans-serif" w:hAnsi="Arial;sans-serif"/>
          <w:b w:val="false"/>
          <w:sz w:val="19"/>
        </w:rPr>
        <w:t>If the FDA or comparable foreign regulatory authorities revoke their approval of these other drugs or revoke their approval of, or if safety, efficacy, manufacturing or supply issues arise with, the drugs we choose to evaluate in combination with any product candidate we develop, we may be unable to obtain approval.</w:t>
      </w:r>
    </w:p>
    <w:p>
      <w:pPr>
        <w:pStyle w:val="TextBody"/>
        <w:spacing w:before="120" w:after="0"/>
        <w:jc w:val="left"/>
        <w:rPr>
          <w:rFonts w:ascii="Arial;sans-serif" w:hAnsi="Arial;sans-serif"/>
          <w:b w:val="false"/>
          <w:sz w:val="19"/>
        </w:rPr>
      </w:pPr>
      <w:r>
        <w:rPr>
          <w:rFonts w:ascii="Arial;sans-serif" w:hAnsi="Arial;sans-serif"/>
          <w:b w:val="false"/>
          <w:sz w:val="19"/>
        </w:rPr>
        <w:t>We may also evaluate our future product candidates in combination with one or more other cancer therapies that have not yet been approved for marketing by the FDA or comparable foreign regulatory authorities. We will not be able to market any product candidate we develop in combination with any such unapproved cancer therapies that do not ultimately obtain marketing approval. In addition, unapproved therapies face the same risks described with respect to our product candidates currently in development and clinical trials, including the potential for serious adverse effects, delays in their clinical trials and lack of FDA approval.</w:t>
      </w:r>
    </w:p>
    <w:p>
      <w:pPr>
        <w:pStyle w:val="TextBody"/>
        <w:spacing w:before="120" w:after="0"/>
        <w:jc w:val="left"/>
        <w:rPr>
          <w:rFonts w:ascii="Arial;sans-serif" w:hAnsi="Arial;sans-serif"/>
          <w:b/>
          <w:i/>
          <w:sz w:val="19"/>
        </w:rPr>
      </w:pPr>
      <w:r>
        <w:rPr>
          <w:rFonts w:ascii="Arial;sans-serif" w:hAnsi="Arial;sans-serif"/>
          <w:b/>
          <w:i/>
          <w:sz w:val="19"/>
        </w:rPr>
        <w:t>Negative developments in the field of immuno-oncology and, in particular, viral immunotherapy, could damage public perception of any of our product candidates and negatively affect our business.</w:t>
      </w:r>
    </w:p>
    <w:p>
      <w:pPr>
        <w:pStyle w:val="TextBody"/>
        <w:spacing w:before="120" w:after="0"/>
        <w:jc w:val="left"/>
        <w:rPr>
          <w:rFonts w:ascii="Arial;sans-serif" w:hAnsi="Arial;sans-serif"/>
          <w:b w:val="false"/>
          <w:sz w:val="19"/>
        </w:rPr>
      </w:pPr>
      <w:r>
        <w:rPr>
          <w:rFonts w:ascii="Arial;sans-serif" w:hAnsi="Arial;sans-serif"/>
          <w:b w:val="false"/>
          <w:sz w:val="19"/>
        </w:rPr>
        <w:t>The commercial success of adenovirus- or HSV-based product candidates will depend in part on public acceptance of the use of immuno-oncology, and, in particular, viral immunotherapy. Adverse events in clinical trials of CAN-2409, CAN-3110 or any other adenovirus- or HSV-based product candidates which we may develop, or in clinical trials of others developing similar products and the resulting publicity, as well as any other negative developments in the field of immuno-oncology that may occur in the future, including in connection with competitor therapies, could result in a decrease in demand for any adenovirus- or HSV-based product candidates that we may develop. These events could also result in the suspension, discontinuation, or clinical hold of or modification to our clinical trials. If public perception is influenced by claims that the use of viral immunotherapies is unsafe, whether related to our therapies or those of our competitors, our product candidates may not be accepted by the general public or the medical community and potential clinical trial subjects may be discouraged from enrolling in our clinical trials. In addition, responses by national or state governments to negative public perception may result in new legislation or regulations that could limit our ability to develop or commercialize any product candidates, obtain or maintain regulatory approval or otherwise achieve profitability. More restrictive statutory regimes, government regulations or negative public opinion would have an adverse effect on our business, financial condition, prospects and results of operations and may delay or impair the development and commercialization of our product candidates or demand for any products we may develop. As a result, we may not be able to continue or may be delayed in conducting our development programs.</w:t>
      </w:r>
    </w:p>
    <w:p>
      <w:pPr>
        <w:pStyle w:val="TextBody"/>
        <w:spacing w:before="120" w:after="0"/>
        <w:jc w:val="left"/>
        <w:rPr>
          <w:rFonts w:ascii="Arial;sans-serif" w:hAnsi="Arial;sans-serif"/>
          <w:b w:val="false"/>
          <w:sz w:val="19"/>
        </w:rPr>
      </w:pPr>
      <w:r>
        <w:rPr>
          <w:rFonts w:ascii="Arial;sans-serif" w:hAnsi="Arial;sans-serif"/>
          <w:b w:val="false"/>
          <w:sz w:val="19"/>
        </w:rPr>
        <w:t>Our product candidates consist of modified viruses. Adverse developments in clinical trials of other immunotherapy products based on viruses, like oncolytic viruses, may result in a disproportionately negative effect for our technologies as compared to other products in the field of infectious disease and immuno-oncology that are not based on viruses. Future negative developments in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our product candidates.</w:t>
      </w:r>
    </w:p>
    <w:p>
      <w:pPr>
        <w:pStyle w:val="TextBody"/>
        <w:spacing w:before="120" w:after="0"/>
        <w:jc w:val="left"/>
        <w:rPr>
          <w:rFonts w:ascii="Arial;sans-serif" w:hAnsi="Arial;sans-serif"/>
          <w:b/>
          <w:i/>
          <w:sz w:val="19"/>
        </w:rPr>
      </w:pPr>
      <w:r>
        <w:rPr>
          <w:rFonts w:ascii="Arial;sans-serif" w:hAnsi="Arial;sans-serif"/>
          <w:b/>
          <w:i/>
          <w:sz w:val="19"/>
        </w:rPr>
        <w:t>Difficulty in enrolling patients could delay or prevent clinical trials of our product candidates, and ultimately delay or prevent regulatory approval.</w:t>
      </w:r>
    </w:p>
    <w:p>
      <w:pPr>
        <w:pStyle w:val="TextBody"/>
        <w:spacing w:before="120" w:after="0"/>
        <w:jc w:val="left"/>
        <w:rPr>
          <w:rFonts w:ascii="Times New Roman" w:hAnsi="Times New Roman"/>
          <w:sz w:val="20"/>
        </w:rPr>
      </w:pPr>
      <w:r>
        <w:rPr>
          <w:rFonts w:ascii="Arial;sans-serif" w:hAnsi="Arial;sans-serif"/>
          <w:b w:val="false"/>
          <w:sz w:val="19"/>
        </w:rPr>
        <w:t>Identifying and qualifying patients to participate in clinical trials of our product candidates is critical to our success. The timing of completion of our clinical trials depends in part on the speed at which we can recruit patients to participate in testing our product candidates, and we may experience delays in our clinical trials if we encounter difficulties in enrollment. We may not be able to initiate or continue clinical trials for our product candidates if we are unable to locate and enroll a sufficient number of eligible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41</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patients to participate in these trials as required by the FDA or comparable foreign regulatory authorities, or as needed to provide appropriate statistical power for a given trial. In particular, because we are focused on patients with brain cancer for the development of CAN-2409 and CAN-3110 our ability to enroll eligible patients may be limited or enrollment may be slower than we anticipate due to the small eligible patient population. In addition, our ability to enroll patients may be delayed by the COVID-19 pandemic and we are unable to predict the full extent and scope of such delays.</w:t>
      </w:r>
    </w:p>
    <w:p>
      <w:pPr>
        <w:pStyle w:val="TextBody"/>
        <w:spacing w:before="120" w:after="0"/>
        <w:jc w:val="left"/>
        <w:rPr>
          <w:rFonts w:ascii="Arial;sans-serif" w:hAnsi="Arial;sans-serif"/>
          <w:b w:val="false"/>
          <w:sz w:val="19"/>
        </w:rPr>
      </w:pPr>
      <w:r>
        <w:rPr>
          <w:rFonts w:ascii="Arial;sans-serif" w:hAnsi="Arial;sans-serif"/>
          <w:b w:val="false"/>
          <w:sz w:val="19"/>
        </w:rPr>
        <w:t>In addition to the potentially small target populations for our planned clinical trials, particularly in brain cancer, the eligibility criteria will further limit the pool of available trial participants as we will require that patients have specific characteristics, such as a certain severity or stage of disease progression, to include them in a trial. Additionally, the process of finding eligible patients may prove costly. We also may not be able to identify, recruit, and enroll a sufficient number of patients to complete our clinical trials because of the perceived risks and benefits of the product candidate under evaluation, the availability and efficacy of competing therapies and clinical trials, the proximity and availability of clinical trial sites for prospective patients, the availability of genetic sequencing information for patient tumors so that we can identify patients with the targeted genetic mutations, and the patient referral practices of physicians. If patients are unwilling to participate in our studies for any reason, the timeline for recruiting patients, conducting studies, and obtaining regulatory approval of potential products may be delayed.</w:t>
      </w:r>
    </w:p>
    <w:p>
      <w:pPr>
        <w:pStyle w:val="TextBody"/>
        <w:spacing w:before="120" w:after="0"/>
        <w:jc w:val="left"/>
        <w:rPr>
          <w:rFonts w:ascii="Arial;sans-serif" w:hAnsi="Arial;sans-serif"/>
          <w:b w:val="false"/>
          <w:sz w:val="19"/>
        </w:rPr>
      </w:pPr>
      <w:r>
        <w:rPr>
          <w:rFonts w:ascii="Arial;sans-serif" w:hAnsi="Arial;sans-serif"/>
          <w:b w:val="false"/>
          <w:sz w:val="19"/>
        </w:rPr>
        <w:t>The enrollment of patients further depends on many factors, including: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proximity of patients to clinical trial sites;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patient referral practices of physicians;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design of the clinical trial, including the number of site visits and invasive assessments required;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recruit clinical trial investigators with the appropriate competencies and experience;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obtain and maintain patient consents;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reporting of the preliminary results of any of our clinical trials;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risk that patients enrolled in clinical trials will drop out of the clinical trials before clinical trial completion;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factors we may not be able to control, such as the COVID-19 pandemic or any future public health crisis, that may limit patient participation, hiring of principal investigators or staff or clinical site availability.</w:t>
      </w:r>
    </w:p>
    <w:p>
      <w:pPr>
        <w:pStyle w:val="TextBody"/>
        <w:spacing w:before="120" w:after="0"/>
        <w:jc w:val="left"/>
        <w:rPr>
          <w:rFonts w:ascii="Arial;sans-serif" w:hAnsi="Arial;sans-serif"/>
          <w:b w:val="false"/>
          <w:sz w:val="19"/>
        </w:rPr>
      </w:pPr>
      <w:r>
        <w:rPr>
          <w:rFonts w:ascii="Arial;sans-serif" w:hAnsi="Arial;sans-serif"/>
          <w:b w:val="false"/>
          <w:sz w:val="19"/>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clinical trials may instead opt to enroll in a clinical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certain of our product candidates represent a departure from more commonly used methods for cancer treatment and because certain of our product candidates have not been tested in humans before, potential patients and their doctors may be inclined to use conventional therapies, such as chemotherapy, rather than enroll patients in any future clinical trial of our product candidates.</w:t>
      </w:r>
    </w:p>
    <w:p>
      <w:pPr>
        <w:pStyle w:val="TextBody"/>
        <w:spacing w:before="120" w:after="0"/>
        <w:jc w:val="left"/>
        <w:rPr>
          <w:rFonts w:ascii="Arial;sans-serif" w:hAnsi="Arial;sans-serif"/>
          <w:b w:val="false"/>
          <w:sz w:val="19"/>
        </w:rPr>
      </w:pPr>
      <w:r>
        <w:rPr>
          <w:rFonts w:ascii="Arial;sans-serif" w:hAnsi="Arial;sans-serif"/>
          <w:b w:val="false"/>
          <w:sz w:val="19"/>
        </w:rPr>
        <w:t>If we experience delays in the completion of, or termination of, any clinical trial of our product candidates, the commercial prospects of our product candidates will be harmed, and our ability to generate product revenue from any of these product candidates could be delayed or prevented.</w:t>
      </w:r>
    </w:p>
    <w:p>
      <w:pPr>
        <w:pStyle w:val="TextBody"/>
        <w:spacing w:before="120" w:after="0"/>
        <w:jc w:val="left"/>
        <w:rPr>
          <w:rFonts w:ascii="Arial;sans-serif" w:hAnsi="Arial;sans-serif"/>
          <w:b/>
          <w:i/>
          <w:sz w:val="19"/>
        </w:rPr>
      </w:pPr>
      <w:r>
        <w:rPr>
          <w:rFonts w:ascii="Arial;sans-serif" w:hAnsi="Arial;sans-serif"/>
          <w:b/>
          <w:i/>
          <w:sz w:val="19"/>
        </w:rPr>
        <w:t>Even if we receive marketing approval for our current or future product candidates, our current or future product candidates may not achieve broad market acceptance, which would limit the revenue that we generate from their sales.</w:t>
      </w:r>
    </w:p>
    <w:p>
      <w:pPr>
        <w:pStyle w:val="TextBody"/>
        <w:spacing w:before="120" w:after="0"/>
        <w:jc w:val="left"/>
        <w:rPr>
          <w:rFonts w:ascii="Arial;sans-serif" w:hAnsi="Arial;sans-serif"/>
          <w:b w:val="false"/>
          <w:sz w:val="19"/>
        </w:rPr>
      </w:pPr>
      <w:r>
        <w:rPr>
          <w:rFonts w:ascii="Arial;sans-serif" w:hAnsi="Arial;sans-serif"/>
          <w:b w:val="false"/>
          <w:sz w:val="19"/>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Market acceptance of our current or future product candidates, if approved, will depend on a number of factors, including, among others: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to other available medicines;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limitations or warnings contained in the labeling approved for our current or future product candidates by the FDA or other applicable regulatory authorities;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prevalence and severity of adverse events associated with our product candidates or those products with which they may be co-administered in immuno-oncology and, in particular, viral immunotherapies;</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clinical indications for which our current or future product candidates are approved;</w:t>
      </w:r>
    </w:p>
    <w:p>
      <w:pPr>
        <w:pStyle w:val="TextBody"/>
        <w:spacing w:before="240" w:after="0"/>
        <w:jc w:val="center"/>
        <w:rPr>
          <w:rFonts w:ascii="Arial;sans-serif" w:hAnsi="Arial;sans-serif"/>
          <w:b w:val="false"/>
          <w:sz w:val="20"/>
        </w:rPr>
      </w:pPr>
      <w:r>
        <w:rPr>
          <w:rFonts w:ascii="Arial;sans-serif" w:hAnsi="Arial;sans-serif"/>
          <w:b w:val="false"/>
          <w:sz w:val="20"/>
        </w:rPr>
        <w:t>42</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availability of alternative treatments already approved or expected to be commercially launched in the near future;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potential and perceived advantages of our current or future product candidates over current treatment options or alternative treatments, including future alternative treatments;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willingness of the target patient populations to try new therapies or treatment methods and of physicians to prescribe these therapies or methods in immuno-oncology and, in particular, viral immunotherapies;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need to dose such product candidates in combination with other therapeutic agents, and related costs;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strength of marketing and distribution support and timing of market introduction of competitive products;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publicity concerning our products or competing products and treatments;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pricing and cost effectiveness;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effectiveness of our sales and marketing strategies;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increase awareness of our current or future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obtain sufficient third-party coverage or reimbursement;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ability or willingness of patients to pay out-of-pocket in the absence of third-party coverage;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potential product liability claims.</w:t>
      </w:r>
    </w:p>
    <w:p>
      <w:pPr>
        <w:pStyle w:val="TextBody"/>
        <w:spacing w:before="120" w:after="0"/>
        <w:jc w:val="left"/>
        <w:rPr>
          <w:rFonts w:ascii="Arial;sans-serif" w:hAnsi="Arial;sans-serif"/>
          <w:b w:val="false"/>
          <w:sz w:val="19"/>
        </w:rPr>
      </w:pPr>
      <w:r>
        <w:rPr>
          <w:rFonts w:ascii="Arial;sans-serif" w:hAnsi="Arial;sans-serif"/>
          <w:b w:val="false"/>
          <w:sz w:val="19"/>
        </w:rPr>
        <w:t>If our current or future product candidates are approved but do not achieve an adequate level of acceptance by patients, physicians and payors, we may not generate sufficient revenue from our current or future product 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pStyle w:val="TextBody"/>
        <w:spacing w:before="120" w:after="0"/>
        <w:jc w:val="left"/>
        <w:rPr>
          <w:rFonts w:ascii="Arial;sans-serif" w:hAnsi="Arial;sans-serif"/>
          <w:b/>
          <w:i/>
          <w:sz w:val="19"/>
        </w:rPr>
      </w:pPr>
      <w:r>
        <w:rPr>
          <w:rFonts w:ascii="Arial;sans-serif" w:hAnsi="Arial;sans-serif"/>
          <w:b/>
          <w:i/>
          <w:sz w:val="19"/>
        </w:rPr>
        <w:t>We face substantial competition, which may result in others discovering, developing or commercializing product candidates before or more successfully than we do.</w:t>
      </w:r>
    </w:p>
    <w:p>
      <w:pPr>
        <w:pStyle w:val="TextBody"/>
        <w:spacing w:before="120" w:after="0"/>
        <w:jc w:val="left"/>
        <w:rPr>
          <w:rFonts w:ascii="Arial;sans-serif" w:hAnsi="Arial;sans-serif"/>
          <w:b w:val="false"/>
          <w:sz w:val="19"/>
        </w:rPr>
      </w:pPr>
      <w:r>
        <w:rPr>
          <w:rFonts w:ascii="Arial;sans-serif" w:hAnsi="Arial;sans-serif"/>
          <w:b w:val="false"/>
          <w:sz w:val="19"/>
        </w:rPr>
        <w:t>The development and commercialization of new product candidates is highly competitive. We face competition from major pharmaceutical, specialty pharmaceutical and biotechnology companies among others with respect to CAN-2409 and CAN-3110 and will face similar competition with respect to any product candidates that we may seek to develop or commercialize in the future. We compete in pharmaceutical, biotechnology and other related markets that develop immuno-oncology therapies for the treatment of cancer. There are other companies working to develop viral immunotherapies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Bristol-Myers Squibb, Gilead Sciences, Merck, Novartis, Pfizer, Regeneron and Roche/Genentech.</w:t>
      </w:r>
    </w:p>
    <w:p>
      <w:pPr>
        <w:pStyle w:val="TextBody"/>
        <w:spacing w:before="120" w:after="0"/>
        <w:jc w:val="left"/>
        <w:rPr>
          <w:rFonts w:ascii="Arial;sans-serif" w:hAnsi="Arial;sans-serif"/>
          <w:b w:val="false"/>
          <w:sz w:val="19"/>
        </w:rPr>
      </w:pPr>
      <w:r>
        <w:rPr>
          <w:rFonts w:ascii="Arial;sans-serif" w:hAnsi="Arial;sans-serif"/>
          <w:b w:val="false"/>
          <w:sz w:val="19"/>
        </w:rPr>
        <w:t>Some of the products and therapies developed by our competitors are based on scientific approaches that are the same as or similar to our approach, including with respect to the use of viral immunotherapy with adenovirus and HSV. Other competitive products and therapies are based on entirely different approaches. We are aware that Oncorus, Replimune, Amgen, ImmVira, FerGene and IconOVir, among others, are developing viral immunotherapies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spacing w:before="120" w:after="0"/>
        <w:jc w:val="left"/>
        <w:rPr>
          <w:rFonts w:ascii="Arial;sans-serif" w:hAnsi="Arial;sans-serif"/>
          <w:b w:val="false"/>
          <w:sz w:val="19"/>
        </w:rPr>
      </w:pPr>
      <w:r>
        <w:rPr>
          <w:rFonts w:ascii="Arial;sans-serif" w:hAnsi="Arial;sans-serif"/>
          <w:b w:val="false"/>
          <w:sz w:val="19"/>
        </w:rPr>
        <w:t>Many of the companies we compete against or may compete against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concentration of even more resources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pStyle w:val="TextBody"/>
        <w:spacing w:before="120" w:after="0"/>
        <w:jc w:val="left"/>
        <w:rPr>
          <w:rFonts w:ascii="Times New Roman" w:hAnsi="Times New Roman"/>
          <w:sz w:val="20"/>
        </w:rPr>
      </w:pPr>
      <w:r>
        <w:rPr>
          <w:rFonts w:ascii="Arial;sans-serif" w:hAnsi="Arial;sans-serif"/>
          <w:b w:val="false"/>
          <w:sz w:val="19"/>
        </w:rPr>
        <w:t>We could see a reduction or elimination of our commercial opportunity if our competitors develop and commercialize products that are safer, more effective, have fewer or less severe side effects, or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43</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if approved, are likely to be their efficacy, safety, convenience and price, if required, the level of biosimilar or generic competition and the availability of reimbursement from government and other third-party payors.</w:t>
      </w:r>
    </w:p>
    <w:p>
      <w:pPr>
        <w:pStyle w:val="TextBody"/>
        <w:spacing w:before="160" w:after="0"/>
        <w:jc w:val="left"/>
        <w:rPr>
          <w:rFonts w:ascii="Arial;sans-serif" w:hAnsi="Arial;sans-serif"/>
          <w:b/>
          <w:sz w:val="19"/>
        </w:rPr>
      </w:pPr>
      <w:r>
        <w:rPr>
          <w:rFonts w:ascii="Arial;sans-serif" w:hAnsi="Arial;sans-serif"/>
          <w:b/>
          <w:sz w:val="19"/>
        </w:rPr>
        <w:t>Risks Related to Government Regulation and Commercialization of Our Product Candidates</w:t>
      </w:r>
    </w:p>
    <w:p>
      <w:pPr>
        <w:pStyle w:val="TextBody"/>
        <w:spacing w:before="120" w:after="0"/>
        <w:jc w:val="left"/>
        <w:rPr>
          <w:rFonts w:ascii="Arial;sans-serif" w:hAnsi="Arial;sans-serif"/>
          <w:b/>
          <w:i/>
          <w:sz w:val="19"/>
        </w:rPr>
      </w:pPr>
      <w:r>
        <w:rPr>
          <w:rFonts w:ascii="Arial;sans-serif" w:hAnsi="Arial;sans-serif"/>
          <w:b/>
          <w:i/>
          <w:sz w:val="19"/>
        </w:rPr>
        <w:t>The regulatory approval processes of the FDA and comparable foreign regulatory authorities are lengthy, time-consuming and inherently unpredictable. If we are not able to obtain, or experience delays in obtaining, required regulatory approvals, we will not be able to commercialize CAN-2409, CAN-3110 and future product candidates as expected, and our ability to generate revenue may be materially impaired.</w:t>
      </w:r>
    </w:p>
    <w:p>
      <w:pPr>
        <w:pStyle w:val="TextBody"/>
        <w:spacing w:before="120" w:after="0"/>
        <w:jc w:val="left"/>
        <w:rPr>
          <w:rFonts w:ascii="Arial;sans-serif" w:hAnsi="Arial;sans-serif"/>
          <w:b w:val="false"/>
          <w:sz w:val="19"/>
        </w:rPr>
      </w:pPr>
      <w:r>
        <w:rPr>
          <w:rFonts w:ascii="Arial;sans-serif" w:hAnsi="Arial;sans-serif"/>
          <w:b w:val="false"/>
          <w:sz w:val="19"/>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These regulatory requirements may require us to amend our clinical trial protocols, including to comply with the protocols of any applicable SPA we receive from the FDA; conduct additional preclinical studies or clinical trials that may require regulatory or independent IRB approval; or otherwise cause delays in obtaining approval or rejection of an application. Any delay in obtaining or failure to obtain required approvals could materially adversely affect our ability to generate revenue from the particular product candidate, which may materially harm our business, financial condition, results of operations, stock price and prospects.</w:t>
      </w:r>
    </w:p>
    <w:p>
      <w:pPr>
        <w:pStyle w:val="TextBody"/>
        <w:spacing w:before="120" w:after="0"/>
        <w:jc w:val="left"/>
        <w:rPr>
          <w:rFonts w:ascii="Arial;sans-serif" w:hAnsi="Arial;sans-serif"/>
          <w:b w:val="false"/>
          <w:sz w:val="19"/>
        </w:rPr>
      </w:pPr>
      <w:r>
        <w:rPr>
          <w:rFonts w:ascii="Arial;sans-serif" w:hAnsi="Arial;sans-serif"/>
          <w:b w:val="false"/>
          <w:sz w:val="19"/>
        </w:rPr>
        <w:t>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studies or clinical trials, any of which may cause delays or limitations in the approval or a decision not to approve an application. It is possible that CAN-2409, CAN-3110 and future product candidates will never obtain the appropriate regulatory approvals necessary for us to commence product sales.</w:t>
      </w:r>
    </w:p>
    <w:p>
      <w:pPr>
        <w:pStyle w:val="TextBody"/>
        <w:spacing w:before="120" w:after="0"/>
        <w:jc w:val="left"/>
        <w:rPr>
          <w:rFonts w:ascii="Arial;sans-serif" w:hAnsi="Arial;sans-serif"/>
          <w:b w:val="false"/>
          <w:sz w:val="19"/>
        </w:rPr>
      </w:pPr>
      <w:r>
        <w:rPr>
          <w:rFonts w:ascii="Arial;sans-serif" w:hAnsi="Arial;sans-serif"/>
          <w:b w:val="false"/>
          <w:sz w:val="19"/>
        </w:rPr>
        <w:t>If we experience delays in obtaining approval, if we fail to obtain regulatory approval of CAN-2409, CAN-3110 or any future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may be materially impaired.</w:t>
      </w:r>
    </w:p>
    <w:p>
      <w:pPr>
        <w:pStyle w:val="TextBody"/>
        <w:spacing w:before="120" w:after="0"/>
        <w:jc w:val="left"/>
        <w:rPr>
          <w:rFonts w:ascii="Arial;sans-serif" w:hAnsi="Arial;sans-serif"/>
          <w:b w:val="false"/>
          <w:sz w:val="19"/>
        </w:rPr>
      </w:pPr>
      <w:r>
        <w:rPr>
          <w:rFonts w:ascii="Arial;sans-serif" w:hAnsi="Arial;sans-serif"/>
          <w:b w:val="false"/>
          <w:sz w:val="19"/>
        </w:rPr>
        <w:t>CAN-2409, CAN-3110 or future product candidates may cause undesirable side effects or have other properties that could delay or prevent their regulatory approval, limit the commercial profile of an approved label, or result in significant negative consequences following marketing approval, if any. Serious adverse events or undesirable side effects caused by CAN-2409, CAN-3110 and future product candidates could cause us, IRBs, and other reviewing entities or regulatory authorities to interrupt, delay, or halt clinical trials and could result in a more restrictive label or the delay or denial of regulatory approval by the FDA or comparable foreign regulatory authorities. For example, if concerns are raised regarding the safety of a new therapeutic as a result of undesirable side effects identified during clinical or preclinical testing, the FDA or comparable foreign regulatory authority may order us to cease further development, decline to approve the product candidate or issue a letter requesting additional data or information prior to making a final decision regarding whether or not to approve the product candidate. The FDA or comparable foreign regulatory authorities, or IRBs and other reviewing entities,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For example, patients enrolled in our ongoing clinical trials of CAN-2409 and CAN-3110 have experienced mild to moderate adverse events, consisting mainly of flu-like symptoms and injection site reactions. In response to these adverse events, we have implemented prophylactic measures, including intravenous fluids, antiemetics and antipyretics. The FDA’s or a comparable foreign regulatory authority’s requests for additional data or information could also result in substantial delays in the approval of CAN-2409, CAN-3110 and future product candidates.</w:t>
      </w:r>
    </w:p>
    <w:p>
      <w:pPr>
        <w:pStyle w:val="TextBody"/>
        <w:spacing w:before="120" w:after="0"/>
        <w:jc w:val="left"/>
        <w:rPr>
          <w:rFonts w:ascii="Arial;sans-serif" w:hAnsi="Arial;sans-serif"/>
          <w:b w:val="false"/>
          <w:sz w:val="19"/>
        </w:rPr>
      </w:pPr>
      <w:r>
        <w:rPr>
          <w:rFonts w:ascii="Arial;sans-serif" w:hAnsi="Arial;sans-serif"/>
          <w:b w:val="false"/>
          <w:sz w:val="19"/>
        </w:rPr>
        <w:t>Further, clinical trials by their nature utilize a sample of the potential patient population. With a limited number of patients and limited duration of exposure, rare and severe side effects of a product candidate may only be uncovered when a significantly larger number of patients are exposed to the product candidate or when patients are exposed for a longer period of time.</w:t>
      </w:r>
    </w:p>
    <w:p>
      <w:pPr>
        <w:pStyle w:val="TextBody"/>
        <w:spacing w:before="0" w:after="0"/>
        <w:jc w:val="left"/>
        <w:rPr>
          <w:rFonts w:ascii="Times New Roman" w:hAnsi="Times New Roman"/>
          <w:sz w:val="20"/>
        </w:rPr>
      </w:pPr>
      <w:r>
        <w:rPr>
          <w:rFonts w:ascii="Arial;sans-serif" w:hAnsi="Arial;sans-serif"/>
          <w:b w:val="false"/>
          <w:sz w:val="19"/>
        </w:rPr>
        <w:t>Undesirable side effects caused by CAN-2409, CAN-3110 or any future product candidates could also result in denial of regulatory approval by the FDA or comparable foreign regulatory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44</w:t>
      </w:r>
    </w:p>
    <w:p>
      <w:pPr>
        <w:pStyle w:val="HorizontalLine"/>
        <w:rPr/>
      </w:pPr>
      <w:r>
        <w:rPr/>
      </w:r>
    </w:p>
    <w:p>
      <w:pPr>
        <w:pStyle w:val="TextBody"/>
        <w:spacing w:before="0" w:after="0"/>
        <w:jc w:val="left"/>
        <w:rPr>
          <w:rFonts w:ascii="Arial;sans-serif" w:hAnsi="Arial;sans-serif"/>
          <w:b w:val="false"/>
          <w:sz w:val="19"/>
        </w:rPr>
      </w:pPr>
      <w:r>
        <w:rPr>
          <w:rFonts w:ascii="Arial;sans-serif" w:hAnsi="Arial;sans-serif"/>
          <w:b w:val="false"/>
          <w:sz w:val="19"/>
        </w:rPr>
        <w:t>post-marketing testing and surveillance, or other requirements, including the submission of a Risk Evaluation and Mitigation Strategy or REMS, to monitor the safety or efficacy of the products, and in turn prevent us from commercializing and generating revenues from the sale of CAN-2409, CAN-3110 and future product candidates. Any such limitations or restrictions could similarly impact any supplemental marketing approvals we may obtain for CAN-2409 and CAN-3110. Undesirable side effects may limit the potential market for any approved products or could result in restrictions on manufacturing processes, the discontinuation of the sales and marketing of the product, or withdrawal of product approvals. We could also be sued and held liable for harm caused to patients, or become subject to fines, injunctions or the imposition of civil or criminal penalties.</w:t>
      </w:r>
    </w:p>
    <w:p>
      <w:pPr>
        <w:pStyle w:val="TextBody"/>
        <w:spacing w:before="120" w:after="0"/>
        <w:jc w:val="left"/>
        <w:rPr>
          <w:rFonts w:ascii="Arial;sans-serif" w:hAnsi="Arial;sans-serif"/>
          <w:b w:val="false"/>
          <w:sz w:val="19"/>
        </w:rPr>
      </w:pPr>
      <w:r>
        <w:rPr>
          <w:rFonts w:ascii="Arial;sans-serif" w:hAnsi="Arial;sans-serif"/>
          <w:b w:val="false"/>
          <w:sz w:val="19"/>
        </w:rPr>
        <w:t>If CAN-2409, CAN-3110 and future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materially harm our business, financial condition, results of operations, stock price and prospects.</w:t>
      </w:r>
    </w:p>
    <w:p>
      <w:pPr>
        <w:pStyle w:val="TextBody"/>
        <w:spacing w:before="120" w:after="0"/>
        <w:jc w:val="left"/>
        <w:rPr>
          <w:rFonts w:ascii="Arial;sans-serif" w:hAnsi="Arial;sans-serif"/>
          <w:b/>
          <w:i/>
          <w:sz w:val="19"/>
        </w:rPr>
      </w:pPr>
      <w:r>
        <w:rPr>
          <w:rFonts w:ascii="Arial;sans-serif" w:hAnsi="Arial;sans-serif"/>
          <w:b/>
          <w:i/>
          <w:sz w:val="19"/>
        </w:rPr>
        <w:t>The FDA’s agreement to a Special Protocol Assessment with respect to the study design of our pivotal Phase 3 clinical trial of CAN-2409 in newly diagnosed localized prostate cancer in intermediate and high-risk patients does not guarantee any particular outcome from regulatory review, including ultimate approval, and may not lead to a successful review or approval process.</w:t>
      </w:r>
    </w:p>
    <w:p>
      <w:pPr>
        <w:pStyle w:val="TextBody"/>
        <w:spacing w:before="120" w:after="0"/>
        <w:jc w:val="left"/>
        <w:rPr>
          <w:rFonts w:ascii="Arial;sans-serif" w:hAnsi="Arial;sans-serif"/>
          <w:b w:val="false"/>
          <w:sz w:val="19"/>
        </w:rPr>
      </w:pPr>
      <w:r>
        <w:rPr>
          <w:rFonts w:ascii="Arial;sans-serif" w:hAnsi="Arial;sans-serif"/>
          <w:b w:val="false"/>
          <w:sz w:val="19"/>
        </w:rPr>
        <w:t>We have obtained agreement from the FDA on the design and size of our pivotal Phase 3 clinical trial of CAN-2409 in newly diagnosed localized prostate cancer in intermediate- and high-risk patients in combination with the standard of care through a Special Protocol Assessment (SPA).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 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pStyle w:val="TextBody"/>
        <w:spacing w:before="120" w:after="0"/>
        <w:jc w:val="left"/>
        <w:rPr>
          <w:rFonts w:ascii="Arial;sans-serif" w:hAnsi="Arial;sans-serif"/>
          <w:b w:val="false"/>
          <w:sz w:val="19"/>
        </w:rPr>
      </w:pPr>
      <w:r>
        <w:rPr>
          <w:rFonts w:ascii="Arial;sans-serif" w:hAnsi="Arial;sans-serif"/>
          <w:b w:val="false"/>
          <w:sz w:val="19"/>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 While we have obtained an SPA agreement for our Phase 3 clinical trial, we have subsequently made minor amendments to the protocol and have not obtained an SPA amendment in connection with the amended protocol.</w:t>
      </w:r>
    </w:p>
    <w:p>
      <w:pPr>
        <w:pStyle w:val="TextBody"/>
        <w:spacing w:before="120" w:after="0"/>
        <w:jc w:val="left"/>
        <w:rPr>
          <w:rFonts w:ascii="Arial;sans-serif" w:hAnsi="Arial;sans-serif"/>
          <w:b w:val="false"/>
          <w:sz w:val="19"/>
        </w:rPr>
      </w:pPr>
      <w:r>
        <w:rPr>
          <w:rFonts w:ascii="Arial;sans-serif" w:hAnsi="Arial;sans-serif"/>
          <w:b w:val="false"/>
          <w:sz w:val="19"/>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pStyle w:val="TextBody"/>
        <w:spacing w:before="120" w:after="0"/>
        <w:jc w:val="left"/>
        <w:rPr>
          <w:rFonts w:ascii="Arial;sans-serif" w:hAnsi="Arial;sans-serif"/>
          <w:b w:val="false"/>
          <w:sz w:val="19"/>
        </w:rPr>
      </w:pPr>
      <w:r>
        <w:rPr>
          <w:rFonts w:ascii="Arial;sans-serif" w:hAnsi="Arial;sans-serif"/>
          <w:b w:val="false"/>
          <w:sz w:val="19"/>
        </w:rPr>
        <w:t>Moreover, if the FDA revokes or alters its agreement under the SPA, or interprets the data collected from the clinical trial differently than we do, the FDA may not deem the data sufficient to support an application for regulatory approval of CAN-2409 in prostate cancer.</w:t>
      </w:r>
    </w:p>
    <w:p>
      <w:pPr>
        <w:pStyle w:val="TextBody"/>
        <w:spacing w:before="120" w:after="0"/>
        <w:jc w:val="left"/>
        <w:rPr>
          <w:rFonts w:ascii="Arial;sans-serif" w:hAnsi="Arial;sans-serif"/>
          <w:b/>
          <w:i/>
          <w:sz w:val="19"/>
        </w:rPr>
      </w:pPr>
      <w:r>
        <w:rPr>
          <w:rFonts w:ascii="Arial;sans-serif" w:hAnsi="Arial;sans-serif"/>
          <w:b/>
          <w:i/>
          <w:sz w:val="19"/>
        </w:rPr>
        <w:t>A fast track designation by the FDA, even though granted for CAN-2409, or if received for any other future product candidates, may not lead to a faster development or regulatory review or approval process, and does not increase the likelihood that our product candidates will receive marketing approval.</w:t>
      </w:r>
    </w:p>
    <w:p>
      <w:pPr>
        <w:pStyle w:val="TextBody"/>
        <w:spacing w:before="120" w:after="0"/>
        <w:jc w:val="left"/>
        <w:rPr>
          <w:rFonts w:ascii="Times New Roman" w:hAnsi="Times New Roman"/>
          <w:sz w:val="20"/>
        </w:rPr>
      </w:pPr>
      <w:r>
        <w:rPr>
          <w:rFonts w:ascii="Arial;sans-serif" w:hAnsi="Arial;sans-serif"/>
          <w:b w:val="false"/>
          <w:sz w:val="19"/>
        </w:rPr>
        <w:t>If a drug or biologic is intended for the treatment of a serious or life-threatening condition and the product demonstrates the potential to address unmet medical needs for this condition, the product sponsor may apply for FDA fast track designation for a particular indication. We have been granted fast track designation for the use of CAN-2409 for the treatment of localized, primary prostate cancer in combination with radiation therapy to improve the local control rate and with valacyclovir in combination with pembrolizumab in order to improve survival or delay progression in patients with stage III/IV NSCLC who are resistant to first line PD-(L)1 inhibitor therapy and who do not have activating molecular driver mutations or have progressed on directed molecular therapy. We may also seek fast track designation for CAN-3110 or certain of our future product candidates or for CAN-2409 in additional indications, as appropriate. However, there is no assurance that the FDA will grant this status to CAN-3110, CAN-2409, or any of our proposed product candidates. Marketing applications filed by sponsors of products in fast track development may qualify for priority review under the policies and procedures offered by the FDA, but the fast track</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45</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designation does not assure any such qualification or ultimate marketing approval by the FDA. The FDA has broad discretion whether or not to grant fast track designation, so even if we believe a particular product candidate is eligible for this designation, there can be no assurance that the FDA would decide to grant it. Even though we have received fast track designation for CAN-2409 and even if we do receive fast track designation for CAN-3110 or any other of our future product candidates or for CAN-2409 in additional indications,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In addition, the FDA may withdraw any fast track designation at any time.</w:t>
      </w:r>
    </w:p>
    <w:p>
      <w:pPr>
        <w:pStyle w:val="TextBody"/>
        <w:spacing w:before="120" w:after="0"/>
        <w:jc w:val="left"/>
        <w:rPr>
          <w:rFonts w:ascii="Arial;sans-serif" w:hAnsi="Arial;sans-serif"/>
          <w:b/>
          <w:i/>
          <w:sz w:val="19"/>
        </w:rPr>
      </w:pPr>
      <w:r>
        <w:rPr>
          <w:rFonts w:ascii="Arial;sans-serif" w:hAnsi="Arial;sans-serif"/>
          <w:b/>
          <w:i/>
          <w:sz w:val="19"/>
        </w:rPr>
        <w:t>A breakthrough therapy designation by the FDA, even if granted for any of our product candidates, may not lead to a faster development or regulatory review or approval process and it does not increase the likelihood that our product candidates will receive marketing approval.</w:t>
      </w:r>
    </w:p>
    <w:p>
      <w:pPr>
        <w:pStyle w:val="TextBody"/>
        <w:spacing w:before="120" w:after="0"/>
        <w:jc w:val="left"/>
        <w:rPr>
          <w:rFonts w:ascii="Arial;sans-serif" w:hAnsi="Arial;sans-serif"/>
          <w:b w:val="false"/>
          <w:sz w:val="19"/>
        </w:rPr>
      </w:pPr>
      <w:r>
        <w:rPr>
          <w:rFonts w:ascii="Arial;sans-serif" w:hAnsi="Arial;sans-serif"/>
          <w:b w:val="false"/>
          <w:sz w:val="19"/>
        </w:rPr>
        <w:t>We may seek breakthrough therapy designation for some or all of our future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Sponsors of product candidates that have been designated as breakthrough therapies are eligible to receive more intensive FDA guidance on developing an efficient drug development program, an organizational commitment involving senior managers, and eligibility for rolling review and priority review. Drugs and biologics designated as breakthrough therapies by the FDA may also be eligible for other expedited approval programs, including accelerated approval.</w:t>
      </w:r>
    </w:p>
    <w:p>
      <w:pPr>
        <w:pStyle w:val="TextBody"/>
        <w:spacing w:before="120" w:after="0"/>
        <w:jc w:val="left"/>
        <w:rPr>
          <w:rFonts w:ascii="Arial;sans-serif" w:hAnsi="Arial;sans-serif"/>
          <w:b w:val="false"/>
          <w:sz w:val="19"/>
        </w:rPr>
      </w:pPr>
      <w:r>
        <w:rPr>
          <w:rFonts w:ascii="Arial;sans-serif" w:hAnsi="Arial;sans-serif"/>
          <w:b w:val="false"/>
          <w:sz w:val="19"/>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developed and considered for approval that have not received breakthrough therapy designation and does not assure ultimate approval by the FDA. In addition, even if one or more of our product candidates qualify as breakthrough therapies, the FDA may later decide that the product no longer meets the conditions for qualification. Thus, even though we may seek breakthrough therapy designation for CAN-2409, CAN-3110 or some or all of our future product candidates for the treatment of various cancers, there can be no assurance that we will receive breakthrough therapy designation.</w:t>
      </w:r>
    </w:p>
    <w:p>
      <w:pPr>
        <w:pStyle w:val="TextBody"/>
        <w:spacing w:before="120" w:after="0"/>
        <w:jc w:val="left"/>
        <w:rPr>
          <w:rFonts w:ascii="Arial;sans-serif" w:hAnsi="Arial;sans-serif"/>
          <w:b/>
          <w:i/>
          <w:sz w:val="19"/>
        </w:rPr>
      </w:pPr>
      <w:r>
        <w:rPr>
          <w:rFonts w:ascii="Arial;sans-serif" w:hAnsi="Arial;sans-serif"/>
          <w:b/>
          <w:i/>
          <w:sz w:val="19"/>
        </w:rPr>
        <w:t>Accelerated approval by the FDA, even if granted for certain of our current or future product candidates, may not lead to a faster development or regulatory review or approval process and it does not increase the likelihood that our product candidates will receive marketing approval.</w:t>
      </w:r>
    </w:p>
    <w:p>
      <w:pPr>
        <w:pStyle w:val="TextBody"/>
        <w:spacing w:before="120" w:after="0"/>
        <w:jc w:val="left"/>
        <w:rPr>
          <w:rFonts w:ascii="Arial;sans-serif" w:hAnsi="Arial;sans-serif"/>
          <w:b w:val="false"/>
          <w:sz w:val="19"/>
        </w:rPr>
      </w:pPr>
      <w:r>
        <w:rPr>
          <w:rFonts w:ascii="Arial;sans-serif" w:hAnsi="Arial;sans-serif"/>
          <w:b w:val="false"/>
          <w:sz w:val="19"/>
        </w:rPr>
        <w:t>We may seek approval of certain of our current or future product candidates using the FDA’s accelerated approval pathway. A product may be eligible for accelerated approval if it treats a serious or life-threatening condition, generally provides a meaningful advantage over available therapies, and demonstrates an effect on a surrogate endpoint that is reasonably likely to predict clinical benefit. As a condition of approval, the FDA may require that a sponsor of a product receiving accelerated approval perform adequate and well-controlled post-marketing clinical trials. These confirmatory trials must be completed with due diligence by the sponsor and, under the Food and Drug Omnibus Report Act of 2022 (FDORA), the FDA is permitted to require, as appropriate, that such trials be underway prior to approval or within a specified time period after the date accelerated approval is granted. FDORA also requires sponsors to send updates to the FDA every 180 days on the status of such confirmatory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trials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that the product's accelerated approval will eventually be converted to a traditional FDA approval.</w:t>
      </w:r>
    </w:p>
    <w:p>
      <w:pPr>
        <w:pStyle w:val="TextBody"/>
        <w:spacing w:before="120" w:after="0"/>
        <w:jc w:val="left"/>
        <w:rPr>
          <w:rFonts w:ascii="Arial;sans-serif" w:hAnsi="Arial;sans-serif"/>
          <w:b/>
          <w:i/>
          <w:sz w:val="19"/>
        </w:rPr>
      </w:pPr>
      <w:r>
        <w:rPr>
          <w:rFonts w:ascii="Arial;sans-serif" w:hAnsi="Arial;sans-serif"/>
          <w:b/>
          <w:i/>
          <w:sz w:val="19"/>
        </w:rPr>
        <w:t>Even if our development efforts are successful, we may not obtain regulatory approval of CAN-2409, CAN-3110 or any future product candidates in the United States or other jurisdictions, which would prevent us from commercializing CAN-2409, CAN-3110 and future product candidates. Even if we obtain regulatory approval for CAN-2409, CAN-3110 and future product candidates, any such approval may be subject to limitations, including with respect to the approved indications or patient populations, which could impair our ability to successfully commercialize CAN-2409, CAN-3110 or any future product candidates.</w:t>
      </w:r>
    </w:p>
    <w:p>
      <w:pPr>
        <w:pStyle w:val="TextBody"/>
        <w:spacing w:before="120" w:after="0"/>
        <w:jc w:val="left"/>
        <w:rPr>
          <w:rFonts w:ascii="Times New Roman" w:hAnsi="Times New Roman"/>
          <w:sz w:val="20"/>
        </w:rPr>
      </w:pPr>
      <w:r>
        <w:rPr>
          <w:rFonts w:ascii="Arial;sans-serif" w:hAnsi="Arial;sans-serif"/>
          <w:b w:val="false"/>
          <w:sz w:val="19"/>
        </w:rPr>
        <w:t>We are not permitted to market or promote or sell CAN-2409, CAN-3110 or any future product candidates before we receive regulatory approval from the FDA or comparable foreign regulatory authorities, and we may never receive such regulatory</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46</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approval.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CAN-2409, CAN-3110 and future product candidates, we will not be able to commercialize such product candidates in the United States or in other jurisdictions. If significant delays in obtaining approval for and commercializing CAN-2409, CAN-3110 and future product candidates occur in any jurisdictions, our business, financial condition, results of operations, stock price and prospects will be materially harmed. Even if CAN-2409, CAN-3110 and future product candidates are approved, they may:</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be subject to limitations on the indicated uses or patient populations for which they may be marketed, distribution restrictions, or other conditions of approval;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not be approved with label statements necessary or desirable for successful commercialization; or</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contain requirements for costly post-market testing and surveillance, or other requirements, including the submission of a REMS, to monitor the safety or efficacy of the products.</w:t>
      </w:r>
    </w:p>
    <w:p>
      <w:pPr>
        <w:pStyle w:val="TextBody"/>
        <w:spacing w:before="120" w:after="0"/>
        <w:jc w:val="left"/>
        <w:rPr>
          <w:rFonts w:ascii="Arial;sans-serif" w:hAnsi="Arial;sans-serif"/>
          <w:b w:val="false"/>
          <w:sz w:val="19"/>
        </w:rPr>
      </w:pPr>
      <w:r>
        <w:rPr>
          <w:rFonts w:ascii="Arial;sans-serif" w:hAnsi="Arial;sans-serif"/>
          <w:b w:val="false"/>
          <w:sz w:val="19"/>
        </w:rPr>
        <w:t>We have not previously submitted a Biologics License Application (BLA), to the FDA, or a similar marketing application to comparable foreign regulatory authorities, for CAN-2409, CAN-3110 or any product candidate, and we can provide no assurance that we will ultimately be successful in obtaining regulatory approval for claims that are necessary or desirable for successful marketing, if at all.</w:t>
      </w:r>
    </w:p>
    <w:p>
      <w:pPr>
        <w:pStyle w:val="TextBody"/>
        <w:spacing w:before="120" w:after="0"/>
        <w:jc w:val="left"/>
        <w:rPr>
          <w:rFonts w:ascii="Arial;sans-serif" w:hAnsi="Arial;sans-serif"/>
          <w:b/>
          <w:i/>
          <w:sz w:val="19"/>
        </w:rPr>
      </w:pPr>
      <w:r>
        <w:rPr>
          <w:rFonts w:ascii="Arial;sans-serif" w:hAnsi="Arial;sans-serif"/>
          <w:b/>
          <w:i/>
          <w:sz w:val="19"/>
        </w:rPr>
        <w:t>Changes in product candidate manufacturing or formulation may result in additional costs or delay.</w:t>
      </w:r>
    </w:p>
    <w:p>
      <w:pPr>
        <w:pStyle w:val="TextBody"/>
        <w:spacing w:before="120" w:after="0"/>
        <w:jc w:val="left"/>
        <w:rPr>
          <w:rFonts w:ascii="Arial;sans-serif" w:hAnsi="Arial;sans-serif"/>
          <w:b w:val="false"/>
          <w:sz w:val="19"/>
        </w:rPr>
      </w:pPr>
      <w:r>
        <w:rPr>
          <w:rFonts w:ascii="Arial;sans-serif" w:hAnsi="Arial;sans-serif"/>
          <w:b w:val="false"/>
          <w:sz w:val="19"/>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Any of these changes could cause CAN-2409, CAN-3110 or any future product candidates to perform differently and affect the results of planned clinical trials or other future clinical trials conducted with the altered materials. Changes in third-party manufacturers and manufacturing processes may also require additional testing, or notification to, or approval by the FDA or a comparable foreign regulatory authority. Such changes could be further delayed due to development of clinical-scale manufacturing and commercial-scale manufacturing operations. This could delay completion of clinical trials, require the conduct of bridging clinical trials or studies, require the repetition of one or more clinical trials, increase clinical trial costs, delay approval of CAN-2409, CAN-3110 and future product candidates and jeopardize our ability to commence product sales and generate revenue.</w:t>
      </w:r>
    </w:p>
    <w:p>
      <w:pPr>
        <w:pStyle w:val="TextBody"/>
        <w:spacing w:before="120" w:after="0"/>
        <w:jc w:val="left"/>
        <w:rPr>
          <w:rFonts w:ascii="Arial;sans-serif" w:hAnsi="Arial;sans-serif"/>
          <w:b/>
          <w:i/>
          <w:sz w:val="19"/>
        </w:rPr>
      </w:pPr>
      <w:r>
        <w:rPr>
          <w:rFonts w:ascii="Arial;sans-serif" w:hAnsi="Arial;sans-serif"/>
          <w:b/>
          <w:i/>
          <w:sz w:val="19"/>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spacing w:before="120" w:after="0"/>
        <w:jc w:val="left"/>
        <w:rPr>
          <w:rFonts w:ascii="Arial;sans-serif" w:hAnsi="Arial;sans-serif"/>
          <w:b w:val="false"/>
          <w:sz w:val="19"/>
        </w:rPr>
      </w:pPr>
      <w:r>
        <w:rPr>
          <w:rFonts w:ascii="Arial;sans-serif" w:hAnsi="Arial;sans-serif"/>
          <w:b w:val="false"/>
          <w:sz w:val="19"/>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spacing w:before="120" w:after="0"/>
        <w:jc w:val="left"/>
        <w:rPr>
          <w:rFonts w:ascii="Arial;sans-serif" w:hAnsi="Arial;sans-serif"/>
          <w:b w:val="false"/>
          <w:sz w:val="19"/>
        </w:rPr>
      </w:pPr>
      <w:r>
        <w:rPr>
          <w:rFonts w:ascii="Arial;sans-serif" w:hAnsi="Arial;sans-serif"/>
          <w:b w:val="false"/>
          <w:sz w:val="19"/>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pStyle w:val="TextBody"/>
        <w:spacing w:before="120" w:after="0"/>
        <w:jc w:val="left"/>
        <w:rPr>
          <w:rFonts w:ascii="Arial;sans-serif" w:hAnsi="Arial;sans-serif"/>
          <w:b w:val="false"/>
          <w:sz w:val="19"/>
        </w:rPr>
      </w:pPr>
      <w:r>
        <w:rPr>
          <w:rFonts w:ascii="Arial;sans-serif" w:hAnsi="Arial;sans-serif"/>
          <w:b w:val="false"/>
          <w:sz w:val="19"/>
        </w:rPr>
        <w:t>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spacing w:before="120" w:after="0"/>
        <w:jc w:val="left"/>
        <w:rPr>
          <w:rFonts w:ascii="Arial;sans-serif" w:hAnsi="Arial;sans-serif"/>
          <w:b/>
          <w:i/>
          <w:sz w:val="19"/>
        </w:rPr>
      </w:pPr>
      <w:r>
        <w:rPr>
          <w:rFonts w:ascii="Arial;sans-serif" w:hAnsi="Arial;sans-serif"/>
          <w:b/>
          <w:i/>
          <w:sz w:val="19"/>
        </w:rPr>
        <w:t>Even if CAN-2409, CAN-3110 or any future product candidates receive regulatory approval, we will be subject to ongoing obligations and continued regulatory review, which may result in significant additional expense and limit how we manufacture and market our products.</w:t>
      </w:r>
    </w:p>
    <w:p>
      <w:pPr>
        <w:pStyle w:val="TextBody"/>
        <w:spacing w:before="120" w:after="0"/>
        <w:jc w:val="left"/>
        <w:rPr>
          <w:rFonts w:ascii="Times New Roman" w:hAnsi="Times New Roman"/>
          <w:sz w:val="20"/>
        </w:rPr>
      </w:pPr>
      <w:r>
        <w:rPr>
          <w:rFonts w:ascii="Arial;sans-serif" w:hAnsi="Arial;sans-serif"/>
          <w:b w:val="false"/>
          <w:sz w:val="19"/>
        </w:rPr>
        <w:t>Any product candidate for which we may obtain marketing approval will be subject to extensive and ongoing requirements of and review by the FDA and comparable foreign regulatory authorities, including requirements related to the manufacturing</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47</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current good manufacturing practice (cGMP), requirements relating to manufacturing, quality control, quality assurance, and corresponding maintenance of records and documents, and good clinical practices (GCPs), for any clinical trials that we conduct post-approval.</w:t>
      </w:r>
    </w:p>
    <w:p>
      <w:pPr>
        <w:pStyle w:val="TextBody"/>
        <w:spacing w:before="120" w:after="0"/>
        <w:jc w:val="left"/>
        <w:rPr>
          <w:rFonts w:ascii="Arial;sans-serif" w:hAnsi="Arial;sans-serif"/>
          <w:b w:val="false"/>
          <w:sz w:val="19"/>
        </w:rPr>
      </w:pPr>
      <w:r>
        <w:rPr>
          <w:rFonts w:ascii="Arial;sans-serif" w:hAnsi="Arial;sans-serif"/>
          <w:b w:val="false"/>
          <w:sz w:val="19"/>
        </w:rPr>
        <w:t>The FDA and comparable foreign regulatory authorities will continue to closely monitor the safety profile of any product even after approval. If the FDA or comparable foreign regulatory authorities become aware of new safety information after approval of any of CAN-2409, CAN-3110 and future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pStyle w:val="TextBody"/>
        <w:spacing w:before="120" w:after="0"/>
        <w:jc w:val="left"/>
        <w:rPr>
          <w:rFonts w:ascii="Arial;sans-serif" w:hAnsi="Arial;sans-serif"/>
          <w:b w:val="false"/>
          <w:sz w:val="19"/>
        </w:rPr>
      </w:pPr>
      <w:r>
        <w:rPr>
          <w:rFonts w:ascii="Arial;sans-serif" w:hAnsi="Arial;sans-serif"/>
          <w:b w:val="false"/>
          <w:sz w:val="19"/>
        </w:rPr>
        <w:t>We and any of our suppliers or collaborators, including our CMOs, could be subject to periodic unannounced inspections by the FDA to monitor and ensure compliance with cGMPs and other FDA regulatory requirements.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Application holders must further notify the FDA, and depending on the nature of the change, obtain FDA pre-approval for product and manufacturing changes.</w:t>
      </w:r>
    </w:p>
    <w:p>
      <w:pPr>
        <w:pStyle w:val="TextBody"/>
        <w:spacing w:before="120" w:after="0"/>
        <w:jc w:val="left"/>
        <w:rPr>
          <w:rFonts w:ascii="Arial;sans-serif" w:hAnsi="Arial;sans-serif"/>
          <w:b w:val="false"/>
          <w:sz w:val="19"/>
        </w:rPr>
      </w:pPr>
      <w:r>
        <w:rPr>
          <w:rFonts w:ascii="Arial;sans-serif" w:hAnsi="Arial;sans-serif"/>
          <w:b w:val="false"/>
          <w:sz w:val="19"/>
        </w:rPr>
        <w:t>In addition, later discovery of previously unknown adverse events or that the product is less effective than previously thought or other problems with any products, manufacturers or manufacturing processes, or failure to comply with regulatory requirements both before and after approval, may yield various negative results, including: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restrictions on manufacturing, distribution, or marketing of such products;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restrictions on the labeling, including required additional warnings, such as boxed warnings, contraindications, precautions, and restrictions on the approved indication or use;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manufacturing delays and supply disruptions where regulatory inspections identify observations of noncompliance requiring remediation;</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modifications to promotional pieces;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issuance of corrective information;</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requirements to conduct post-marketing studies or other clinical trials;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clinical holds or termination of clinical trials;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requirements to establish or modify a REMS or similar strategy;</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changes to the way the product is administered to patients;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liability for harm caused to patients or subjects;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reputational harm;</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product becoming less competitive;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warning or untitled letters;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suspension of marketing or withdrawal of the products from the market;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regulatory authority issuance of safety alerts, Dear Healthcare Provider letters, press releases, or other communications containing warnings or other safety information about the product;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refusal to approve pending applications or supplements to approved applications that we submit;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recalls of products;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fines, restitution or disgorgement of profits or revenues;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suspension or withdrawal of marketing approvals;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refusal to permit the import or export of our products;</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product seizure or detention;</w:t>
      </w:r>
    </w:p>
    <w:p>
      <w:pPr>
        <w:pStyle w:val="TextBody"/>
        <w:spacing w:before="240" w:after="0"/>
        <w:jc w:val="center"/>
        <w:rPr>
          <w:rFonts w:ascii="Arial;sans-serif" w:hAnsi="Arial;sans-serif"/>
          <w:b w:val="false"/>
          <w:sz w:val="20"/>
        </w:rPr>
      </w:pPr>
      <w:r>
        <w:rPr>
          <w:rFonts w:ascii="Arial;sans-serif" w:hAnsi="Arial;sans-serif"/>
          <w:b w:val="false"/>
          <w:sz w:val="20"/>
        </w:rPr>
        <w:t>48</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FDA debarment, suspension and debarment from government contracts, and refusal of orders under existing government contracts, exclusion from federal healthcare programs, consent decrees, or corporate integrity agreements; or</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injunctions or the imposition of civil, criminal or administrative penalties, including imprisonment.</w:t>
      </w:r>
    </w:p>
    <w:p>
      <w:pPr>
        <w:pStyle w:val="TextBody"/>
        <w:spacing w:before="120" w:after="0"/>
        <w:jc w:val="left"/>
        <w:rPr>
          <w:rFonts w:ascii="Arial;sans-serif" w:hAnsi="Arial;sans-serif"/>
          <w:b w:val="false"/>
          <w:sz w:val="19"/>
        </w:rPr>
      </w:pPr>
      <w:r>
        <w:rPr>
          <w:rFonts w:ascii="Arial;sans-serif" w:hAnsi="Arial;sans-serif"/>
          <w:b w:val="false"/>
          <w:sz w:val="19"/>
        </w:rPr>
        <w:t>Any of these events could prevent us from achieving or maintaining market acceptance of any particular product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pStyle w:val="TextBody"/>
        <w:spacing w:before="120" w:after="0"/>
        <w:jc w:val="left"/>
        <w:rPr>
          <w:rFonts w:ascii="Arial;sans-serif" w:hAnsi="Arial;sans-serif"/>
          <w:b w:val="false"/>
          <w:sz w:val="19"/>
        </w:rPr>
      </w:pPr>
      <w:r>
        <w:rPr>
          <w:rFonts w:ascii="Arial;sans-serif" w:hAnsi="Arial;sans-serif"/>
          <w:b w:val="false"/>
          <w:sz w:val="19"/>
        </w:rPr>
        <w:t>Further, the FDA’s policies or those of comparable foreign regulatory authorities may change and could impose extensive and ongoing regulatory requirements and obligations on any product candidate for which we obtain marketing approval.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 which would adversely affect our business, prospects and ability to achieve or sustain profitability.</w:t>
      </w:r>
    </w:p>
    <w:p>
      <w:pPr>
        <w:pStyle w:val="TextBody"/>
        <w:spacing w:before="120" w:after="0"/>
        <w:jc w:val="left"/>
        <w:rPr>
          <w:rFonts w:ascii="Arial;sans-serif" w:hAnsi="Arial;sans-serif"/>
          <w:b/>
          <w:i/>
          <w:sz w:val="19"/>
        </w:rPr>
      </w:pPr>
      <w:r>
        <w:rPr>
          <w:rFonts w:ascii="Arial;sans-serif" w:hAnsi="Arial;sans-serif"/>
          <w:b/>
          <w:i/>
          <w:sz w:val="19"/>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our products for unapproved or “off-label” uses, or in a manner inconsistent with the approved labeling, resulting in damage to our reputation and business.</w:t>
      </w:r>
    </w:p>
    <w:p>
      <w:pPr>
        <w:pStyle w:val="TextBody"/>
        <w:spacing w:before="120" w:after="0"/>
        <w:jc w:val="left"/>
        <w:rPr>
          <w:rFonts w:ascii="Arial;sans-serif" w:hAnsi="Arial;sans-serif"/>
          <w:b w:val="false"/>
          <w:sz w:val="19"/>
        </w:rPr>
      </w:pPr>
      <w:r>
        <w:rPr>
          <w:rFonts w:ascii="Arial;sans-serif" w:hAnsi="Arial;sans-serif"/>
          <w:b w:val="false"/>
          <w:sz w:val="19"/>
        </w:rPr>
        <w:t>We must comply with requirements concerning advertising and promotion for any product candidates for which we obtain marketing approval. Promotional communications with respect to therapeutics are subject to a variety of legal and regulatory restrictions and continuing review by the FDA, Department of Justice, the Office of Inspector General for the Department of Health and Human Services (HHS),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CAN-2409, CAN-3110 and future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including claims comparing those products to other companies’ products, and must abide by the FDA’s strict requirements regarding the content of promotion and advertising.</w:t>
      </w:r>
    </w:p>
    <w:p>
      <w:pPr>
        <w:pStyle w:val="TextBody"/>
        <w:spacing w:before="120" w:after="0"/>
        <w:jc w:val="left"/>
        <w:rPr>
          <w:rFonts w:ascii="Arial;sans-serif" w:hAnsi="Arial;sans-serif"/>
          <w:b w:val="false"/>
          <w:sz w:val="19"/>
        </w:rPr>
      </w:pPr>
      <w:r>
        <w:rPr>
          <w:rFonts w:ascii="Arial;sans-serif" w:hAnsi="Arial;sans-serif"/>
          <w:b w:val="false"/>
          <w:sz w:val="19"/>
        </w:rPr>
        <w:t>Physicians may choose to prescribe products for uses that are not described in the product’s labeling and for uses that differ from those tested in clinical trials and approved by the regulatory authorities. Regulatory authorities in the United States generally do not restrict or regulate the behavior of physicians in their choice of treatment within the practice of medicine. Regulatory authorities do, however, restrict communications by biopharmaceutical companies concerning off-label use.</w:t>
      </w:r>
    </w:p>
    <w:p>
      <w:pPr>
        <w:pStyle w:val="TextBody"/>
        <w:spacing w:before="120" w:after="0"/>
        <w:jc w:val="left"/>
        <w:rPr>
          <w:rFonts w:ascii="Arial;sans-serif" w:hAnsi="Arial;sans-serif"/>
          <w:b w:val="false"/>
          <w:sz w:val="19"/>
        </w:rPr>
      </w:pPr>
      <w:r>
        <w:rPr>
          <w:rFonts w:ascii="Arial;sans-serif" w:hAnsi="Arial;sans-serif"/>
          <w:b w:val="false"/>
          <w:sz w:val="19"/>
        </w:rPr>
        <w:t>If we are found to have impermissibly promoted any of CAN-2409, CAN-3110 and future product candidates,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In the United States, engaging in the impermissible promotion of any products,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lawsuits against manufacturers of drugs and biologics have increased significantly in volume and breadth, leading to several substantial civil and criminal settlements pertaining to certain sales practices and promoting off-label uses. In addition, False Claims Act lawsuits may expose manufacturers to follow-on claims by private payers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pStyle w:val="TextBody"/>
        <w:spacing w:before="120" w:after="0"/>
        <w:jc w:val="left"/>
        <w:rPr>
          <w:rFonts w:ascii="Times New Roman" w:hAnsi="Times New Roman"/>
          <w:sz w:val="20"/>
        </w:rPr>
      </w:pPr>
      <w:r>
        <w:rPr>
          <w:rFonts w:ascii="Arial;sans-serif" w:hAnsi="Arial;sans-serif"/>
          <w:b w:val="false"/>
          <w:sz w:val="19"/>
        </w:rPr>
        <w:t>In the United States, the promotion of biopharmaceutical products is subject to additional FDA requirements and restrictions on promotional statements. If, after CAN-2409, CAN-3110 or any future product candidates obtains marketing approval, the FDA</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49</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pStyle w:val="TextBody"/>
        <w:spacing w:before="120" w:after="0"/>
        <w:jc w:val="left"/>
        <w:rPr>
          <w:rFonts w:ascii="Arial;sans-serif" w:hAnsi="Arial;sans-serif"/>
          <w:b/>
          <w:i/>
          <w:sz w:val="19"/>
        </w:rPr>
      </w:pPr>
      <w:r>
        <w:rPr>
          <w:rFonts w:ascii="Arial;sans-serif" w:hAnsi="Arial;sans-serif"/>
          <w:b/>
          <w:i/>
          <w:sz w:val="19"/>
        </w:rPr>
        <w:t>We may not be able to file INDs or IND amendments to commence additional clinical trials on the timelines we expect, and even if we are able to, the FDA or a comparable foreign regulatory may not permit us to proceed.</w:t>
      </w:r>
    </w:p>
    <w:p>
      <w:pPr>
        <w:pStyle w:val="TextBody"/>
        <w:spacing w:before="120" w:after="0"/>
        <w:jc w:val="left"/>
        <w:rPr>
          <w:rFonts w:ascii="Arial;sans-serif" w:hAnsi="Arial;sans-serif"/>
          <w:b w:val="false"/>
          <w:sz w:val="19"/>
        </w:rPr>
      </w:pPr>
      <w:r>
        <w:rPr>
          <w:rFonts w:ascii="Arial;sans-serif" w:hAnsi="Arial;sans-serif"/>
          <w:b w:val="false"/>
          <w:sz w:val="19"/>
        </w:rPr>
        <w:t>The FDA or comparable foreign regulatory authorities may require us to file separate INDs for additional clinical trials we plan to conduct with our current lead product candidates, CAN-2409 and CAN-3110. We may not be able to file any additional INDs required for our current product candidates and any future product candidates on the timelines we expect. For example, we may experience delays if we are unable to access earlier data from inactive or withdrawn INDs. Moreover, we cannot be sure that submission of an IND will result in the FDA or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expected timelines to obtain regulatory approvals for our trials may prevent us from completing our clinical trials or commercializing our products on a timely basis, if at all. There are similar risks related to the review and authorization of our protocols and amendments by comparable foreign regulatory authorities.</w:t>
      </w:r>
    </w:p>
    <w:p>
      <w:pPr>
        <w:pStyle w:val="TextBody"/>
        <w:spacing w:before="120" w:after="0"/>
        <w:jc w:val="left"/>
        <w:rPr>
          <w:rFonts w:ascii="Arial;sans-serif" w:hAnsi="Arial;sans-serif"/>
          <w:b/>
          <w:i/>
          <w:sz w:val="19"/>
        </w:rPr>
      </w:pPr>
      <w:r>
        <w:rPr>
          <w:rFonts w:ascii="Arial;sans-serif" w:hAnsi="Arial;sans-serif"/>
          <w:b/>
          <w:i/>
          <w:sz w:val="19"/>
        </w:rPr>
        <w:t>If approved, our investigational products regulated as biologics may face competition from biosimilars approved through an abbreviated regulatory pathway.</w:t>
      </w:r>
    </w:p>
    <w:p>
      <w:pPr>
        <w:pStyle w:val="TextBody"/>
        <w:spacing w:before="120" w:after="0"/>
        <w:jc w:val="left"/>
        <w:rPr>
          <w:rFonts w:ascii="Arial;sans-serif" w:hAnsi="Arial;sans-serif"/>
          <w:b w:val="false"/>
          <w:sz w:val="19"/>
        </w:rPr>
      </w:pPr>
      <w:r>
        <w:rPr>
          <w:rFonts w:ascii="Arial;sans-serif" w:hAnsi="Arial;sans-serif"/>
          <w:b w:val="false"/>
          <w:sz w:val="19"/>
        </w:rPr>
        <w:t>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 products that are biosimilar to or interchangeable with an FDA-licensed reference biologic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pStyle w:val="TextBody"/>
        <w:spacing w:before="120" w:after="0"/>
        <w:jc w:val="left"/>
        <w:rPr>
          <w:rFonts w:ascii="Arial;sans-serif" w:hAnsi="Arial;sans-serif"/>
          <w:b w:val="false"/>
          <w:sz w:val="19"/>
        </w:rPr>
      </w:pPr>
      <w:r>
        <w:rPr>
          <w:rFonts w:ascii="Arial;sans-serif" w:hAnsi="Arial;sans-serif"/>
          <w:b w:val="false"/>
          <w:sz w:val="19"/>
        </w:rPr>
        <w:t>We believe that any of our product candidates approved as a biologic product under a BLA should qualify for the 12-year period of exclusivity. However, there is a risk that this exclusivity could be shortened or unavailable due to congressional action, a determination that approval of one of our candidates does not constitute "first licensure"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licensed, will be substituted for any one of our reference products in a way that is similar to traditional generic substitution for non-biologic products is not yet clear, and will depend on a number of marketplace and regulatory factors that are still developing.</w:t>
      </w:r>
    </w:p>
    <w:p>
      <w:pPr>
        <w:pStyle w:val="TextBody"/>
        <w:spacing w:before="0" w:after="0"/>
        <w:jc w:val="left"/>
        <w:rPr>
          <w:rFonts w:ascii="Arial;sans-serif" w:hAnsi="Arial;sans-serif"/>
          <w:b w:val="false"/>
          <w:sz w:val="19"/>
        </w:rPr>
      </w:pPr>
      <w:r>
        <w:rPr>
          <w:rFonts w:ascii="Arial;sans-serif" w:hAnsi="Arial;sans-serif"/>
          <w:b w:val="false"/>
          <w:sz w:val="19"/>
        </w:rPr>
        <w:t>If competitors are able to obtain marketing approval for biosimilars referencing our products, our products may become subject to competition from such biosimilars, with the attendant competitive pressure and consequences.</w:t>
      </w:r>
    </w:p>
    <w:p>
      <w:pPr>
        <w:pStyle w:val="TextBody"/>
        <w:spacing w:before="120" w:after="0"/>
        <w:jc w:val="left"/>
        <w:rPr>
          <w:rFonts w:ascii="Arial;sans-serif" w:hAnsi="Arial;sans-serif"/>
          <w:b/>
          <w:i/>
          <w:sz w:val="19"/>
        </w:rPr>
      </w:pPr>
      <w:r>
        <w:rPr>
          <w:rFonts w:ascii="Arial;sans-serif" w:hAnsi="Arial;sans-serif"/>
          <w:b/>
          <w:i/>
          <w:sz w:val="19"/>
        </w:rPr>
        <w:t>The size of the potential market for our product candidates is difficult to estimate and, if any of our assumptions are inaccurate, the actual markets for our product candidates may be smaller than our estimates.</w:t>
      </w:r>
    </w:p>
    <w:p>
      <w:pPr>
        <w:pStyle w:val="TextBody"/>
        <w:spacing w:before="120" w:after="0"/>
        <w:jc w:val="left"/>
        <w:rPr>
          <w:rFonts w:ascii="Arial;sans-serif" w:hAnsi="Arial;sans-serif"/>
          <w:b w:val="false"/>
          <w:sz w:val="19"/>
        </w:rPr>
      </w:pPr>
      <w:r>
        <w:rPr>
          <w:rFonts w:ascii="Arial;sans-serif" w:hAnsi="Arial;sans-serif"/>
          <w:b w:val="false"/>
          <w:sz w:val="19"/>
        </w:rPr>
        <w:t>Our current and future target patient populations are based on our beliefs and estimates regarding the incidence or prevalence of certain types of the indications that may be addressable by our product candidates, which is derived from a variety of sources, including scientific literature and surveys of clinics. Our projections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Further, the market opportunity for viral immunotherapies is hard to estimate given that it is an emerging field with few globally or FDA-approved therapies, none of which have yet to enjoy broad market acceptance. Even if we obtain significant market share for our product candidates, because the potential target populations could be small, we may never achieve profitability without obtaining regulatory approval for additional indications.</w:t>
      </w:r>
    </w:p>
    <w:p>
      <w:pPr>
        <w:pStyle w:val="TextBody"/>
        <w:spacing w:before="240" w:after="0"/>
        <w:jc w:val="center"/>
        <w:rPr>
          <w:rFonts w:ascii="Arial;sans-serif" w:hAnsi="Arial;sans-serif"/>
          <w:b w:val="false"/>
          <w:sz w:val="20"/>
        </w:rPr>
      </w:pPr>
      <w:r>
        <w:rPr>
          <w:rFonts w:ascii="Arial;sans-serif" w:hAnsi="Arial;sans-serif"/>
          <w:b w:val="false"/>
          <w:sz w:val="20"/>
        </w:rPr>
        <w:t>50</w:t>
      </w:r>
    </w:p>
    <w:p>
      <w:pPr>
        <w:pStyle w:val="HorizontalLine"/>
        <w:rPr/>
      </w:pPr>
      <w:r>
        <w:rPr/>
      </w:r>
    </w:p>
    <w:p>
      <w:pPr>
        <w:pStyle w:val="TextBody"/>
        <w:spacing w:before="120" w:after="0"/>
        <w:jc w:val="left"/>
        <w:rPr>
          <w:rFonts w:ascii="Arial;sans-serif" w:hAnsi="Arial;sans-serif"/>
          <w:b/>
          <w:i/>
          <w:sz w:val="19"/>
        </w:rPr>
      </w:pPr>
      <w:r>
        <w:rPr>
          <w:rFonts w:ascii="Arial;sans-serif" w:hAnsi="Arial;sans-serif"/>
          <w:b/>
          <w:i/>
          <w:sz w:val="19"/>
        </w:rPr>
        <w:t>Healthcare reform measures may have a material adverse effect on our business and results of operations.</w:t>
      </w:r>
    </w:p>
    <w:p>
      <w:pPr>
        <w:pStyle w:val="TextBody"/>
        <w:spacing w:before="120" w:after="0"/>
        <w:jc w:val="left"/>
        <w:rPr>
          <w:rFonts w:ascii="Arial;sans-serif" w:hAnsi="Arial;sans-serif"/>
          <w:b w:val="false"/>
          <w:sz w:val="19"/>
        </w:rPr>
      </w:pPr>
      <w:r>
        <w:rPr>
          <w:rFonts w:ascii="Arial;sans-serif" w:hAnsi="Arial;sans-serif"/>
          <w:b w:val="false"/>
          <w:sz w:val="19"/>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Among policy-makers and payers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There have been, and likely will continue to be, legislative and regulatory proposals at the federal and state levels directed at broadening the availability of healthcare and containing or lowering the cost of healthcare. We cannot predict the initiatives that may be adopted in the future.</w:t>
      </w:r>
    </w:p>
    <w:p>
      <w:pPr>
        <w:pStyle w:val="TextBody"/>
        <w:spacing w:before="120" w:after="0"/>
        <w:jc w:val="left"/>
        <w:rPr>
          <w:rFonts w:ascii="Arial;sans-serif" w:hAnsi="Arial;sans-serif"/>
          <w:b w:val="false"/>
          <w:sz w:val="19"/>
        </w:rPr>
      </w:pPr>
      <w:r>
        <w:rPr>
          <w:rFonts w:ascii="Arial;sans-serif" w:hAnsi="Arial;sans-serif"/>
          <w:b w:val="false"/>
          <w:sz w:val="19"/>
        </w:rPr>
        <w:t>The continuing efforts of the government, insurance companies, managed care organizations and other payers of healthcare services to contain or reduce costs of healthcare may adversely affect: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demand for any of our product candidates, if approved;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ability to set a price that we believe is fair for any of our product candidates, if approved;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generate revenues and achieve or maintain profitability;</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level of taxes that we are required to pay;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availability of capital.</w:t>
      </w:r>
    </w:p>
    <w:p>
      <w:pPr>
        <w:pStyle w:val="TextBody"/>
        <w:spacing w:before="120" w:after="0"/>
        <w:jc w:val="left"/>
        <w:rPr>
          <w:rFonts w:ascii="Arial;sans-serif" w:hAnsi="Arial;sans-serif"/>
          <w:b w:val="false"/>
          <w:sz w:val="19"/>
        </w:rPr>
      </w:pPr>
      <w:r>
        <w:rPr>
          <w:rFonts w:ascii="Arial;sans-serif" w:hAnsi="Arial;sans-serif"/>
          <w:b w:val="false"/>
          <w:sz w:val="19"/>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spacing w:before="120" w:after="0"/>
        <w:jc w:val="left"/>
        <w:rPr>
          <w:rFonts w:ascii="Arial;sans-serif" w:hAnsi="Arial;sans-serif"/>
          <w:b w:val="false"/>
          <w:sz w:val="19"/>
        </w:rPr>
      </w:pPr>
      <w:r>
        <w:rPr>
          <w:rFonts w:ascii="Arial;sans-serif" w:hAnsi="Arial;sans-serif"/>
          <w:b w:val="false"/>
          <w:sz w:val="19"/>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spacing w:before="120" w:after="0"/>
        <w:jc w:val="left"/>
        <w:rPr>
          <w:rFonts w:ascii="Arial;sans-serif" w:hAnsi="Arial;sans-serif"/>
          <w:b w:val="false"/>
          <w:sz w:val="19"/>
        </w:rPr>
      </w:pPr>
      <w:r>
        <w:rPr>
          <w:rFonts w:ascii="Arial;sans-serif" w:hAnsi="Arial;sans-serif"/>
          <w:b w:val="false"/>
          <w:sz w:val="19"/>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spacing w:before="120" w:after="0"/>
        <w:jc w:val="left"/>
        <w:rPr>
          <w:rFonts w:ascii="Arial;sans-serif" w:hAnsi="Arial;sans-serif"/>
          <w:b/>
          <w:i/>
          <w:sz w:val="19"/>
        </w:rPr>
      </w:pPr>
      <w:r>
        <w:rPr>
          <w:rFonts w:ascii="Arial;sans-serif" w:hAnsi="Arial;sans-serif"/>
          <w:b/>
          <w:i/>
          <w:sz w:val="19"/>
        </w:rPr>
        <w:t>If, in the future, we are unable to establish sales and marketing and patient support capabilities or enter into agreements with third parties to sell and market our current or future product candidates, we may not be successful in commercializing our current or future product candidates if and when they are approved, and we may not be able to generate any revenue.</w:t>
      </w:r>
    </w:p>
    <w:p>
      <w:pPr>
        <w:pStyle w:val="TextBody"/>
        <w:spacing w:before="120" w:after="0"/>
        <w:jc w:val="left"/>
        <w:rPr>
          <w:rFonts w:ascii="Arial;sans-serif" w:hAnsi="Arial;sans-serif"/>
          <w:b w:val="false"/>
          <w:sz w:val="19"/>
        </w:rPr>
      </w:pPr>
      <w:r>
        <w:rPr>
          <w:rFonts w:ascii="Arial;sans-serif" w:hAnsi="Arial;sans-serif"/>
          <w:b w:val="false"/>
          <w:sz w:val="19"/>
        </w:rPr>
        <w:t>We do not currently have a sales or marketing infrastructure and have limited experience in the sales, marketing, patient support or distribution of products. To achieve commercial success for any approved product candidate for which we retain sales and marketing responsibilities, we must build our sales, marketing, patient support, managerial and other non-technical capabilities or make arrangements with third parties to perform these services. In the future, we may choose to build a focused sales and marketing infrastructure to sell, or participate in sales activities with our collaborators for, some of our current or future product candidates if and when they are approved.</w:t>
      </w:r>
    </w:p>
    <w:p>
      <w:pPr>
        <w:pStyle w:val="TextBody"/>
        <w:spacing w:before="120" w:after="0"/>
        <w:jc w:val="left"/>
        <w:rPr>
          <w:rFonts w:ascii="Arial;sans-serif" w:hAnsi="Arial;sans-serif"/>
          <w:b w:val="false"/>
          <w:sz w:val="19"/>
        </w:rPr>
      </w:pPr>
      <w:r>
        <w:rPr>
          <w:rFonts w:ascii="Arial;sans-serif" w:hAnsi="Arial;sans-serif"/>
          <w:b w:val="false"/>
          <w:sz w:val="19"/>
        </w:rPr>
        <w:t>There are risks involved with both establishing our own sales and marketing and patient support capabilities and entering into arrangements with third parties to perform these services. For example, recruiting and training a sales force is expensive and time consuming and could delay any drug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spacing w:before="120" w:after="0"/>
        <w:jc w:val="left"/>
        <w:rPr>
          <w:rFonts w:ascii="Arial;sans-serif" w:hAnsi="Arial;sans-serif"/>
          <w:b w:val="false"/>
          <w:sz w:val="19"/>
        </w:rPr>
      </w:pPr>
      <w:r>
        <w:rPr>
          <w:rFonts w:ascii="Arial;sans-serif" w:hAnsi="Arial;sans-serif"/>
          <w:b w:val="false"/>
          <w:sz w:val="19"/>
        </w:rPr>
        <w:t>Factors that may inhibit our efforts to commercialize our current or future product candidates on our own include:</w:t>
      </w:r>
    </w:p>
    <w:p>
      <w:pPr>
        <w:pStyle w:val="TextBody"/>
        <w:spacing w:before="240" w:after="0"/>
        <w:jc w:val="center"/>
        <w:rPr>
          <w:rFonts w:ascii="Arial;sans-serif" w:hAnsi="Arial;sans-serif"/>
          <w:b w:val="false"/>
          <w:sz w:val="20"/>
        </w:rPr>
      </w:pPr>
      <w:r>
        <w:rPr>
          <w:rFonts w:ascii="Arial;sans-serif" w:hAnsi="Arial;sans-serif"/>
          <w:b w:val="false"/>
          <w:sz w:val="20"/>
        </w:rPr>
        <w:t>51</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inability to recruit and retain adequate numbers of effective sales and marketing personnel;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inability of sales personnel to obtain access to physicians or persuade adequate numbers of physicians to use any future products;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lack of complementary products to be offered by sales personnel, which may put us at a competitive disadvantage relative to companies with more extensive product lines;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unforeseen costs and expenses associated with creating an independent sales and marketing organization.</w:t>
      </w:r>
    </w:p>
    <w:p>
      <w:pPr>
        <w:pStyle w:val="TextBody"/>
        <w:spacing w:before="120" w:after="0"/>
        <w:jc w:val="left"/>
        <w:rPr>
          <w:rFonts w:ascii="Arial;sans-serif" w:hAnsi="Arial;sans-serif"/>
          <w:b w:val="false"/>
          <w:sz w:val="19"/>
        </w:rPr>
      </w:pPr>
      <w:r>
        <w:rPr>
          <w:rFonts w:ascii="Arial;sans-serif" w:hAnsi="Arial;sans-serif"/>
          <w:b w:val="false"/>
          <w:sz w:val="19"/>
        </w:rPr>
        <w:t>If we enter into arrangements with third parties to perform sales, marketing, patient support and distribution services, our drug revenues or the profitability of these drug revenues to us are likely to be lower than if we were to market and sell any current or future product candidates that we develop ourselves. In addition, we may not be successful in entering into arrangements with third parties to sell and market our current or future product candidates or may be unable to do so on terms that are favorable to us. We likely will have little control over such third parties, and any of them may fail to devote the necessary resources and attention to sell and market our current or future product candidates effectively. If we do not establish sales and marketing capabilities successfully, either on our own or in collaboration with third parties, we will not be successful in commercializing our current or future product candidates. Further, our business, results of operations, financial condition and prospects will be materially adversely affected.</w:t>
      </w:r>
    </w:p>
    <w:p>
      <w:pPr>
        <w:pStyle w:val="TextBody"/>
        <w:spacing w:before="120" w:after="0"/>
        <w:jc w:val="left"/>
        <w:rPr>
          <w:rFonts w:ascii="Arial;sans-serif" w:hAnsi="Arial;sans-serif"/>
          <w:b/>
          <w:i/>
          <w:sz w:val="19"/>
        </w:rPr>
      </w:pPr>
      <w:r>
        <w:rPr>
          <w:rFonts w:ascii="Arial;sans-serif" w:hAnsi="Arial;sans-serif"/>
          <w:b/>
          <w:i/>
          <w:sz w:val="19"/>
        </w:rPr>
        <w:t>If any product candidate for which we receive regulatory approval does not achieve broad market acceptance among physicians, patients, healthcare payors, and the medical community, the revenues that we generate from its sales will be limited.</w:t>
      </w:r>
    </w:p>
    <w:p>
      <w:pPr>
        <w:pStyle w:val="TextBody"/>
        <w:spacing w:before="120" w:after="0"/>
        <w:jc w:val="left"/>
        <w:rPr>
          <w:rFonts w:ascii="Arial;sans-serif" w:hAnsi="Arial;sans-serif"/>
          <w:b w:val="false"/>
          <w:sz w:val="19"/>
        </w:rPr>
      </w:pPr>
      <w:r>
        <w:rPr>
          <w:rFonts w:ascii="Arial;sans-serif" w:hAnsi="Arial;sans-serif"/>
          <w:b w:val="false"/>
          <w:sz w:val="19"/>
        </w:rPr>
        <w:t>Even if our product candidates receive regulatory approval, they may not gain market acceptance among physicians, patients, healthcare payors, and others in the medical community. Commercial success also will depend, in large part, on the coverage and reimbursement of our product candidates by third-party payors, including private insurance providers and government payors. The degree of market acceptance of any approved product would depend on a number of factors, including: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efficacy, safety and tolerability as demonstrated in clinical trials;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timing of market introduction of such product candidate as well as competitive products;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clinical indications for which the product is approved;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acceptance by physicians, major operators of cancer or neurology clinics and patients of the product as a safe, tolerable and effective treatment;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potential and perceived advantages of the product candidate over alternative treatments;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safety and tolerability of the product candidate in a broader patient group;</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cost of treatment in relation to alternative treatments;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availability of adequate reimbursement by third party payors and government authorities;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changes in regulatory requirements by government authorities for the product candidate;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relative convenience and ease of administration;</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prevalence and severity of side effects and adverse events;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effectiveness of our sales and marketing efforts;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favorable or unfavorable publicity relating to the product or relating to the Company.</w:t>
      </w:r>
    </w:p>
    <w:p>
      <w:pPr>
        <w:pStyle w:val="TextBody"/>
        <w:spacing w:before="80" w:after="0"/>
        <w:jc w:val="left"/>
        <w:rPr>
          <w:rFonts w:ascii="Arial;sans-serif" w:hAnsi="Arial;sans-serif"/>
          <w:b w:val="false"/>
          <w:sz w:val="19"/>
        </w:rPr>
      </w:pPr>
      <w:r>
        <w:rPr>
          <w:rFonts w:ascii="Arial;sans-serif" w:hAnsi="Arial;sans-serif"/>
          <w:b w:val="false"/>
          <w:sz w:val="19"/>
        </w:rPr>
        <w:t>If any product candidate is approved but does not achieve an adequate level of acceptance by physicians, hospitals, healthcare payors and patients, we may not generate sufficient revenue from these products and we may not become profitable, which would have a material adverse effect on our business.</w:t>
      </w:r>
    </w:p>
    <w:p>
      <w:pPr>
        <w:pStyle w:val="TextBody"/>
        <w:spacing w:before="60" w:after="0"/>
        <w:jc w:val="left"/>
        <w:rPr>
          <w:rFonts w:ascii="Arial;sans-serif" w:hAnsi="Arial;sans-serif"/>
          <w:b/>
          <w:i/>
          <w:sz w:val="19"/>
        </w:rPr>
      </w:pPr>
      <w:r>
        <w:rPr>
          <w:rFonts w:ascii="Arial;sans-serif" w:hAnsi="Arial;sans-serif"/>
          <w:b/>
          <w:i/>
          <w:sz w:val="19"/>
        </w:rPr>
        <w:t>If we fail to develop additional product candidates, our commercial opportunity could be limited.</w:t>
      </w:r>
    </w:p>
    <w:p>
      <w:pPr>
        <w:pStyle w:val="TextBody"/>
        <w:spacing w:before="0" w:after="0"/>
        <w:jc w:val="left"/>
        <w:rPr>
          <w:rFonts w:ascii="Arial;sans-serif" w:hAnsi="Arial;sans-serif"/>
          <w:b w:val="false"/>
          <w:sz w:val="19"/>
        </w:rPr>
      </w:pPr>
      <w:r>
        <w:rPr>
          <w:rFonts w:ascii="Arial;sans-serif" w:hAnsi="Arial;sans-serif"/>
          <w:b w:val="false"/>
          <w:sz w:val="19"/>
        </w:rPr>
        <w:t>We expect initially to develop our lead product candidates, CAN-2409 and CAN-3110. A key part of our strategy, however, is to pursue clinical development of additional product candidates.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pStyle w:val="TextBody"/>
        <w:spacing w:before="120" w:after="0"/>
        <w:jc w:val="left"/>
        <w:rPr>
          <w:rFonts w:ascii="Times New Roman" w:hAnsi="Times New Roman"/>
          <w:sz w:val="20"/>
        </w:rPr>
      </w:pPr>
      <w:r>
        <w:rPr>
          <w:rFonts w:ascii="Arial;sans-serif" w:hAnsi="Arial;sans-serif"/>
          <w:b w:val="false"/>
          <w:sz w:val="19"/>
        </w:rPr>
        <w:t>Even if we obtain approval from the FDA or comparable foreign regulatory authorities to market additional product candidates for the treatment of solid tumors, we cannot assure you that any such product candidates will be successfully commercialized, widely accepted in the marketplace, or more effective than other commercially available alternatives. If we are unable to</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52</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successfully develop and commercialize additional product candidates our commercial opportunity may be limited and our business, financial condition, results of operations, stock price and prospects may be materially harmed.</w:t>
      </w:r>
    </w:p>
    <w:p>
      <w:pPr>
        <w:pStyle w:val="TextBody"/>
        <w:spacing w:before="120" w:after="0"/>
        <w:jc w:val="left"/>
        <w:rPr>
          <w:rFonts w:ascii="Arial;sans-serif" w:hAnsi="Arial;sans-serif"/>
          <w:b/>
          <w:i/>
          <w:sz w:val="19"/>
        </w:rPr>
      </w:pPr>
      <w:r>
        <w:rPr>
          <w:rFonts w:ascii="Arial;sans-serif" w:hAnsi="Arial;sans-serif"/>
          <w:b/>
          <w:i/>
          <w:sz w:val="19"/>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pStyle w:val="TextBody"/>
        <w:spacing w:before="120" w:after="0"/>
        <w:jc w:val="left"/>
        <w:rPr>
          <w:rFonts w:ascii="Times New Roman" w:hAnsi="Times New Roman"/>
          <w:sz w:val="20"/>
        </w:rPr>
      </w:pPr>
      <w:r>
        <w:rPr>
          <w:rFonts w:ascii="Arial;sans-serif" w:hAnsi="Arial;sans-serif"/>
          <w:b w:val="false"/>
          <w:sz w:val="19"/>
        </w:rPr>
        <w:t>Although we do not currently have any drugs on the market, if we begin commercializing our current or future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current or future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current or future product candidates for which we obtain marketing approval.</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Because of the breadth of these laws and the narrowness of the statutory exceptions and safe harbors available, it is possible that some of our business activities could be subject to challenge and may not comply under one or more of such laws, regulations and guidance. Law enforcement authorities are increasingly focused on enforcing fraud and abuse laws, and it is possible that some of our practices may be challenged under these laws. 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pStyle w:val="TextBody"/>
        <w:spacing w:before="120" w:after="0"/>
        <w:jc w:val="left"/>
        <w:rPr>
          <w:rFonts w:ascii="Arial;sans-serif" w:hAnsi="Arial;sans-serif"/>
          <w:b/>
          <w:i/>
          <w:sz w:val="19"/>
        </w:rPr>
      </w:pPr>
      <w:r>
        <w:rPr>
          <w:rFonts w:ascii="Arial;sans-serif" w:hAnsi="Arial;sans-serif"/>
          <w:b/>
          <w:i/>
          <w:sz w:val="19"/>
        </w:rPr>
        <w:t>We may face potential liability if we obtain identifiable patient health information from clinical trials sponsored by us.</w:t>
      </w:r>
    </w:p>
    <w:p>
      <w:pPr>
        <w:pStyle w:val="TextBody"/>
        <w:spacing w:before="120" w:after="0"/>
        <w:jc w:val="left"/>
        <w:rPr>
          <w:rFonts w:ascii="Arial;sans-serif" w:hAnsi="Arial;sans-serif"/>
          <w:b w:val="false"/>
          <w:sz w:val="19"/>
        </w:rPr>
      </w:pPr>
      <w:r>
        <w:rPr>
          <w:rFonts w:ascii="Arial;sans-serif" w:hAnsi="Arial;sans-serif"/>
          <w:b w:val="false"/>
          <w:sz w:val="19"/>
        </w:rPr>
        <w:t>Most healthcare providers, including certain research institutions from which we may obtain patient health information, are subject to privacy and security regulations promulgated under HIPAA, as amended by the HITECH. We are not currently classified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in the future, we may maintain sensitive personally identifiable information, including health information, that we receive throughout the clinical trial process, in the course of our research collaborations, and directly from individuals (or their healthcare providers) who may enroll in patient assistance programs if we choose to implement such programs. As such, we may be subject to state laws requiring notification of affected individuals and state regulators in the event of a breach of personal information, which is a broader class of information than the health information protected by HIPAA.</w:t>
      </w:r>
    </w:p>
    <w:p>
      <w:pPr>
        <w:pStyle w:val="TextBody"/>
        <w:spacing w:before="120" w:after="0"/>
        <w:jc w:val="left"/>
        <w:rPr>
          <w:rFonts w:ascii="Arial;sans-serif" w:hAnsi="Arial;sans-serif"/>
          <w:b w:val="false"/>
          <w:sz w:val="19"/>
        </w:rPr>
      </w:pPr>
      <w:r>
        <w:rPr>
          <w:rFonts w:ascii="Arial;sans-serif" w:hAnsi="Arial;sans-serif"/>
          <w:b w:val="false"/>
          <w:sz w:val="19"/>
        </w:rPr>
        <w:t>Foreign data protection laws, including the European Union’s General Data Protection Regulation (the EU GDPR), and the United Kingdom (or UK) equivalent of the same (the UK GDPR, together with the EU GDPR, the GDPR) may also apply to our processing of health-related and other personal data.</w:t>
      </w:r>
    </w:p>
    <w:p>
      <w:pPr>
        <w:pStyle w:val="TextBody"/>
        <w:spacing w:before="120" w:after="0"/>
        <w:jc w:val="left"/>
        <w:rPr>
          <w:rFonts w:ascii="Times New Roman" w:hAnsi="Times New Roman"/>
          <w:sz w:val="20"/>
        </w:rPr>
      </w:pPr>
      <w:r>
        <w:rPr>
          <w:rFonts w:ascii="Arial;sans-serif" w:hAnsi="Arial;sans-serif"/>
          <w:b w:val="false"/>
          <w:sz w:val="19"/>
        </w:rPr>
        <w:t>The GDPR imposes stringent requirements for controllers and processors of personal data of individuals within the European Economic Area, or EEA, or the UK. The GDPR applies to any company established in the EEA or UK as well as to those outside the EEA or UK if they collect and use personal data in connection with the offering of goods or services to individuals in the EEA or UK or the monitoring of their behavior. The GDPR, together with national legislation, regulations and guidelines of the EEA Member States and the UK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UK,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(£17.5 million) or 4% of the annual global revenues of the noncompliant company, whichever is greater. Currently, the EU GDPR and UK GDPR remain largely aligned, but the UK has announced plans to reform the country’s data protection legal framework in its Data Reform Bill, which will introduce significant changes from the EU GDPR. This may lead to additional compliance costs and could increase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53</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our overall risk exposure as we may no longer be able to take a unified approach across the EEA and the UK, and we will need to amend our processes and procedures to align with the new framework.</w:t>
      </w:r>
    </w:p>
    <w:p>
      <w:pPr>
        <w:pStyle w:val="TextBody"/>
        <w:spacing w:before="120" w:after="0"/>
        <w:jc w:val="left"/>
        <w:rPr>
          <w:rFonts w:ascii="Times New Roman" w:hAnsi="Times New Roman"/>
          <w:sz w:val="20"/>
        </w:rPr>
      </w:pPr>
      <w:r>
        <w:rPr>
          <w:rFonts w:ascii="Arial;sans-serif" w:hAnsi="Arial;sans-serif"/>
          <w:b w:val="false"/>
          <w:sz w:val="19"/>
        </w:rPr>
        <w:t>The GDPR also imposes restrictions in relation to the international transfer of personal data from the EEA and UK and other countries in respect of which the European Commission or the UK government has not issued a so-called “adequacy decision” or “ adequacy regulation” (known as “third countries”), unless the parties to the transfer have implemented specific safeguards to protect the transferred personal data. This includes putting in place the European Commission’s Standard Contractual Clauses for transfers outside of the EEA and a similar transfer mechanism for transfers of personal data outside of the UK, the International Data Transfer Agreement or Addendum (IDTA). Under both the EU GDPR and the UK GDPR, exporters are also required to assess the risk of the data transfer on a case-by-case basis, including an analysis of the laws in the destination country. The EU Standard Contractual Clauses had to be in place by December 27, 2022, whereas the IDTA must be implemented in all existing contracts March 21, 2024. Finalizing the implementation of the updated Standard Contractual Clauses and UK IDTA, and conducting the required risk assessments, may continue to necessitate significant contractual overhaul of our data transfer arrangements with customers, sub-processors and vendors.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Implementing mechanisms to endeavor to ensure compliance with the GDPR and relevant local legislation in EEA Member States and the UK may be onerous and may interrupt or delay our development activities, and adversely affect our business, financial condition, results of operations, and prospects. In addition to the foregoing, a breach of the GDPR or other applicable privacy and data protection laws and regulations could result in regulatory investigations, reputational damage, and orders to cease/change our use of data, enforcement notices, or potential civil claims including class action-type litigation.</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In addition, governments in the United States are increasingly passing stringent privacy laws. California recently enacted and has proposed companion regulations to the California Consumer Privacy Act (CCPA), which went into effect January 1, 2020. The CCPA creates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As of March 28, 2020, the California State Attorney General has proposed varying versions of companion draft regulations which are not yet finalized. Despite the delay in adopting regulations, the California State Attorney General commenced enforcement actions against violators on July 1, 2020. While there are currently exceptions for protected health information that is subject to HIPAA and clinical trial regulations, as currently written, the CCPA may impact our business activities. On August 14, 2020, implementing regulations were finalized and became effective as of that date. While clinical trial data and information governed by HIPAA are currently exempt from the current version of the CCPA, other personal information may be applicable and possible changes to the CCPA may broaden its scope. We continue to monitor the impact the CCPA may have on our business activities.</w:t>
      </w:r>
    </w:p>
    <w:p>
      <w:pPr>
        <w:pStyle w:val="TextBody"/>
        <w:spacing w:before="120" w:after="0"/>
        <w:jc w:val="left"/>
        <w:rPr>
          <w:rFonts w:ascii="Arial;sans-serif" w:hAnsi="Arial;sans-serif"/>
          <w:b w:val="false"/>
          <w:sz w:val="19"/>
        </w:rPr>
      </w:pPr>
      <w:r>
        <w:rPr>
          <w:rFonts w:ascii="Arial;sans-serif" w:hAnsi="Arial;sans-serif"/>
          <w:b w:val="false"/>
          <w:sz w:val="19"/>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pStyle w:val="TextBody"/>
        <w:spacing w:before="120" w:after="0"/>
        <w:jc w:val="left"/>
        <w:rPr>
          <w:rFonts w:ascii="Times New Roman" w:hAnsi="Times New Roman"/>
          <w:sz w:val="20"/>
        </w:rPr>
      </w:pPr>
      <w:r>
        <w:rPr>
          <w:rFonts w:ascii="Arial;sans-serif" w:hAnsi="Arial;sans-serif"/>
          <w:b w:val="false"/>
          <w:sz w:val="19"/>
        </w:rPr>
        <w:t>Also, on March 2, 2021, Virginia enacted the Consumer Data Protection Act (CDPA). The CDPA will become effective January 1, 2023. The CDPA will regulate how businesses, which the CDPA refers to as “controllers”, collect and share personal information. The law applies to companies that conduct business in Virginia or product products or services that are targeted to residents of Virginia and either: (1) annually control or process personal data of at least 100,000 Virginia residents; or (2) control or process the personal data of at least 25,000 Virginia residents and derive over 50% of gross revenue from the sale of personal data.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 Colorado Privacy Act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and that either: (1) control or process the personal data of at least 100,000 Colorado residents during a calendar year; or (2) derive revenue or receive a discount on the price of goods or services from the sale of personal data and process or control the personal data of at least 25,000 Colorado residents.</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19"/>
        </w:rPr>
        <w:t>Moreover, on March 24, 2022, Utah’s governor signed the Utah Consumer Privacy Act (UCPA) into law. The UCPA will take effect on December 31, 2023. Also, in May 2022, Connecticut Governor Lamont signed the Connecticut Data Privacy Act (CTDPA) into laws. The UCPA and CTDPA draw heavily upon their predecessors in Virginia and Colorado. With the CTDPA, Connecticut became the fifth state to enact a comprehensive privacy law. New privacy and data security laws have been proposed in more than half of the states in the U.S. and in the U.S. Congress. With bills proposed in many other jurisdictions, it remains quite possible that other states will follow suit. Such proposed legislation, if enacted, may add additional complexity,</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54</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pStyle w:val="TextBody"/>
        <w:spacing w:before="120" w:after="0"/>
        <w:jc w:val="left"/>
        <w:rPr>
          <w:rFonts w:ascii="Arial;sans-serif" w:hAnsi="Arial;sans-serif"/>
          <w:b w:val="false"/>
          <w:sz w:val="19"/>
        </w:rPr>
      </w:pPr>
      <w:r>
        <w:rPr>
          <w:rFonts w:ascii="Arial;sans-serif" w:hAnsi="Arial;sans-serif"/>
          <w:b w:val="false"/>
          <w:sz w:val="19"/>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pStyle w:val="TextBody"/>
        <w:spacing w:before="120" w:after="0"/>
        <w:jc w:val="left"/>
        <w:rPr>
          <w:rFonts w:ascii="Arial;sans-serif" w:hAnsi="Arial;sans-serif"/>
          <w:b w:val="false"/>
          <w:sz w:val="19"/>
        </w:rPr>
      </w:pPr>
      <w:r>
        <w:rPr>
          <w:rFonts w:ascii="Arial;sans-serif" w:hAnsi="Arial;sans-serif"/>
          <w:b w:val="false"/>
          <w:sz w:val="19"/>
        </w:rPr>
        <w:t>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Patients about whom we or our collaborators may obtain health information, as well as the providers who may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pStyle w:val="TextBody"/>
        <w:spacing w:before="120" w:after="0"/>
        <w:jc w:val="left"/>
        <w:rPr>
          <w:rFonts w:ascii="Arial;sans-serif" w:hAnsi="Arial;sans-serif"/>
          <w:b w:val="false"/>
          <w:sz w:val="19"/>
        </w:rPr>
      </w:pPr>
      <w:r>
        <w:rPr>
          <w:rFonts w:ascii="Arial;sans-serif" w:hAnsi="Arial;sans-serif"/>
          <w:b w:val="false"/>
          <w:sz w:val="19"/>
        </w:rPr>
        <w:t>If we or third-party contract research organizations (CROs) or other contractors or consultants fail to comply with applicable federal, state/provincial or local regulatory requirements, we could be subject to a range of regulatory actions that could affect our or our contractors’ ability to develop and commercialize our therapeutic candidates and could harm or prevent sales of any affected therapeutics that we are able to commercialize, or could substantially increase the costs and expenses of developing, commercializing and marketing our therapeutics.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pStyle w:val="TextBody"/>
        <w:spacing w:before="0" w:after="0"/>
        <w:jc w:val="left"/>
        <w:rPr>
          <w:rFonts w:ascii="Arial;sans-serif" w:hAnsi="Arial;sans-serif"/>
          <w:b w:val="false"/>
          <w:sz w:val="19"/>
        </w:rPr>
      </w:pPr>
      <w:r>
        <w:rPr>
          <w:rFonts w:ascii="Arial;sans-serif" w:hAnsi="Arial;sans-serif"/>
          <w:b w:val="false"/>
          <w:sz w:val="19"/>
        </w:rPr>
        <w:t>Additionally, we are subject to other state and foreign equivalents of each of the healthcare laws described above, among others, some of which may be broader in scope and may apply regardless of the payor.</w:t>
      </w:r>
    </w:p>
    <w:p>
      <w:pPr>
        <w:pStyle w:val="TextBody"/>
        <w:spacing w:before="120" w:after="0"/>
        <w:jc w:val="left"/>
        <w:rPr>
          <w:rFonts w:ascii="Arial;sans-serif" w:hAnsi="Arial;sans-serif"/>
          <w:b/>
          <w:i/>
          <w:sz w:val="19"/>
        </w:rPr>
      </w:pPr>
      <w:r>
        <w:rPr>
          <w:rFonts w:ascii="Arial;sans-serif" w:hAnsi="Arial;sans-serif"/>
          <w:b/>
          <w:i/>
          <w:sz w:val="19"/>
        </w:rPr>
        <w:t>If we fail to comply with environmental, health and safety laws and regulations, we could become subject to fines or penalties or incur costs that could have a material adverse effect on the success of our business.</w:t>
      </w:r>
    </w:p>
    <w:p>
      <w:pPr>
        <w:pStyle w:val="TextBody"/>
        <w:spacing w:before="120" w:after="0"/>
        <w:jc w:val="left"/>
        <w:rPr>
          <w:rFonts w:ascii="Arial;sans-serif" w:hAnsi="Arial;sans-serif"/>
          <w:b w:val="false"/>
          <w:sz w:val="19"/>
        </w:rPr>
      </w:pPr>
      <w:r>
        <w:rPr>
          <w:rFonts w:ascii="Arial;sans-serif" w:hAnsi="Arial;sans-serif"/>
          <w:b w:val="false"/>
          <w:sz w:val="19"/>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spacing w:before="120" w:after="0"/>
        <w:jc w:val="left"/>
        <w:rPr>
          <w:rFonts w:ascii="Arial;sans-serif" w:hAnsi="Arial;sans-serif"/>
          <w:b w:val="false"/>
          <w:sz w:val="19"/>
        </w:rPr>
      </w:pPr>
      <w:r>
        <w:rPr>
          <w:rFonts w:ascii="Arial;sans-serif" w:hAnsi="Arial;sans-serif"/>
          <w:b w:val="false"/>
          <w:sz w:val="19"/>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spacing w:before="160" w:after="0"/>
        <w:jc w:val="left"/>
        <w:rPr>
          <w:rFonts w:ascii="Arial;sans-serif" w:hAnsi="Arial;sans-serif"/>
          <w:b/>
          <w:sz w:val="19"/>
        </w:rPr>
      </w:pPr>
      <w:r>
        <w:rPr>
          <w:rFonts w:ascii="Arial;sans-serif" w:hAnsi="Arial;sans-serif"/>
          <w:b/>
          <w:sz w:val="19"/>
        </w:rPr>
        <w:t>Risks Related to Employee Matters, Managing Growth and General Business Operations</w:t>
      </w:r>
    </w:p>
    <w:p>
      <w:pPr>
        <w:pStyle w:val="TextBody"/>
        <w:spacing w:before="120" w:after="0"/>
        <w:jc w:val="left"/>
        <w:rPr>
          <w:rFonts w:ascii="Arial;sans-serif" w:hAnsi="Arial;sans-serif"/>
          <w:b/>
          <w:i/>
          <w:sz w:val="19"/>
        </w:rPr>
      </w:pPr>
      <w:r>
        <w:rPr>
          <w:rFonts w:ascii="Arial;sans-serif" w:hAnsi="Arial;sans-serif"/>
          <w:b/>
          <w:i/>
          <w:sz w:val="19"/>
        </w:rPr>
        <w:t>The COVID-19 pandemic or any future public health crisis may affect our ability to complete our ongoing clinical trials and initiate and complete other preclinical studies, planned clinical trials or future clinical trials, disrupt regulatory activities, disrupt our manufacturing and supply chain or have other adverse effects on our business and operations. In addition, this pandemic caused substantial disruption in the financial markets and may adversely impact economies worldwide, both of which could result in adverse effects on our business, operations and ability to raise capital.</w:t>
      </w:r>
    </w:p>
    <w:p>
      <w:pPr>
        <w:pStyle w:val="TextBody"/>
        <w:spacing w:before="120" w:after="0"/>
        <w:jc w:val="left"/>
        <w:rPr>
          <w:rFonts w:ascii="Arial;sans-serif" w:hAnsi="Arial;sans-serif"/>
          <w:b w:val="false"/>
          <w:sz w:val="19"/>
        </w:rPr>
      </w:pPr>
      <w:r>
        <w:rPr>
          <w:rFonts w:ascii="Arial;sans-serif" w:hAnsi="Arial;sans-serif"/>
          <w:b w:val="false"/>
          <w:sz w:val="19"/>
        </w:rPr>
        <w:t>The COVID-19 pandemic caused many governments to implement measures to slow the spread of COVID-19 through quarantines, travel restrictions, heightened border scrutiny and other measures. The COVID-19 pandemic and government measures taken in response also had a significant impact, both directly and indirectly, on businesses and commerce, as worker shortages occurred; supply chains have been disrupted; facilities and production were suspended; and demand for certain goods and services, such as medical services and supplies, spiked, while demand for other goods and services, such as travel fell. While the impact of the COVID-19 pandemic on our operations to date has not been material, the future progression of the COVID-19 pandemic and its effects on our business and operations are uncertain.</w:t>
      </w:r>
    </w:p>
    <w:p>
      <w:pPr>
        <w:pStyle w:val="TextBody"/>
        <w:spacing w:before="120" w:after="0"/>
        <w:jc w:val="left"/>
        <w:rPr>
          <w:rFonts w:ascii="Times New Roman" w:hAnsi="Times New Roman"/>
          <w:sz w:val="20"/>
        </w:rPr>
      </w:pPr>
      <w:r>
        <w:rPr>
          <w:rFonts w:ascii="Arial;sans-serif" w:hAnsi="Arial;sans-serif"/>
          <w:b w:val="false"/>
          <w:sz w:val="19"/>
        </w:rPr>
        <w:t>The extent to which COVID-19 or any future public health crisis may in the future have an impact on our operations or those of the third parties on which we rely depends on many factors, which are highly uncertain and cannot be predicted with confidence.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55</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Additionally, the conduct of our clinical trials, preclinical studies and manufacturing activities is dependent upon the availability of clinical trial sites, CROs, CMOs, researchers and investigators, regulatory agency personnel and logistics providers, all of which may in the future be adversely affected by the COVID-19 pandemic or any future public health crisis.</w:t>
      </w:r>
    </w:p>
    <w:p>
      <w:pPr>
        <w:pStyle w:val="TextBody"/>
        <w:spacing w:before="120" w:after="0"/>
        <w:jc w:val="left"/>
        <w:rPr>
          <w:rFonts w:ascii="Arial;sans-serif" w:hAnsi="Arial;sans-serif"/>
          <w:b w:val="false"/>
          <w:sz w:val="19"/>
        </w:rPr>
      </w:pPr>
      <w:r>
        <w:rPr>
          <w:rFonts w:ascii="Arial;sans-serif" w:hAnsi="Arial;sans-serif"/>
          <w:b w:val="false"/>
          <w:sz w:val="19"/>
        </w:rPr>
        <w:t>Any negative impact that the COVID-19 pandemic or any future public health crisis may have on enrolling or retaining patients in our clinical trials, the ability of our suppliers to provide materials for our product candidates, or the regulatory review process could cause delays with respect to product development activities, which could materially and adversely affect our ability to obtain marketing approval for and to commercialize our product candidates, increase our operating expenses, affect our ability to raise additional capital, and have a material adverse effect on our financial results.</w:t>
      </w:r>
    </w:p>
    <w:p>
      <w:pPr>
        <w:pStyle w:val="TextBody"/>
        <w:spacing w:before="120" w:after="0"/>
        <w:jc w:val="left"/>
        <w:rPr>
          <w:rFonts w:ascii="Arial;sans-serif" w:hAnsi="Arial;sans-serif"/>
          <w:b w:val="false"/>
          <w:sz w:val="19"/>
        </w:rPr>
      </w:pPr>
      <w:r>
        <w:rPr>
          <w:rFonts w:ascii="Arial;sans-serif" w:hAnsi="Arial;sans-serif"/>
          <w:b w:val="false"/>
          <w:sz w:val="19"/>
        </w:rPr>
        <w:t>The COVID-19 pandemic caused significant disruptions in the financial markets, and the COVID-19 pandemic or any future public health crisis may cause disruptions in the future, which could adversely impact our ability to raise additional funds through public offerings or private placements and may also impact the volatility of our stock price and trading in our stock. Moreover, it is possible the COVID-19 pandemic or any future public health crisis could impact economies worldwide in the future, which could result in adverse effects on our business and operations.</w:t>
      </w:r>
    </w:p>
    <w:p>
      <w:pPr>
        <w:pStyle w:val="TextBody"/>
        <w:spacing w:before="120" w:after="0"/>
        <w:jc w:val="left"/>
        <w:rPr>
          <w:rFonts w:ascii="Arial;sans-serif" w:hAnsi="Arial;sans-serif"/>
          <w:b/>
          <w:i/>
          <w:sz w:val="19"/>
        </w:rPr>
      </w:pPr>
      <w:r>
        <w:rPr>
          <w:rFonts w:ascii="Arial;sans-serif" w:hAnsi="Arial;sans-serif"/>
          <w:b/>
          <w:i/>
          <w:sz w:val="19"/>
        </w:rPr>
        <w:t>Our future success depends on our ability to retain key executives and to attract, retain and motivate qualified personnel.</w:t>
      </w:r>
    </w:p>
    <w:p>
      <w:pPr>
        <w:pStyle w:val="TextBody"/>
        <w:spacing w:before="120" w:after="0"/>
        <w:jc w:val="left"/>
        <w:rPr>
          <w:rFonts w:ascii="Arial;sans-serif" w:hAnsi="Arial;sans-serif"/>
          <w:b w:val="false"/>
          <w:sz w:val="19"/>
        </w:rPr>
      </w:pPr>
      <w:r>
        <w:rPr>
          <w:rFonts w:ascii="Arial;sans-serif" w:hAnsi="Arial;sans-serif"/>
          <w:b w:val="false"/>
          <w:sz w:val="19"/>
        </w:rPr>
        <w:t>We are highly dependent on the research and development, clinical, financial, operational and other business expertise of our executive officers, as well as the other principal members of our management, scientific and clinical teams. Although we have entered into employment agreements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pStyle w:val="TextBody"/>
        <w:spacing w:before="120" w:after="0"/>
        <w:jc w:val="left"/>
        <w:rPr>
          <w:rFonts w:ascii="Arial;sans-serif" w:hAnsi="Arial;sans-serif"/>
          <w:b w:val="false"/>
          <w:sz w:val="19"/>
        </w:rPr>
      </w:pPr>
      <w:r>
        <w:rPr>
          <w:rFonts w:ascii="Arial;sans-serif" w:hAnsi="Arial;sans-serif"/>
          <w:b w:val="false"/>
          <w:sz w:val="19"/>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pStyle w:val="TextBody"/>
        <w:spacing w:before="120" w:after="0"/>
        <w:jc w:val="left"/>
        <w:rPr>
          <w:rFonts w:ascii="Arial;sans-serif" w:hAnsi="Arial;sans-serif"/>
          <w:b/>
          <w:i/>
          <w:sz w:val="19"/>
        </w:rPr>
      </w:pPr>
      <w:r>
        <w:rPr>
          <w:rFonts w:ascii="Arial;sans-serif" w:hAnsi="Arial;sans-serif"/>
          <w:b/>
          <w:i/>
          <w:sz w:val="19"/>
        </w:rPr>
        <w:t>We expect to expand our development, manufacturing and regulatory capabilities and potentially implement sales, marketing and distribution capabilities, and as a result, we may encounter difficulties in managing our growth, which could disrupt our operations.</w:t>
      </w:r>
    </w:p>
    <w:p>
      <w:pPr>
        <w:pStyle w:val="TextBody"/>
        <w:spacing w:before="120" w:after="0"/>
        <w:jc w:val="left"/>
        <w:rPr>
          <w:rFonts w:ascii="Arial;sans-serif" w:hAnsi="Arial;sans-serif"/>
          <w:b w:val="false"/>
          <w:sz w:val="19"/>
        </w:rPr>
      </w:pPr>
      <w:r>
        <w:rPr>
          <w:rFonts w:ascii="Arial;sans-serif" w:hAnsi="Arial;sans-serif"/>
          <w:b w:val="false"/>
          <w:sz w:val="19"/>
        </w:rPr>
        <w:t>As we seek to advance our product candidates through clinical trials and commercialization, we will need to expand our development, regulatory, manufacturing, marketing and sales capabilities or contract with third parties to provide these capabilities. We expect the number of our employees and the scope of our operations to grow, particularly in the areas of drug development, clinical, regulatory affairs and, if any product candidate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spacing w:before="120" w:after="0"/>
        <w:jc w:val="left"/>
        <w:rPr>
          <w:rFonts w:ascii="Arial;sans-serif" w:hAnsi="Arial;sans-serif"/>
          <w:b/>
          <w:i/>
          <w:sz w:val="19"/>
        </w:rPr>
      </w:pPr>
      <w:r>
        <w:rPr>
          <w:rFonts w:ascii="Arial;sans-serif" w:hAnsi="Arial;sans-serif"/>
          <w:b/>
          <w:i/>
          <w:sz w:val="19"/>
        </w:rPr>
        <w:t>The increasing use of social media platforms presents new risks and challenges.</w:t>
      </w:r>
    </w:p>
    <w:p>
      <w:pPr>
        <w:pStyle w:val="TextBody"/>
        <w:spacing w:before="120" w:after="0"/>
        <w:jc w:val="left"/>
        <w:rPr>
          <w:rFonts w:ascii="Times New Roman" w:hAnsi="Times New Roman"/>
          <w:sz w:val="20"/>
        </w:rPr>
      </w:pPr>
      <w:r>
        <w:rPr>
          <w:rFonts w:ascii="Arial;sans-serif" w:hAnsi="Arial;sans-serif"/>
          <w:b w:val="false"/>
          <w:sz w:val="19"/>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56</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candidates or products. If any of these events were to occur or we otherwise fail to comply with applicable regulations, we could incur liability, face regulatory actions or incur other harm to our business.</w:t>
      </w:r>
    </w:p>
    <w:p>
      <w:pPr>
        <w:pStyle w:val="TextBody"/>
        <w:spacing w:before="120" w:after="0"/>
        <w:jc w:val="left"/>
        <w:rPr>
          <w:rFonts w:ascii="Arial;sans-serif" w:hAnsi="Arial;sans-serif"/>
          <w:b/>
          <w:i/>
          <w:sz w:val="19"/>
        </w:rPr>
      </w:pPr>
      <w:r>
        <w:rPr>
          <w:rFonts w:ascii="Arial;sans-serif" w:hAnsi="Arial;sans-serif"/>
          <w:b/>
          <w:i/>
          <w:sz w:val="19"/>
        </w:rPr>
        <w:t>Our internal computer systems, or those of our third-party CROs that we may use in the future, or other contractors or consultants, may fail or suffer security breaches, which could result in a material disruption of our product candidates’ development programs.</w:t>
      </w:r>
    </w:p>
    <w:p>
      <w:pPr>
        <w:pStyle w:val="TextBody"/>
        <w:spacing w:before="120" w:after="0"/>
        <w:jc w:val="left"/>
        <w:rPr>
          <w:rFonts w:ascii="Arial;sans-serif" w:hAnsi="Arial;sans-serif"/>
          <w:b w:val="false"/>
          <w:sz w:val="19"/>
        </w:rPr>
      </w:pPr>
      <w:r>
        <w:rPr>
          <w:rFonts w:ascii="Arial;sans-serif" w:hAnsi="Arial;sans-serif"/>
          <w:b w:val="false"/>
          <w:sz w:val="19"/>
        </w:rPr>
        <w:t>Despite our implementation of security measures, our internal computer systems, and those of our CROs that we may use in the future, information technology suppliers and other contractors and consultants are vulnerable to damage from computer viruses, cyberattacks and other unauthorized access, natural disasters, terrorism, war, and telecommunication and electrical failures.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 In addition, our liability and cyber insurance may not be sufficient in type or amount to cover us against claims related to security breaches, cyber-attacks or other related liabilities.</w:t>
      </w:r>
    </w:p>
    <w:p>
      <w:pPr>
        <w:pStyle w:val="TextBody"/>
        <w:spacing w:before="120" w:after="0"/>
        <w:jc w:val="left"/>
        <w:rPr>
          <w:rFonts w:ascii="Arial;sans-serif" w:hAnsi="Arial;sans-serif"/>
          <w:b w:val="false"/>
          <w:sz w:val="19"/>
        </w:rPr>
      </w:pPr>
      <w:r>
        <w:rPr>
          <w:rFonts w:ascii="Arial;sans-serif" w:hAnsi="Arial;sans-serif"/>
          <w:b w:val="false"/>
          <w:sz w:val="19"/>
        </w:rPr>
        <w:t>Cyberattacks are increasing in their frequency, sophistication, and intensity, and are becoming increasingly difficult to detect. They are often carried out by well-resourced and skilled parties, including nation states, organized crime groups, “hacktivists” and employees or contractors acting carelessly or with malicious intent. Cyber-attacks include deployment of harmful malware and key loggers, ransomware, denial-of-service attacks, malicious websites, the use of social engineering, and other means to affect the confidentiality, integrity and availability of our technology systems and data. Cyber-attacks also include manufacturing, hardware or software supply chain attacks, which could cause a delay in the manufacturing of products or products produced for contract manufacturing or lead to a data privacy or security breach. Our business partners face similar risks, and any security breach of their systems could adversely affect our security. In addition, our increased use of cloud technologies heightens these third party and other operational risks, and any failure by cloud or other technology service providers to adequately safeguard their systems and prevent cyber-attacks could disrupt our operations and result in misappropriation, corruption, or loss of confidential or propriety information. Risk of cyber-attack is increased with employees working remotely. Remote work increases the risk we may be vulnerable to cybersecurity-related events such as phishing attacks and other security threats.</w:t>
      </w:r>
    </w:p>
    <w:p>
      <w:pPr>
        <w:pStyle w:val="TextBody"/>
        <w:spacing w:before="120" w:after="0"/>
        <w:jc w:val="left"/>
        <w:rPr>
          <w:rFonts w:ascii="Arial;sans-serif" w:hAnsi="Arial;sans-serif"/>
          <w:b/>
          <w:i/>
          <w:sz w:val="19"/>
        </w:rPr>
      </w:pPr>
      <w:r>
        <w:rPr>
          <w:rFonts w:ascii="Arial;sans-serif" w:hAnsi="Arial;sans-serif"/>
          <w:b/>
          <w:i/>
          <w:sz w:val="19"/>
        </w:rPr>
        <w:t>Our operations or those of the third parties upon whom we depend might be affected by the occurrence of a natural disaster, pandemic, war or other catastrophic event.</w:t>
      </w:r>
    </w:p>
    <w:p>
      <w:pPr>
        <w:pStyle w:val="TextBody"/>
        <w:spacing w:before="120" w:after="0"/>
        <w:jc w:val="left"/>
        <w:rPr>
          <w:rFonts w:ascii="Arial;sans-serif" w:hAnsi="Arial;sans-serif"/>
          <w:b w:val="false"/>
          <w:sz w:val="19"/>
        </w:rPr>
      </w:pPr>
      <w:r>
        <w:rPr>
          <w:rFonts w:ascii="Arial;sans-serif" w:hAnsi="Arial;sans-serif"/>
          <w:b w:val="false"/>
          <w:sz w:val="19"/>
        </w:rPr>
        <w:t>We depend on our employees and consultants, CDMOs and CROs that we may use in the future, as well as regulatory agencies and other parties, for the continued operation of our business. While we maintain disaster recovery plans, they might not adequately protect us. Despite any precautions we take for natural disasters or other catastrophic events, these events, including terrorist attacks, pandemics, wars hurricanes, fire, floods and ice and snowstorms, could result in significant disruptions to our research and development, preclinical studies, clinical trials, and, ultimately, commercialization of our products. Long-term disruptions in the infrastructure caused by events, such as natural disasters, the outbreak of war, the escalation of hostilities and acts of terrorism or other “acts of God,” particularly involving cities in which we have offices, manufacturing or clinical trial sites, could adversely affect our businesses. For example, in late February 2022, Russian military forces launched significant military action against Ukraine, and sustained conflict and disruption in the region is likely. The impact to Ukraine, as well as actions taken by other countries, including new and stricter sanctions by Canada, the United Kingdom, the European Union, the United States and other countries and organizations against officials, individuals, regions, and industries in Russia, Ukraine and Belarus, and each country’s potential response to such sanctions, tensions, and military actions could have an adverse effect on the Company’s operations. These countries may impose further sanctions or other restrictive actions against governmental or other individuals or organizations in Russia or elsewhere. The effects of disruptive events could affect the global economy and financial and commodities markets in ways that cannot necessarily be foreseen at the present time. Although we carry business interruption insurance policies and typically have provisions in our contracts that protect us in certain events, our coverage might not respond or be adequate to compensate us for all losses that may occur. Any natural disaster or catastrophic event affecting us, our CDMOs or CROs, regulatory agencies or other parties with which we are engaged could have a significant negative impact on our operations and financial performance.</w:t>
      </w:r>
    </w:p>
    <w:p>
      <w:pPr>
        <w:pStyle w:val="TextBody"/>
        <w:spacing w:before="120" w:after="0"/>
        <w:jc w:val="left"/>
        <w:rPr>
          <w:rFonts w:ascii="Arial;sans-serif" w:hAnsi="Arial;sans-serif"/>
          <w:b/>
          <w:i/>
          <w:sz w:val="19"/>
        </w:rPr>
      </w:pPr>
      <w:r>
        <w:rPr>
          <w:rFonts w:ascii="Arial;sans-serif" w:hAnsi="Arial;sans-serif"/>
          <w:b/>
          <w:i/>
          <w:sz w:val="19"/>
        </w:rPr>
        <w:t>Our disclosure controls and procedures may not prevent or detect all errors or acts of fraud.</w:t>
      </w:r>
    </w:p>
    <w:p>
      <w:pPr>
        <w:pStyle w:val="TextBody"/>
        <w:spacing w:before="120" w:after="0"/>
        <w:jc w:val="left"/>
        <w:rPr>
          <w:rFonts w:ascii="Times New Roman" w:hAnsi="Times New Roman"/>
          <w:sz w:val="20"/>
        </w:rPr>
      </w:pPr>
      <w:r>
        <w:rPr>
          <w:rFonts w:ascii="Arial;sans-serif" w:hAnsi="Arial;sans-serif"/>
          <w:b w:val="false"/>
          <w:sz w:val="19"/>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57</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spacing w:before="120" w:after="0"/>
        <w:jc w:val="left"/>
        <w:rPr>
          <w:rFonts w:ascii="Arial;sans-serif" w:hAnsi="Arial;sans-serif"/>
          <w:b/>
          <w:i/>
          <w:sz w:val="19"/>
        </w:rPr>
      </w:pPr>
      <w:r>
        <w:rPr>
          <w:rFonts w:ascii="Arial;sans-serif" w:hAnsi="Arial;sans-serif"/>
          <w:b/>
          <w:i/>
          <w:sz w:val="19"/>
        </w:rPr>
        <w:t>If we identify material weaknesses in our internal control over financial reporting in the future or otherwise fail to maintain an effective system of internal controls, we may not be able to accurately or timely report our financial condition or results of operations, which may adversely affect our business and the market price of our common stock.</w:t>
      </w:r>
    </w:p>
    <w:p>
      <w:pPr>
        <w:pStyle w:val="TextBody"/>
        <w:spacing w:before="120" w:after="0"/>
        <w:jc w:val="left"/>
        <w:rPr>
          <w:rFonts w:ascii="Times New Roman" w:hAnsi="Times New Roman"/>
          <w:sz w:val="20"/>
        </w:rPr>
      </w:pPr>
      <w:r>
        <w:rPr>
          <w:rFonts w:ascii="Arial;sans-serif" w:hAnsi="Arial;sans-serif"/>
          <w:b w:val="false"/>
          <w:sz w:val="19"/>
        </w:rPr>
        <w:t>We are subject to the requirements of the Sarbanes-Oxley Act and the applicable SEC rules and regulations that require an annual management report on our internal control over financial reporting.</w:t>
      </w:r>
      <w:r>
        <w:rPr>
          <w:rFonts w:ascii="Times New Roman" w:hAnsi="Times New Roman"/>
          <w:sz w:val="20"/>
        </w:rPr>
        <w:t xml:space="preserve"> </w:t>
      </w:r>
      <w:r>
        <w:rPr>
          <w:rFonts w:ascii="Arial;sans-serif" w:hAnsi="Arial;sans-serif"/>
          <w:b w:val="false"/>
          <w:sz w:val="19"/>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before="120" w:after="0"/>
        <w:jc w:val="left"/>
        <w:rPr>
          <w:rFonts w:ascii="Arial;sans-serif" w:hAnsi="Arial;sans-serif"/>
          <w:b w:val="false"/>
          <w:sz w:val="19"/>
        </w:rPr>
      </w:pPr>
      <w:r>
        <w:rPr>
          <w:rFonts w:ascii="Arial;sans-serif" w:hAnsi="Arial;sans-serif"/>
          <w:b w:val="false"/>
          <w:sz w:val="19"/>
        </w:rPr>
        <w:t>We cannot assure you that we will not identify material weaknesses in our internal control over financial reporting. In addition, our independent registered public accounting firm has not performed an evaluation of our internal control over financial reporting in accordance with the provisions of the SOX Act because no such evaluation has been required. Had our independent registered public accounting firm performed an evaluation of our internal control over financial reporting in accordance with the provisions of the SOX Act, one or more material weaknesses may have been identified. If future material weaknesses are identified in our internal control over financial reporting, or if we otherwise fail to maintain an effective system of internal controls,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market price of our common stock may decline as a result.</w:t>
      </w:r>
    </w:p>
    <w:p>
      <w:pPr>
        <w:pStyle w:val="TextBody"/>
        <w:spacing w:before="120" w:after="0"/>
        <w:jc w:val="left"/>
        <w:rPr>
          <w:rFonts w:ascii="Arial;sans-serif" w:hAnsi="Arial;sans-serif"/>
          <w:b/>
          <w:i/>
          <w:sz w:val="19"/>
        </w:rPr>
      </w:pPr>
      <w:r>
        <w:rPr>
          <w:rFonts w:ascii="Arial;sans-serif" w:hAnsi="Arial;sans-serif"/>
          <w:b/>
          <w:i/>
          <w:sz w:val="19"/>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spacing w:before="120" w:after="0"/>
        <w:jc w:val="left"/>
        <w:rPr>
          <w:rFonts w:ascii="Arial;sans-serif" w:hAnsi="Arial;sans-serif"/>
          <w:b w:val="false"/>
          <w:sz w:val="19"/>
        </w:rPr>
      </w:pPr>
      <w:r>
        <w:rPr>
          <w:rFonts w:ascii="Arial;sans-serif" w:hAnsi="Arial;sans-serif"/>
          <w:b w:val="false"/>
          <w:sz w:val="19"/>
        </w:rPr>
        <w:t>Effective internal control over financial reporting is necessary for us to provide reliable financial reports and, together with adequate disclosure controls and procedures, is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pStyle w:val="TextBody"/>
        <w:spacing w:before="120" w:after="0"/>
        <w:jc w:val="left"/>
        <w:rPr>
          <w:rFonts w:ascii="Arial;sans-serif" w:hAnsi="Arial;sans-serif"/>
          <w:b w:val="false"/>
          <w:sz w:val="19"/>
        </w:rPr>
      </w:pPr>
      <w:r>
        <w:rPr>
          <w:rFonts w:ascii="Arial;sans-serif" w:hAnsi="Arial;sans-serif"/>
          <w:b w:val="false"/>
          <w:sz w:val="19"/>
        </w:rPr>
        <w:t>We are required to disclose changes made in our internal controls and procedures on a quarterly basis and our management are required to assess the effectiveness of these controls annually. However, for as long as we are an EGC under the JOBS Act, our independent registered public accounting firm will not be required to attest to the effectiveness of our internal control over financial reporting pursuant to Section 404. We could be an EGC for up to five years. Our assessment of internal controls and procedures may not detect material weaknesses in our internal control over financial reporting. Material weaknesses in our internal control over financial reporting may go undetected and could lead to financial statement restatements and require us to incur the expense of remediation, which could have a negative effect on the trading price of our stock.</w:t>
      </w:r>
    </w:p>
    <w:p>
      <w:pPr>
        <w:pStyle w:val="TextBody"/>
        <w:spacing w:before="0" w:after="0"/>
        <w:jc w:val="left"/>
        <w:rPr>
          <w:rFonts w:ascii="Times New Roman" w:hAnsi="Times New Roman"/>
          <w:sz w:val="20"/>
        </w:rPr>
      </w:pPr>
      <w:r>
        <w:rPr>
          <w:rFonts w:ascii="Times New Roman;serif" w:hAnsi="Times New Roman;serif"/>
          <w:b w:val="false"/>
          <w:sz w:val="2"/>
        </w:rPr>
        <w:br/>
      </w:r>
      <w:r>
        <w:rPr>
          <w:rFonts w:ascii="Times New Roman" w:hAnsi="Times New Roman"/>
          <w:sz w:val="20"/>
        </w:rPr>
        <w:t> </w:t>
      </w:r>
    </w:p>
    <w:p>
      <w:pPr>
        <w:pStyle w:val="TextBody"/>
        <w:spacing w:before="160" w:after="0"/>
        <w:jc w:val="left"/>
        <w:rPr>
          <w:rFonts w:ascii="Arial;sans-serif" w:hAnsi="Arial;sans-serif"/>
          <w:b/>
          <w:sz w:val="19"/>
        </w:rPr>
      </w:pPr>
      <w:r>
        <w:rPr>
          <w:rFonts w:ascii="Arial;sans-serif" w:hAnsi="Arial;sans-serif"/>
          <w:b/>
          <w:sz w:val="19"/>
        </w:rPr>
        <w:t>Risks Related to Legal and Compliance Matters</w:t>
      </w:r>
    </w:p>
    <w:p>
      <w:pPr>
        <w:pStyle w:val="TextBody"/>
        <w:spacing w:before="120" w:after="0"/>
        <w:jc w:val="left"/>
        <w:rPr>
          <w:rFonts w:ascii="Arial;sans-serif" w:hAnsi="Arial;sans-serif"/>
          <w:b/>
          <w:i/>
          <w:sz w:val="19"/>
        </w:rPr>
      </w:pPr>
      <w:r>
        <w:rPr>
          <w:rFonts w:ascii="Arial;sans-serif" w:hAnsi="Arial;sans-serif"/>
          <w:b/>
          <w:i/>
          <w:sz w:val="19"/>
        </w:rPr>
        <w:t>We face potential product liability exposure, and if successful claims are brought against us, we may incur substantial liability and have to limit the commercialization of any approved products and/or our product candidates.</w:t>
      </w:r>
    </w:p>
    <w:p>
      <w:pPr>
        <w:pStyle w:val="TextBody"/>
        <w:spacing w:before="120" w:after="0"/>
        <w:jc w:val="left"/>
        <w:rPr>
          <w:rFonts w:ascii="Arial;sans-serif" w:hAnsi="Arial;sans-serif"/>
          <w:b w:val="false"/>
          <w:sz w:val="19"/>
        </w:rPr>
      </w:pPr>
      <w:r>
        <w:rPr>
          <w:rFonts w:ascii="Arial;sans-serif" w:hAnsi="Arial;sans-serif"/>
          <w:b w:val="false"/>
          <w:sz w:val="19"/>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pStyle w:val="TextBody"/>
        <w:spacing w:before="240" w:after="0"/>
        <w:jc w:val="center"/>
        <w:rPr>
          <w:rFonts w:ascii="Arial;sans-serif" w:hAnsi="Arial;sans-serif"/>
          <w:b w:val="false"/>
          <w:sz w:val="20"/>
        </w:rPr>
      </w:pPr>
      <w:r>
        <w:rPr>
          <w:rFonts w:ascii="Arial;sans-serif" w:hAnsi="Arial;sans-serif"/>
          <w:b w:val="false"/>
          <w:sz w:val="20"/>
        </w:rPr>
        <w:t>58</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loss of revenue from decreased demand for our products and/or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impairment of our business reputation or financial stability;</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costs of related litigation;</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substantial monetary awards to patients or other claimants;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diversion of management attention;</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withdrawal of clinical trial participants and potential termination of clinical trial sites or entire clinical programs;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inability to commercialize our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significant negative media attention;</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decreases in our stock price;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initiation of investigations and enforcement actions by regulators;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product recalls, withdrawals or labeling, marketing or promotional restrictions, including withdrawal of marketing approval.</w:t>
      </w:r>
    </w:p>
    <w:p>
      <w:pPr>
        <w:pStyle w:val="TextBody"/>
        <w:spacing w:before="120" w:after="0"/>
        <w:jc w:val="left"/>
        <w:rPr>
          <w:rFonts w:ascii="Arial;sans-serif" w:hAnsi="Arial;sans-serif"/>
          <w:b w:val="false"/>
          <w:sz w:val="19"/>
        </w:rPr>
      </w:pPr>
      <w:r>
        <w:rPr>
          <w:rFonts w:ascii="Arial;sans-serif" w:hAnsi="Arial;sans-serif"/>
          <w:b w:val="false"/>
          <w:sz w:val="19"/>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pStyle w:val="TextBody"/>
        <w:spacing w:before="120" w:after="0"/>
        <w:jc w:val="left"/>
        <w:rPr>
          <w:rFonts w:ascii="Arial;sans-serif" w:hAnsi="Arial;sans-serif"/>
          <w:b/>
          <w:i/>
          <w:sz w:val="19"/>
        </w:rPr>
      </w:pPr>
      <w:r>
        <w:rPr>
          <w:rFonts w:ascii="Arial;sans-serif" w:hAnsi="Arial;sans-serif"/>
          <w:b/>
          <w:i/>
          <w:sz w:val="19"/>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results of operations, stock price and prospects.</w:t>
      </w:r>
    </w:p>
    <w:p>
      <w:pPr>
        <w:pStyle w:val="TextBody"/>
        <w:spacing w:before="120" w:after="0"/>
        <w:jc w:val="left"/>
        <w:rPr>
          <w:rFonts w:ascii="Arial;sans-serif" w:hAnsi="Arial;sans-serif"/>
          <w:b w:val="false"/>
          <w:sz w:val="19"/>
        </w:rPr>
      </w:pPr>
      <w:r>
        <w:rPr>
          <w:rFonts w:ascii="Arial;sans-serif" w:hAnsi="Arial;sans-serif"/>
          <w:b w:val="false"/>
          <w:sz w:val="19"/>
        </w:rPr>
        <w:t>Our operations are subject to anti-corruption laws, including the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also may participate in collaborations and relationships with third parties whose actions, if non-compliant,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pStyle w:val="TextBody"/>
        <w:spacing w:before="0" w:after="0"/>
        <w:jc w:val="left"/>
        <w:rPr>
          <w:rFonts w:ascii="Arial;sans-serif" w:hAnsi="Arial;sans-serif"/>
          <w:b w:val="false"/>
          <w:sz w:val="19"/>
        </w:rPr>
      </w:pPr>
      <w:r>
        <w:rPr>
          <w:rFonts w:ascii="Arial;sans-serif" w:hAnsi="Arial;sans-serif"/>
          <w:b w:val="false"/>
          <w:sz w:val="19"/>
        </w:rPr>
        <w:t>We are also subject to other laws and regulations governing our international operations, including regulations administered by the government of the United States, including applicable import and export control regulations, economic sanctions on countries and persons, anti-money laundering laws, customs requirements and currency exchange regulations, collectively referred to as the trade control laws.</w:t>
      </w:r>
    </w:p>
    <w:p>
      <w:pPr>
        <w:pStyle w:val="TextBody"/>
        <w:spacing w:before="120" w:after="0"/>
        <w:jc w:val="left"/>
        <w:rPr>
          <w:rFonts w:ascii="Arial;sans-serif" w:hAnsi="Arial;sans-serif"/>
          <w:b w:val="false"/>
          <w:sz w:val="19"/>
        </w:rPr>
      </w:pPr>
      <w:r>
        <w:rPr>
          <w:rFonts w:ascii="Arial;sans-serif" w:hAnsi="Arial;sans-serif"/>
          <w:b w:val="false"/>
          <w:sz w:val="19"/>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Likewise, any investigation of any potential violations of these anti-corruption laws or trade control laws by United States or other authorities could also have an adverse impact on our reputation, our business, financial condition, results of operations, stock price and prospects.</w:t>
      </w:r>
    </w:p>
    <w:p>
      <w:pPr>
        <w:pStyle w:val="TextBody"/>
        <w:spacing w:before="120" w:after="0"/>
        <w:jc w:val="left"/>
        <w:rPr>
          <w:rFonts w:ascii="Arial;sans-serif" w:hAnsi="Arial;sans-serif"/>
          <w:b/>
          <w:i/>
          <w:sz w:val="19"/>
        </w:rPr>
      </w:pPr>
      <w:r>
        <w:rPr>
          <w:rFonts w:ascii="Arial;sans-serif" w:hAnsi="Arial;sans-serif"/>
          <w:b/>
          <w:i/>
          <w:sz w:val="19"/>
        </w:rPr>
        <w:t>If we fail to comply with federal and state healthcare laws, including fraud and abuse and health and other information privacy and security laws, we could face substantial penalties and our business, financial condition, results of operations, stock price and prospects will be materially harmed.</w:t>
      </w:r>
    </w:p>
    <w:p>
      <w:pPr>
        <w:pStyle w:val="TextBody"/>
        <w:spacing w:before="120" w:after="0"/>
        <w:jc w:val="left"/>
        <w:rPr>
          <w:rFonts w:ascii="Times New Roman" w:hAnsi="Times New Roman"/>
          <w:sz w:val="20"/>
        </w:rPr>
      </w:pPr>
      <w:r>
        <w:rPr>
          <w:rFonts w:ascii="Arial;sans-serif" w:hAnsi="Arial;sans-serif"/>
          <w:b w:val="false"/>
          <w:sz w:val="19"/>
        </w:rPr>
        <w:t>We are subject to many federal and state healthcare laws, such as the federal Anti-Kickback Statute, the federal civil and criminal False Claims Acts, the civil monetary penalties statute, the Medicaid Drug Rebate statute and other price reporting requirements, the Veterans Health Care Act of 1992 (VHCA), HIPAA, the FCPA, the ACA and similar state laws. Even though we do not and will not control referrals of healthcare services or bill directly to Medicare, Medicaid or other third-party payors,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59</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certain federal and state healthcare laws, and regulations pertaining to fraud and abuse, reimbursement programs, government procurement, and patients’ rights are and will be applicable to our business. We would be subject to healthcare fraud and abuse and patient privacy regulation by both the federal government and the states and foreign jurisdictions in which we conduct our business. In the European Union, the data privacy laws are generally stricter than those which apply in the United States and include specific requirements for the collection of personal data of European Union persons or the transfer of personal data outside of the European Union to the United States to ensure that European Union standards of data privacy will be applied to such data.</w:t>
      </w:r>
    </w:p>
    <w:p>
      <w:pPr>
        <w:pStyle w:val="TextBody"/>
        <w:spacing w:before="120" w:after="0"/>
        <w:jc w:val="left"/>
        <w:rPr>
          <w:rFonts w:ascii="Arial;sans-serif" w:hAnsi="Arial;sans-serif"/>
          <w:b w:val="false"/>
          <w:sz w:val="19"/>
        </w:rPr>
      </w:pPr>
      <w:r>
        <w:rPr>
          <w:rFonts w:ascii="Arial;sans-serif" w:hAnsi="Arial;sans-serif"/>
          <w:b w:val="false"/>
          <w:sz w:val="19"/>
        </w:rPr>
        <w:t>If we or our operations, including our arrangements with physicians and other healthcare providers, some of whom receive share options or other financial interest in the business as compensation for services provided, are found to be in violation of any federal or state healthcare law, or any other governmental laws or regulations that apply to us, we may be subject to penalties, including civil, criminal, and administrative penalties, damages, fines, disgorgement, suspension and debarment from government contracts, and refusal of orders under existing government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or they may be subject to criminal, civil or administrative sanctions, including but not limited to, exclusions from participation in government healthcare programs, which could also materially affect our business.</w:t>
      </w:r>
    </w:p>
    <w:p>
      <w:pPr>
        <w:pStyle w:val="TextBody"/>
        <w:spacing w:before="120" w:after="0"/>
        <w:jc w:val="left"/>
        <w:rPr>
          <w:rFonts w:ascii="Arial;sans-serif" w:hAnsi="Arial;sans-serif"/>
          <w:b w:val="false"/>
          <w:sz w:val="19"/>
        </w:rPr>
      </w:pPr>
      <w:r>
        <w:rPr>
          <w:rFonts w:ascii="Arial;sans-serif" w:hAnsi="Arial;sans-serif"/>
          <w:b w:val="false"/>
          <w:sz w:val="19"/>
        </w:rPr>
        <w:t>Although an effective compliance program can mitigate the risk of investigation and prosecution for violations of these laws, the risks cannot be entirely eliminated. Moreover, achieving and sustaining compliance with applicable federal, state and foreign privacy, data protection, security, reimbursement, and fraud laws may prove costly. Any action against us for violation of these laws, even if we successfully defend against it, could cause us to incur significant legal expenses and divert our management’s attention from the operation of our business.</w:t>
      </w:r>
    </w:p>
    <w:p>
      <w:pPr>
        <w:pStyle w:val="TextBody"/>
        <w:spacing w:before="120" w:after="0"/>
        <w:jc w:val="left"/>
        <w:rPr>
          <w:rFonts w:ascii="Arial;sans-serif" w:hAnsi="Arial;sans-serif"/>
          <w:b w:val="false"/>
          <w:sz w:val="19"/>
        </w:rPr>
      </w:pPr>
      <w:r>
        <w:rPr>
          <w:rFonts w:ascii="Arial;sans-serif" w:hAnsi="Arial;sans-serif"/>
          <w:b w:val="false"/>
          <w:sz w:val="19"/>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pStyle w:val="TextBody"/>
        <w:spacing w:before="120" w:after="0"/>
        <w:jc w:val="left"/>
        <w:rPr>
          <w:rFonts w:ascii="Arial;sans-serif" w:hAnsi="Arial;sans-serif"/>
          <w:b/>
          <w:i/>
          <w:sz w:val="19"/>
        </w:rPr>
      </w:pPr>
      <w:r>
        <w:rPr>
          <w:rFonts w:ascii="Arial;sans-serif" w:hAnsi="Arial;sans-serif"/>
          <w:b/>
          <w:i/>
          <w:sz w:val="19"/>
        </w:rPr>
        <w:t>Changes in tax laws or in their implementation or interpretation may adversely affect our business and financial condition.</w:t>
      </w:r>
    </w:p>
    <w:p>
      <w:pPr>
        <w:pStyle w:val="TextBody"/>
        <w:spacing w:before="120" w:after="0"/>
        <w:jc w:val="left"/>
        <w:rPr>
          <w:rFonts w:ascii="Arial;sans-serif" w:hAnsi="Arial;sans-serif"/>
          <w:b w:val="false"/>
          <w:sz w:val="19"/>
        </w:rPr>
      </w:pPr>
      <w:r>
        <w:rPr>
          <w:rFonts w:ascii="Arial;sans-serif" w:hAnsi="Arial;sans-serif"/>
          <w:b w:val="false"/>
          <w:sz w:val="19"/>
        </w:rPr>
        <w:t>Changes in tax law may adversely affect our business or financial condition. Any new taxes could adversely affect our business and financial performance. Further, existing tax laws, statutes, rules, regulations or ordinances could be interpreted, changed, modified or applied adversely to us. For example, under Section 174 of the Internal Revenue Code of 1986, as amended (the Code), in taxable years beginning after December 31, 2021, expenses that are incurred for research and development in the U.S. will be capitalized and amortized, which may have an adverse effect on our cash flow. In addition, it is uncertain if and to what extent various states will conform to changes to U.S. federal income tax law. We urge prospective investors in our common stock to consult with their legal and tax advisors with respect to any recently enacted tax legislation, or proposed changes in law, and the potential tax consequences of investing in or holding our common stock.</w:t>
      </w:r>
    </w:p>
    <w:p>
      <w:pPr>
        <w:pStyle w:val="TextBody"/>
        <w:spacing w:before="120" w:after="0"/>
        <w:jc w:val="left"/>
        <w:rPr>
          <w:rFonts w:ascii="Arial;sans-serif" w:hAnsi="Arial;sans-serif"/>
          <w:b/>
          <w:i/>
          <w:sz w:val="19"/>
        </w:rPr>
      </w:pPr>
      <w:r>
        <w:rPr>
          <w:rFonts w:ascii="Arial;sans-serif" w:hAnsi="Arial;sans-serif"/>
          <w:b/>
          <w:i/>
          <w:sz w:val="19"/>
        </w:rPr>
        <w:t>Our ability to utilize our net operating loss carryforwards and certain other tax attributes may be limited.</w:t>
      </w:r>
    </w:p>
    <w:p>
      <w:pPr>
        <w:pStyle w:val="TextBody"/>
        <w:spacing w:before="120" w:after="0"/>
        <w:jc w:val="left"/>
        <w:rPr>
          <w:rFonts w:ascii="Times New Roman" w:hAnsi="Times New Roman"/>
          <w:sz w:val="20"/>
        </w:rPr>
      </w:pPr>
      <w:r>
        <w:rPr>
          <w:rFonts w:ascii="Arial;sans-serif" w:hAnsi="Arial;sans-serif"/>
          <w:b w:val="false"/>
          <w:sz w:val="19"/>
        </w:rPr>
        <w:t>Under Sections 382 and 383 of the Code, if a corporation undergoes an “ownership change” (generally defined as a greater than 50% change (by value) in its equity ownership by 5% stockholders over a three-year period), the corporation’s ability to use its pre-change net operating loss carryforwards and other pre-change tax attributes to offset its post-change taxable income may be limited. As a result of our most recent private placements, the IPO, and other transactions that have occurred over the past three years, we may have experienced, an “ownership change.” We may also experience ownership changes in the future as a result of subsequent shifts in our stock ownership. As of December 31, 2022, we had U.S. federal and state net operating loss carryforwards of $65.9 million and $61.9 million, which begin to expire in 2027 and 2032, respectively, and which could be limited if we experience an “ownership change.” The reduction of the corporate tax rate under TCJA may cause a reduction in the economic benefit of our net operating loss carryforwards and other deferred tax assets available to us. Under current federal</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60</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tax law, federal net operating losses generated after December 31, 2017 will not be subject to expiration but will not be permitted to be carried back. In addition, under current U.S. federal tax law, the amount of net operating losses generated after December 31, 2020 that we are permitted to deduct in any taxable year is limited to 80% of our taxable income in such year, where taxable income is determined without regard to the net operating loss deduction itself. Additionally, as of December 31, 2022, we had a U.S. federal net operating loss carryforward of $57.1 million which do not expire but is limited to an annual deduction equal to 80% of annual taxable income.</w:t>
      </w:r>
    </w:p>
    <w:p>
      <w:pPr>
        <w:pStyle w:val="TextBody"/>
        <w:spacing w:before="120" w:after="0"/>
        <w:jc w:val="left"/>
        <w:rPr>
          <w:rFonts w:ascii="Arial;sans-serif" w:hAnsi="Arial;sans-serif"/>
          <w:b/>
          <w:i/>
          <w:sz w:val="19"/>
        </w:rPr>
      </w:pPr>
      <w:r>
        <w:rPr>
          <w:rFonts w:ascii="Arial;sans-serif" w:hAnsi="Arial;sans-serif"/>
          <w:b/>
          <w:i/>
          <w:sz w:val="19"/>
        </w:rPr>
        <w:t>If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pStyle w:val="TextBody"/>
        <w:spacing w:before="120" w:after="0"/>
        <w:jc w:val="left"/>
        <w:rPr>
          <w:rFonts w:ascii="Times New Roman" w:hAnsi="Times New Roman"/>
          <w:sz w:val="20"/>
        </w:rPr>
      </w:pPr>
      <w:r>
        <w:rPr>
          <w:rFonts w:ascii="Arial;sans-serif" w:hAnsi="Arial;sans-serif"/>
          <w:b w:val="false"/>
          <w:sz w:val="19"/>
        </w:rPr>
        <w:t>In both domestic and foreign markets, sales of our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If reimbursement is not available, or is available only to limited levels, our product candidates may be competitively disadvantaged, and we may not be able to successfully commercialize our product candidates. Even if coverage is provided, the approved reimbursement amount may not be high enough to allow us to establish or maintain a market share sufficient to realize a sufficient return on our or their investments. Alternatively, securing favorable reimbursement terms may require us to compromise pricing and prevent us from realizing an adequate margin over cost.</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There is significant uncertainty related to third-party payor coverage and reimbursement of newly approved therapeutics.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or their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w:t>
      </w:r>
    </w:p>
    <w:p>
      <w:pPr>
        <w:pStyle w:val="TextBody"/>
        <w:spacing w:before="120" w:after="0"/>
        <w:jc w:val="left"/>
        <w:rPr>
          <w:rFonts w:ascii="Arial;sans-serif" w:hAnsi="Arial;sans-serif"/>
          <w:b w:val="false"/>
          <w:sz w:val="19"/>
        </w:rPr>
      </w:pPr>
      <w:r>
        <w:rPr>
          <w:rFonts w:ascii="Arial;sans-serif" w:hAnsi="Arial;sans-serif"/>
          <w:b w:val="false"/>
          <w:sz w:val="19"/>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pStyle w:val="TextBody"/>
        <w:spacing w:before="120" w:after="0"/>
        <w:jc w:val="left"/>
        <w:rPr>
          <w:rFonts w:ascii="Arial;sans-serif" w:hAnsi="Arial;sans-serif"/>
          <w:b w:val="false"/>
          <w:sz w:val="19"/>
        </w:rPr>
      </w:pPr>
      <w:r>
        <w:rPr>
          <w:rFonts w:ascii="Arial;sans-serif" w:hAnsi="Arial;sans-serif"/>
          <w:b w:val="false"/>
          <w:sz w:val="19"/>
        </w:rPr>
        <w:t>In addition, federal programs impose penalties on manufacturers of therapeutics in the form of mandatory additional rebates and/or discounts if commercial prices increase at a rate greater than the Consumer Price Index-Urban, and these rebates and/or discounts, which can be substantial, may impact our ability to raise commercial prices. A few states have also passed or are considering legislation intended to prevent significant price increases. Regulatory authorities and third-party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pStyle w:val="TextBody"/>
        <w:spacing w:before="120" w:after="0"/>
        <w:jc w:val="left"/>
        <w:rPr>
          <w:rFonts w:ascii="Times New Roman" w:hAnsi="Times New Roman"/>
          <w:sz w:val="20"/>
        </w:rPr>
      </w:pPr>
      <w:r>
        <w:rPr>
          <w:rFonts w:ascii="Arial;sans-serif" w:hAnsi="Arial;sans-serif"/>
          <w:b w:val="false"/>
          <w:sz w:val="19"/>
        </w:rPr>
        <w:t>In addition, third-party payors are increasingly requiring higher levels of evidence of the benefits and clinical outcomes of new technologies, benchmarking against other therapies, seeking performance-based discounts, and challenging the prices charged.</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61</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We cannot be sure that coverage will be available for any product candidate that we commercialize and, if available, that the reimbursement rates will be adequate. An inability to promptly obtain coverage and adequate payment rates from both government-funded and private payors for any of our product candidates for which we obtain marketing approval could have a material adverse effect on our operating results, our ability to raise capital needed to commercialize products and our overall financial condition.</w:t>
      </w:r>
    </w:p>
    <w:p>
      <w:pPr>
        <w:pStyle w:val="TextBody"/>
        <w:spacing w:before="120" w:after="0"/>
        <w:jc w:val="left"/>
        <w:rPr>
          <w:rFonts w:ascii="Arial;sans-serif" w:hAnsi="Arial;sans-serif"/>
          <w:b/>
          <w:i/>
          <w:sz w:val="19"/>
        </w:rPr>
      </w:pPr>
      <w:r>
        <w:rPr>
          <w:rFonts w:ascii="Arial;sans-serif" w:hAnsi="Arial;sans-serif"/>
          <w:b/>
          <w:i/>
          <w:sz w:val="19"/>
        </w:rPr>
        <w:t>We are subject to new legislation, regulatory proposals and healthcare payor initiatives that may increase our costs of compliance, and adversely affect our ability to market our products, obtain collaborators and raise capital.</w:t>
      </w:r>
    </w:p>
    <w:p>
      <w:pPr>
        <w:pStyle w:val="TextBody"/>
        <w:spacing w:before="120" w:after="0"/>
        <w:jc w:val="left"/>
        <w:rPr>
          <w:rFonts w:ascii="Arial;sans-serif" w:hAnsi="Arial;sans-serif"/>
          <w:b w:val="false"/>
          <w:sz w:val="19"/>
        </w:rPr>
      </w:pPr>
      <w:r>
        <w:rPr>
          <w:rFonts w:ascii="Arial;sans-serif" w:hAnsi="Arial;sans-serif"/>
          <w:b w:val="false"/>
          <w:sz w:val="19"/>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pStyle w:val="TextBody"/>
        <w:spacing w:before="120" w:after="0"/>
        <w:jc w:val="left"/>
        <w:rPr>
          <w:rFonts w:ascii="Arial;sans-serif" w:hAnsi="Arial;sans-serif"/>
          <w:b w:val="false"/>
          <w:sz w:val="19"/>
        </w:rPr>
      </w:pPr>
      <w:r>
        <w:rPr>
          <w:rFonts w:ascii="Arial;sans-serif" w:hAnsi="Arial;sans-serif"/>
          <w:b w:val="false"/>
          <w:sz w:val="19"/>
        </w:rPr>
        <w:t>The continuing efforts of the government, insurance companies, managed care organizations and other payers of healthcare services to contain or reduce costs of healthcare may adversely affect: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demand for any of our product candidates, if approved;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ability to set a price that we believe is fair for any of our product candidates, if approved;</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ability to generate revenues and achieve or maintain profitability;</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level of taxes that we are required to pay;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availability of capital.</w:t>
      </w:r>
    </w:p>
    <w:p>
      <w:pPr>
        <w:pStyle w:val="TextBody"/>
        <w:spacing w:before="120" w:after="0"/>
        <w:jc w:val="left"/>
        <w:rPr>
          <w:rFonts w:ascii="Arial;sans-serif" w:hAnsi="Arial;sans-serif"/>
          <w:b w:val="false"/>
          <w:sz w:val="19"/>
        </w:rPr>
      </w:pPr>
      <w:r>
        <w:rPr>
          <w:rFonts w:ascii="Arial;sans-serif" w:hAnsi="Arial;sans-serif"/>
          <w:b w:val="false"/>
          <w:sz w:val="19"/>
        </w:rPr>
        <w:t>Legislative and regulatory proposals have been made to expand post-approval requirements and restrict sales and promotional activities for pharmaceutical and biologic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spacing w:before="120" w:after="0"/>
        <w:jc w:val="left"/>
        <w:rPr>
          <w:rFonts w:ascii="Arial;sans-serif" w:hAnsi="Arial;sans-serif"/>
          <w:b w:val="false"/>
          <w:sz w:val="19"/>
        </w:rPr>
      </w:pPr>
      <w:r>
        <w:rPr>
          <w:rFonts w:ascii="Arial;sans-serif" w:hAnsi="Arial;sans-serif"/>
          <w:b w:val="false"/>
          <w:sz w:val="19"/>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pStyle w:val="TextBody"/>
        <w:spacing w:before="120" w:after="0"/>
        <w:jc w:val="left"/>
        <w:rPr>
          <w:rFonts w:ascii="Arial;sans-serif" w:hAnsi="Arial;sans-serif"/>
          <w:b w:val="false"/>
          <w:sz w:val="19"/>
        </w:rPr>
      </w:pPr>
      <w:r>
        <w:rPr>
          <w:rFonts w:ascii="Arial;sans-serif" w:hAnsi="Arial;sans-serif"/>
          <w:b w:val="false"/>
          <w:sz w:val="19"/>
        </w:rPr>
        <w:t>We expect that the healthcare reform measures that have been adopted and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pStyle w:val="TextBody"/>
        <w:spacing w:before="120" w:after="0"/>
        <w:jc w:val="left"/>
        <w:rPr>
          <w:rFonts w:ascii="Arial;sans-serif" w:hAnsi="Arial;sans-serif"/>
          <w:b/>
          <w:i/>
          <w:sz w:val="19"/>
        </w:rPr>
      </w:pPr>
      <w:r>
        <w:rPr>
          <w:rFonts w:ascii="Arial;sans-serif" w:hAnsi="Arial;sans-serif"/>
          <w:b/>
          <w:i/>
          <w:sz w:val="19"/>
        </w:rPr>
        <w:t>Our employees, independent contractors, consultants, commercial partners, principal investigators, CROs or CMOs may engage in misconduct or other improper activities, including noncompliance with regulatory standards and requirements and insider trading, which could have a material adverse effect on our business.</w:t>
      </w:r>
    </w:p>
    <w:p>
      <w:pPr>
        <w:pStyle w:val="TextBody"/>
        <w:spacing w:before="120" w:after="0"/>
        <w:jc w:val="left"/>
        <w:rPr>
          <w:rFonts w:ascii="Times New Roman" w:hAnsi="Times New Roman"/>
          <w:sz w:val="20"/>
        </w:rPr>
      </w:pPr>
      <w:r>
        <w:rPr>
          <w:rFonts w:ascii="Arial;sans-serif" w:hAnsi="Arial;sans-serif"/>
          <w:b w:val="false"/>
          <w:sz w:val="19"/>
        </w:rPr>
        <w:t>We are exposed to the risk of employee fraud or other misconduct. Misconduct by employees, independent contractors, consultants, commercial partners, principal investigators, CMOs or CROs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If any such actions are instituted against us, and we are not successful in defending ourselves or asserting our rights, those actions could have a significant</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62</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impact on our business, financial condition, results of operations, stock price and prospects, including the imposition of significant fines or other sanctions.</w:t>
      </w:r>
    </w:p>
    <w:p>
      <w:pPr>
        <w:pStyle w:val="TextBody"/>
        <w:spacing w:before="120" w:after="0"/>
        <w:jc w:val="left"/>
        <w:rPr>
          <w:rFonts w:ascii="Arial;sans-serif" w:hAnsi="Arial;sans-serif"/>
          <w:b/>
          <w:i/>
          <w:sz w:val="19"/>
        </w:rPr>
      </w:pPr>
      <w:r>
        <w:rPr>
          <w:rFonts w:ascii="Arial;sans-serif" w:hAnsi="Arial;sans-serif"/>
          <w:b/>
          <w:i/>
          <w:sz w:val="19"/>
        </w:rPr>
        <w:t>Violations of or liabilities under environmental, health and safety laws and regulations could subject us to fines, penalties or other costs that could have a material adverse effect on the success of our business.</w:t>
      </w:r>
    </w:p>
    <w:p>
      <w:pPr>
        <w:pStyle w:val="TextBody"/>
        <w:spacing w:before="120" w:after="0"/>
        <w:jc w:val="left"/>
        <w:rPr>
          <w:rFonts w:ascii="Arial;sans-serif" w:hAnsi="Arial;sans-serif"/>
          <w:b w:val="false"/>
          <w:sz w:val="19"/>
        </w:rPr>
      </w:pPr>
      <w:r>
        <w:rPr>
          <w:rFonts w:ascii="Arial;sans-serif" w:hAnsi="Arial;sans-serif"/>
          <w:b w:val="false"/>
          <w:sz w:val="19"/>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hazardous and flammable materials, including chemicals and biological and radioactive materials. Our operations also produce hazardous waste products.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spacing w:before="120" w:after="0"/>
        <w:jc w:val="left"/>
        <w:rPr>
          <w:rFonts w:ascii="Arial;sans-serif" w:hAnsi="Arial;sans-serif"/>
          <w:b w:val="false"/>
          <w:sz w:val="19"/>
        </w:rPr>
      </w:pPr>
      <w:r>
        <w:rPr>
          <w:rFonts w:ascii="Arial;sans-serif" w:hAnsi="Arial;sans-serif"/>
          <w:b w:val="false"/>
          <w:sz w:val="19"/>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spacing w:before="160" w:after="0"/>
        <w:jc w:val="left"/>
        <w:rPr>
          <w:rFonts w:ascii="Arial;sans-serif" w:hAnsi="Arial;sans-serif"/>
          <w:b/>
          <w:sz w:val="19"/>
        </w:rPr>
      </w:pPr>
      <w:r>
        <w:rPr>
          <w:rFonts w:ascii="Arial;sans-serif" w:hAnsi="Arial;sans-serif"/>
          <w:b/>
          <w:sz w:val="19"/>
        </w:rPr>
        <w:t>Risks Related to Our Reliance on Third Parties</w:t>
      </w:r>
    </w:p>
    <w:p>
      <w:pPr>
        <w:pStyle w:val="TextBody"/>
        <w:spacing w:before="120" w:after="0"/>
        <w:jc w:val="left"/>
        <w:rPr>
          <w:rFonts w:ascii="Times New Roman" w:hAnsi="Times New Roman"/>
          <w:sz w:val="20"/>
        </w:rPr>
      </w:pPr>
      <w:r>
        <w:rPr>
          <w:rFonts w:ascii="Arial;sans-serif" w:hAnsi="Arial;sans-serif"/>
          <w:b/>
          <w:i/>
          <w:sz w:val="19"/>
        </w:rPr>
        <w:t>For certain product candidates</w:t>
      </w:r>
      <w:r>
        <w:rPr>
          <w:rFonts w:ascii="Arial;sans-serif" w:hAnsi="Arial;sans-serif"/>
          <w:b w:val="false"/>
          <w:i/>
          <w:sz w:val="19"/>
        </w:rPr>
        <w:t xml:space="preserve">, </w:t>
      </w:r>
      <w:r>
        <w:rPr>
          <w:rFonts w:ascii="Arial;sans-serif" w:hAnsi="Arial;sans-serif"/>
          <w:b/>
          <w:i/>
          <w:sz w:val="19"/>
        </w:rPr>
        <w:t>we depend</w:t>
      </w:r>
      <w:r>
        <w:rPr>
          <w:rFonts w:ascii="Arial;sans-serif" w:hAnsi="Arial;sans-serif"/>
          <w:b w:val="false"/>
          <w:i/>
          <w:sz w:val="19"/>
        </w:rPr>
        <w:t xml:space="preserve">, </w:t>
      </w:r>
      <w:r>
        <w:rPr>
          <w:rFonts w:ascii="Arial;sans-serif" w:hAnsi="Arial;sans-serif"/>
          <w:b/>
          <w:i/>
          <w:sz w:val="19"/>
        </w:rPr>
        <w:t>or will depend</w:t>
      </w:r>
      <w:r>
        <w:rPr>
          <w:rFonts w:ascii="Arial;sans-serif" w:hAnsi="Arial;sans-serif"/>
          <w:b w:val="false"/>
          <w:i/>
          <w:sz w:val="19"/>
        </w:rPr>
        <w:t xml:space="preserve">, </w:t>
      </w:r>
      <w:r>
        <w:rPr>
          <w:rFonts w:ascii="Arial;sans-serif" w:hAnsi="Arial;sans-serif"/>
          <w:b/>
          <w:i/>
          <w:sz w:val="19"/>
        </w:rPr>
        <w:t>on development and commercialization collaborators to develop and conduct clinical trials with</w:t>
      </w:r>
      <w:r>
        <w:rPr>
          <w:rFonts w:ascii="Arial;sans-serif" w:hAnsi="Arial;sans-serif"/>
          <w:b w:val="false"/>
          <w:i/>
          <w:sz w:val="19"/>
        </w:rPr>
        <w:t xml:space="preserve">, </w:t>
      </w:r>
      <w:r>
        <w:rPr>
          <w:rFonts w:ascii="Arial;sans-serif" w:hAnsi="Arial;sans-serif"/>
          <w:b/>
          <w:i/>
          <w:sz w:val="19"/>
        </w:rPr>
        <w:t>obtain regulatory approvals for</w:t>
      </w:r>
      <w:r>
        <w:rPr>
          <w:rFonts w:ascii="Arial;sans-serif" w:hAnsi="Arial;sans-serif"/>
          <w:b w:val="false"/>
          <w:i/>
          <w:sz w:val="19"/>
        </w:rPr>
        <w:t xml:space="preserve">, </w:t>
      </w:r>
      <w:r>
        <w:rPr>
          <w:rFonts w:ascii="Arial;sans-serif" w:hAnsi="Arial;sans-serif"/>
          <w:b/>
          <w:i/>
          <w:sz w:val="19"/>
        </w:rPr>
        <w:t>and if approved</w:t>
      </w:r>
      <w:r>
        <w:rPr>
          <w:rFonts w:ascii="Arial;sans-serif" w:hAnsi="Arial;sans-serif"/>
          <w:b w:val="false"/>
          <w:i/>
          <w:sz w:val="19"/>
        </w:rPr>
        <w:t xml:space="preserve">, </w:t>
      </w:r>
      <w:r>
        <w:rPr>
          <w:rFonts w:ascii="Arial;sans-serif" w:hAnsi="Arial;sans-serif"/>
          <w:b/>
          <w:i/>
          <w:sz w:val="19"/>
        </w:rPr>
        <w:t>market and sell product candidates</w:t>
      </w:r>
      <w:r>
        <w:rPr>
          <w:rFonts w:ascii="Arial;sans-serif" w:hAnsi="Arial;sans-serif"/>
          <w:b w:val="false"/>
          <w:i/>
          <w:sz w:val="19"/>
        </w:rPr>
        <w:t xml:space="preserve">. </w:t>
      </w:r>
      <w:r>
        <w:rPr>
          <w:rFonts w:ascii="Arial;sans-serif" w:hAnsi="Arial;sans-serif"/>
          <w:b/>
          <w:i/>
          <w:sz w:val="19"/>
        </w:rPr>
        <w:t>If such collaborators fail to perform as expected</w:t>
      </w:r>
      <w:r>
        <w:rPr>
          <w:rFonts w:ascii="Arial;sans-serif" w:hAnsi="Arial;sans-serif"/>
          <w:b w:val="false"/>
          <w:i/>
          <w:sz w:val="19"/>
        </w:rPr>
        <w:t xml:space="preserve">, </w:t>
      </w:r>
      <w:r>
        <w:rPr>
          <w:rFonts w:ascii="Arial;sans-serif" w:hAnsi="Arial;sans-serif"/>
          <w:b/>
          <w:i/>
          <w:sz w:val="19"/>
        </w:rPr>
        <w:t>the potential for us to generate future revenue from such product candidates would be significantly reduced and our business would be harmed</w:t>
      </w:r>
      <w:r>
        <w:rPr>
          <w:rFonts w:ascii="Arial;sans-serif" w:hAnsi="Arial;sans-serif"/>
          <w:b w:val="false"/>
          <w:i/>
          <w:sz w:val="19"/>
        </w:rPr>
        <w:t>.</w:t>
      </w:r>
    </w:p>
    <w:p>
      <w:pPr>
        <w:pStyle w:val="TextBody"/>
        <w:spacing w:before="120" w:after="0"/>
        <w:jc w:val="left"/>
        <w:rPr>
          <w:rFonts w:ascii="Arial;sans-serif" w:hAnsi="Arial;sans-serif"/>
          <w:b w:val="false"/>
          <w:sz w:val="19"/>
        </w:rPr>
      </w:pPr>
      <w:r>
        <w:rPr>
          <w:rFonts w:ascii="Arial;sans-serif" w:hAnsi="Arial;sans-serif"/>
          <w:b w:val="false"/>
          <w:sz w:val="19"/>
        </w:rPr>
        <w:t>For certain product candidates, we depend, or will depend, on our development and commercial collaborators to develop, conduct clinical trials of, and, if approved, commercialize product candidates. We cannot provide assurance that our collaborators will be successful in or that they will devote sufficient resources to these collaborations. If our current or future collaboration and commercialization partners do not perform in the manner we expect or fail to fulfill their responsibilities in a timely manner, or at all, if our agreements with them terminate or if the quality or accuracy of the clinical data they obtain is compromised, the clinical development, regulatory approval and commercialization efforts related to their and our product candidates and products could be delayed or terminated and it could become necessary for us to assume the responsibility at our own expense for the clinical development of such product candidates. Moreover, our ability to generate revenues from these collaborations and product candidates will depend on such collaborators’ abilities to perform in the manner we expect or fulfill their responsibilities in a timely manner, and delays by collaborators, or caused by other collaboration contract obligations, may result in a delay of our ability to disclose data.</w:t>
      </w:r>
    </w:p>
    <w:p>
      <w:pPr>
        <w:pStyle w:val="TextBody"/>
        <w:spacing w:before="120" w:after="0"/>
        <w:jc w:val="left"/>
        <w:rPr>
          <w:rFonts w:ascii="Arial;sans-serif" w:hAnsi="Arial;sans-serif"/>
          <w:b w:val="false"/>
          <w:sz w:val="19"/>
        </w:rPr>
      </w:pPr>
      <w:r>
        <w:rPr>
          <w:rFonts w:ascii="Arial;sans-serif" w:hAnsi="Arial;sans-serif"/>
          <w:b w:val="false"/>
          <w:sz w:val="19"/>
        </w:rPr>
        <w:t>Our current collaborations and any future collaborations that we enter into are subject to numerous risks, including: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collaborators have significant discretion in determining the efforts and resources that they will apply to the collaborations;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collaborators may not perform their obligations as expected or fail to fulfill their responsibilities in a timely manner, or at all;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collaborators may not pursue development and commercialization of any product candidates that achieve regulatory approval or may elect not to continue or renew development or commercialization programs based on preclinical studies or clinical trial results, changes in the collaborators’ strategic focus or available funding or external factors, such as an acquisition, that divert resources or create competing priorities;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collaborators may delay preclinical studies or clinical trials, provide insufficient funding for clinical trials, stop a preclinical study or clinical trial or abandon a product candidate, repeat or conduct new clinical trials or require a new formulation of a product candidate for clinical testing;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collaborators could fail to make timely regulatory submissions for a product candidate;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spacing w:before="240" w:after="0"/>
        <w:jc w:val="center"/>
        <w:rPr>
          <w:rFonts w:ascii="Arial;sans-serif" w:hAnsi="Arial;sans-serif"/>
          <w:b w:val="false"/>
          <w:sz w:val="20"/>
        </w:rPr>
      </w:pPr>
      <w:r>
        <w:rPr>
          <w:rFonts w:ascii="Arial;sans-serif" w:hAnsi="Arial;sans-serif"/>
          <w:b w:val="false"/>
          <w:sz w:val="20"/>
        </w:rPr>
        <w:t>63</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collaborations may not result in product candidates to develop and/or preclinical studies or clinical trials conducted as part of the collaborations may not be successful;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product candidates developed with collaborators may be viewed by our collaborators as competitive with their own product candidates or products, which may cause collaborators to stop commercialization of our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 collaborator with marketing and distribution rights to one or more of our product candidates that achieve regulatory approval may not commit sufficient resources to the marketing and distribution of any such product candidate;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spacing w:before="120" w:after="0"/>
        <w:jc w:val="left"/>
        <w:rPr>
          <w:rFonts w:ascii="Arial;sans-serif" w:hAnsi="Arial;sans-serif"/>
          <w:b w:val="false"/>
          <w:sz w:val="19"/>
        </w:rPr>
      </w:pPr>
      <w:r>
        <w:rPr>
          <w:rFonts w:ascii="Arial;sans-serif" w:hAnsi="Arial;sans-serif"/>
          <w:b w:val="false"/>
          <w:sz w:val="19"/>
        </w:rPr>
        <w:t>In addition, certain collaboration and commercialization agreements provide our collaborators with rights to terminate such agreements, which rights may or may not be subject to conditions, and which rights, if exercised, would adversely affect our product development efforts and could make it difficult for us to attract new collaborators. For example, our license agreement with MGB may be terminated by MGB for our failure to pay, our failure to maintain proper insurance in accordance with the agreement, if we file for bankruptcy or if we remain in default for non-financial reasons following a specified cure period to remedy the breach. In the event of the termination of any collaboration or commercialization agreement, we would likely be required to limit the size and scope of efforts for the development and commercialization of such product candidates or products; we would likely be required to seek additional financing to fund further development or identify alternative strategic collaborations; our potential to generate future revenue from royalties and milestone payments from such product candidates or products would be significantly reduced, delayed or eliminated; and it could have an adverse effect on our business and future growth prospects. Our rights to recover tangible and intangible assets and intellectual property rights needed to advance a product candidate or product after termination of a collaboration may be limited by contract, and we may not be able to advance a program post-termination.</w:t>
      </w:r>
    </w:p>
    <w:p>
      <w:pPr>
        <w:pStyle w:val="TextBody"/>
        <w:spacing w:before="120" w:after="0"/>
        <w:jc w:val="left"/>
        <w:rPr>
          <w:rFonts w:ascii="Arial;sans-serif" w:hAnsi="Arial;sans-serif"/>
          <w:b w:val="false"/>
          <w:sz w:val="19"/>
        </w:rPr>
      </w:pPr>
      <w:r>
        <w:rPr>
          <w:rFonts w:ascii="Arial;sans-serif" w:hAnsi="Arial;sans-serif"/>
          <w:b w:val="false"/>
          <w:sz w:val="19"/>
        </w:rPr>
        <w:t>As a result of the foregoing, our current and any future 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 If one of our collaborators terminates its agreement with us, we may find it more difficult to attract new collaborators and our reputation in the business and financial communities could be adversely affected. Any failure to successfully develop or commercialize our product candidates pursuant to our current or any future collaboration agreements could have a material and adverse effect on our business, financial condition, results of operations and prospects.</w:t>
      </w:r>
    </w:p>
    <w:p>
      <w:pPr>
        <w:pStyle w:val="TextBody"/>
        <w:spacing w:before="120" w:after="0"/>
        <w:jc w:val="left"/>
        <w:rPr>
          <w:rFonts w:ascii="Times New Roman" w:hAnsi="Times New Roman"/>
          <w:sz w:val="20"/>
        </w:rPr>
      </w:pPr>
      <w:r>
        <w:rPr>
          <w:rFonts w:ascii="Arial;sans-serif" w:hAnsi="Arial;sans-serif"/>
          <w:b/>
          <w:i/>
          <w:sz w:val="19"/>
        </w:rPr>
        <w:t>If conflicts arise with our development and commercialization collaborators or licensors, they may act in their own self-interest, which may be adverse to the interests of our company</w:t>
      </w:r>
      <w:r>
        <w:rPr>
          <w:rFonts w:ascii="Arial;sans-serif" w:hAnsi="Arial;sans-serif"/>
          <w:b w:val="false"/>
          <w:i/>
          <w:sz w:val="19"/>
        </w:rPr>
        <w:t>.</w:t>
      </w:r>
    </w:p>
    <w:p>
      <w:pPr>
        <w:pStyle w:val="TextBody"/>
        <w:spacing w:before="120" w:after="0"/>
        <w:jc w:val="left"/>
        <w:rPr>
          <w:rFonts w:ascii="Arial;sans-serif" w:hAnsi="Arial;sans-serif"/>
          <w:b w:val="false"/>
          <w:sz w:val="19"/>
        </w:rPr>
      </w:pPr>
      <w:r>
        <w:rPr>
          <w:rFonts w:ascii="Arial;sans-serif" w:hAnsi="Arial;sans-serif"/>
          <w:b w:val="false"/>
          <w:sz w:val="19"/>
        </w:rPr>
        <w:t>We may in the future experience disagreements with our development and commercialization collaborators or licensors. Conflicts may arise in our collaboration and license arrangements with third parties due to one or more of the following: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disputes with respect to milestone, royalty and other payments that are believed due under the applicable agreements;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disagreements with respect to the ownership of intellectual property rights or scope of licenses;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disagreements with respect to the scope of any reporting obligations;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disagreements with respect to contract interpretation or the preferred course of development;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unwillingness on the part of a collaborator to keep us informed regarding the progress of its development and commercialization activities, or to permit public disclosure of these activities;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disputes with respect to a collaborator’s or our development or commercialization efforts with respect to our products and product candidates.</w:t>
      </w:r>
    </w:p>
    <w:p>
      <w:pPr>
        <w:pStyle w:val="TextBody"/>
        <w:spacing w:before="120" w:after="0"/>
        <w:jc w:val="left"/>
        <w:rPr>
          <w:rFonts w:ascii="Arial;sans-serif" w:hAnsi="Arial;sans-serif"/>
          <w:b w:val="false"/>
          <w:sz w:val="19"/>
        </w:rPr>
      </w:pPr>
      <w:r>
        <w:rPr>
          <w:rFonts w:ascii="Arial;sans-serif" w:hAnsi="Arial;sans-serif"/>
          <w:b w:val="false"/>
          <w:sz w:val="19"/>
        </w:rPr>
        <w:t>Conflicts with our development and commercialization collaborators or licensors could materially adversely affect our business, financial condition or results of operations and future growth prospects.</w:t>
      </w:r>
    </w:p>
    <w:p>
      <w:pPr>
        <w:pStyle w:val="TextBody"/>
        <w:spacing w:before="120" w:after="0"/>
        <w:jc w:val="left"/>
        <w:rPr>
          <w:rFonts w:ascii="Times New Roman" w:hAnsi="Times New Roman"/>
          <w:sz w:val="20"/>
        </w:rPr>
      </w:pPr>
      <w:r>
        <w:rPr>
          <w:rFonts w:ascii="Arial;sans-serif" w:hAnsi="Arial;sans-serif"/>
          <w:b/>
          <w:i/>
          <w:sz w:val="19"/>
        </w:rPr>
        <w:t>We rely on third parties, including independent clinical investigators and CROs to conduct and sponsor some of the clinical trials of our product candidates</w:t>
      </w:r>
      <w:r>
        <w:rPr>
          <w:rFonts w:ascii="Arial;sans-serif" w:hAnsi="Arial;sans-serif"/>
          <w:b w:val="false"/>
          <w:i/>
          <w:sz w:val="19"/>
        </w:rPr>
        <w:t xml:space="preserve">. </w:t>
      </w:r>
      <w:r>
        <w:rPr>
          <w:rFonts w:ascii="Arial;sans-serif" w:hAnsi="Arial;sans-serif"/>
          <w:b/>
          <w:i/>
          <w:sz w:val="19"/>
        </w:rPr>
        <w:t>Any failure by a third party to meet its obligations with respect to the clinical development of our product candidates may delay or impair our ability to obtain regulatory approval for our product candidates</w:t>
      </w:r>
      <w:r>
        <w:rPr>
          <w:rFonts w:ascii="Arial;sans-serif" w:hAnsi="Arial;sans-serif"/>
          <w:b w:val="false"/>
          <w:i/>
          <w:sz w:val="19"/>
        </w:rPr>
        <w:t>.</w:t>
      </w:r>
    </w:p>
    <w:p>
      <w:pPr>
        <w:pStyle w:val="TextBody"/>
        <w:spacing w:before="120" w:after="0"/>
        <w:jc w:val="left"/>
        <w:rPr>
          <w:rFonts w:ascii="Times New Roman" w:hAnsi="Times New Roman"/>
          <w:sz w:val="20"/>
        </w:rPr>
      </w:pPr>
      <w:r>
        <w:rPr>
          <w:rFonts w:ascii="Arial;sans-serif" w:hAnsi="Arial;sans-serif"/>
          <w:b w:val="false"/>
          <w:sz w:val="19"/>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64</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of such third parties, we will control only certain aspects of their activities and have limited influence over their actual performance.</w:t>
      </w:r>
    </w:p>
    <w:p>
      <w:pPr>
        <w:pStyle w:val="TextBody"/>
        <w:spacing w:before="120" w:after="0"/>
        <w:jc w:val="left"/>
        <w:rPr>
          <w:rFonts w:ascii="Arial;sans-serif" w:hAnsi="Arial;sans-serif"/>
          <w:b w:val="false"/>
          <w:sz w:val="19"/>
        </w:rPr>
      </w:pPr>
      <w:r>
        <w:rPr>
          <w:rFonts w:ascii="Arial;sans-serif" w:hAnsi="Arial;sans-serif"/>
          <w:b w:val="false"/>
          <w:sz w:val="19"/>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pStyle w:val="TextBody"/>
        <w:spacing w:before="120" w:after="0"/>
        <w:jc w:val="left"/>
        <w:rPr>
          <w:rFonts w:ascii="Arial;sans-serif" w:hAnsi="Arial;sans-serif"/>
          <w:b w:val="false"/>
          <w:sz w:val="19"/>
        </w:rPr>
      </w:pPr>
      <w:r>
        <w:rPr>
          <w:rFonts w:ascii="Arial;sans-serif" w:hAnsi="Arial;sans-serif"/>
          <w:b w:val="false"/>
          <w:sz w:val="19"/>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comparable foreign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pStyle w:val="TextBody"/>
        <w:spacing w:before="120" w:after="0"/>
        <w:jc w:val="left"/>
        <w:rPr>
          <w:rFonts w:ascii="Arial;sans-serif" w:hAnsi="Arial;sans-serif"/>
          <w:b w:val="false"/>
          <w:sz w:val="19"/>
        </w:rPr>
      </w:pPr>
      <w:r>
        <w:rPr>
          <w:rFonts w:ascii="Arial;sans-serif" w:hAnsi="Arial;sans-serif"/>
          <w:b w:val="false"/>
          <w:sz w:val="19"/>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pStyle w:val="TextBody"/>
        <w:spacing w:before="120" w:after="0"/>
        <w:jc w:val="left"/>
        <w:rPr>
          <w:rFonts w:ascii="Arial;sans-serif" w:hAnsi="Arial;sans-serif"/>
          <w:b w:val="false"/>
          <w:sz w:val="19"/>
        </w:rPr>
      </w:pPr>
      <w:r>
        <w:rPr>
          <w:rFonts w:ascii="Arial;sans-serif" w:hAnsi="Arial;sans-serif"/>
          <w:b w:val="false"/>
          <w:sz w:val="19"/>
        </w:rPr>
        <w:t>In addition, with respect to investigator-sponsored trials that are being or may be conducted, we do not control the design or conduct of these trials, and it is possible that the FDA or EMA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pStyle w:val="TextBody"/>
        <w:spacing w:before="120" w:after="0"/>
        <w:jc w:val="left"/>
        <w:rPr>
          <w:rFonts w:ascii="Arial;sans-serif" w:hAnsi="Arial;sans-serif"/>
          <w:b/>
          <w:i/>
          <w:sz w:val="19"/>
        </w:rPr>
      </w:pPr>
      <w:r>
        <w:rPr>
          <w:rFonts w:ascii="Arial;sans-serif" w:hAnsi="Arial;sans-serif"/>
          <w:b/>
          <w:i/>
          <w:sz w:val="19"/>
        </w:rPr>
        <w:t>If the manufacturers upon which we may rely fail to produce our product candidates in the volumes that we require on a timely basis, or fail to comply with stringent regulations applicable to biopharmaceutical manufacturers, we may face delays in the development and commercialization of, or be unable to meet demand for, our product candidates and may lose potential revenues.</w:t>
      </w:r>
    </w:p>
    <w:p>
      <w:pPr>
        <w:pStyle w:val="TextBody"/>
        <w:spacing w:before="120" w:after="0"/>
        <w:jc w:val="left"/>
        <w:rPr>
          <w:rFonts w:ascii="Times New Roman" w:hAnsi="Times New Roman"/>
          <w:sz w:val="20"/>
        </w:rPr>
      </w:pPr>
      <w:r>
        <w:rPr>
          <w:rFonts w:ascii="Arial;sans-serif" w:hAnsi="Arial;sans-serif"/>
          <w:b w:val="false"/>
          <w:sz w:val="19"/>
        </w:rPr>
        <w:t>We also expect to develop commercial-scale manufacturing at third-party manufacturers for our product candidate CAN-2409. We may develop clinical manufacturing capabilities at our facility in Needham, Massachusetts for our product candidate CAN-3110 and we may also develop clinical-scale manufacturing for CAN-3110 at third-party manufacturers. There can be no assurance that our supply of clinical product will not be limited, interrupted, or of satisfactory quality or continue to be available at acceptable prices. In particular, any replacement of our CMOs could require significant effort and expertise because there may be a limited number of qualified replacements. Any delays in obtaining adequate supplies of our product candidates that meet</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65</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the necessary quality standards, including delays caused by the COVID-19 pandemic, may delay our development or commercialization.</w:t>
      </w:r>
    </w:p>
    <w:p>
      <w:pPr>
        <w:pStyle w:val="TextBody"/>
        <w:spacing w:before="120" w:after="0"/>
        <w:jc w:val="left"/>
        <w:rPr>
          <w:rFonts w:ascii="Arial;sans-serif" w:hAnsi="Arial;sans-serif"/>
          <w:b w:val="false"/>
          <w:sz w:val="19"/>
        </w:rPr>
      </w:pPr>
      <w:r>
        <w:rPr>
          <w:rFonts w:ascii="Arial;sans-serif" w:hAnsi="Arial;sans-serif"/>
          <w:b w:val="false"/>
          <w:sz w:val="19"/>
        </w:rPr>
        <w:t>We may not succeed in our efforts to establish manufacturing relationships or other alternative arrangements for any of our product candidates or programs. Our product candidates may compete with other products and product candidates for access to manufacturing facilities. There are a limited number of manufacturers that operate under cGMP regulations and that are both capable of manufacturing and filling our viral product for us and willing to do so. If our existing third-party manufacturers, or the third parties that we engage in the future, should cease to work with us,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therapeutic substances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pStyle w:val="TextBody"/>
        <w:spacing w:before="120" w:after="0"/>
        <w:jc w:val="left"/>
        <w:rPr>
          <w:rFonts w:ascii="Arial;sans-serif" w:hAnsi="Arial;sans-serif"/>
          <w:b w:val="false"/>
          <w:sz w:val="19"/>
        </w:rPr>
      </w:pPr>
      <w:r>
        <w:rPr>
          <w:rFonts w:ascii="Arial;sans-serif" w:hAnsi="Arial;sans-serif"/>
          <w:b w:val="false"/>
          <w:sz w:val="19"/>
        </w:rPr>
        <w:t>Any problems or delays we experience in preparing for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our product candidates and may materially harm our business, financial condition, results of operations, stock price and prospects.</w:t>
      </w:r>
    </w:p>
    <w:p>
      <w:pPr>
        <w:pStyle w:val="TextBody"/>
        <w:spacing w:before="0" w:after="0"/>
        <w:jc w:val="left"/>
        <w:rPr>
          <w:rFonts w:ascii="Arial;sans-serif" w:hAnsi="Arial;sans-serif"/>
          <w:b w:val="false"/>
          <w:sz w:val="19"/>
        </w:rPr>
      </w:pPr>
      <w:r>
        <w:rPr>
          <w:rFonts w:ascii="Arial;sans-serif" w:hAnsi="Arial;sans-serif"/>
          <w:b w:val="false"/>
          <w:sz w:val="19"/>
        </w:rPr>
        <w:t>The manufacture of biopharmaceutical products requires significant expertise and capital investment, including the development of advanced manufacturing techniques and process controls. Manufacturers of therapeutics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or key raw materials, and compliance with strictly enforced federal, state, and foreign regulations. Our CMOs may not perform as agreed. If our manufacturers were to encounter these or other difficulties, our ability to provide product candidates to patients in our clinical trials could be jeopardized.</w:t>
      </w:r>
    </w:p>
    <w:p>
      <w:pPr>
        <w:pStyle w:val="TextBody"/>
        <w:spacing w:before="120" w:after="0"/>
        <w:jc w:val="left"/>
        <w:rPr>
          <w:rFonts w:ascii="Arial;sans-serif" w:hAnsi="Arial;sans-serif"/>
          <w:b w:val="false"/>
          <w:sz w:val="19"/>
        </w:rPr>
      </w:pPr>
      <w:r>
        <w:rPr>
          <w:rFonts w:ascii="Arial;sans-serif" w:hAnsi="Arial;sans-serif"/>
          <w:b w:val="false"/>
          <w:sz w:val="19"/>
        </w:rPr>
        <w:t>CMOs of our product candidates may be unable to comply with our specifications, applicable cGMP requirements or other FDA, state or foreign regulatory requirements. Poor control of production processes can lead to the introduction of adventitious agents or other contaminants, or to inadvertent changes in the properties or stability of a product candidate that may not be detectable in final product testing. If our CMOs cannot successfully manufacture material that conforms to our specifications and the strict regulatory requirements of the FDA or other regulatory authorities, they will not be able to secure or maintain regulatory approval for their manufacturing facilities. Any such deviations may also require remedial measures that may be costly and/or time consuming for us or a third party to implement and that may include the temporary or permanent suspension of a clinical trial or the temporary or permanent closure of a facility. Any such remedial measures imposed upon us or third parties with whom we contract could materially harm our business. Any delays in obtaining products or product candidates that comply with the applicable regulatory requirements may result in delays to clinical trials, product approvals, and commercialization. It may also require that we conduct additional studies.</w:t>
      </w:r>
    </w:p>
    <w:p>
      <w:pPr>
        <w:pStyle w:val="TextBody"/>
        <w:spacing w:before="120" w:after="0"/>
        <w:jc w:val="left"/>
        <w:rPr>
          <w:rFonts w:ascii="Arial;sans-serif" w:hAnsi="Arial;sans-serif"/>
          <w:b w:val="false"/>
          <w:sz w:val="19"/>
        </w:rPr>
      </w:pPr>
      <w:r>
        <w:rPr>
          <w:rFonts w:ascii="Arial;sans-serif" w:hAnsi="Arial;sans-serif"/>
          <w:b w:val="false"/>
          <w:sz w:val="19"/>
        </w:rPr>
        <w:t>While we are ultimately responsible for the manufacturing of our product candidates and therapeutic substances,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new manufacturers would need to either obtain or develop the necessary manufacturing know-how, and obtain the necessary equipment and materials, which may take substantial time and investment. We must also receive approval from the FDA and applicable comparable foreign regulatory authorities for the use of any new manufacturers for commercial supply. The regulatory authorities may also require additional studies if a new manufacturer is relied upon for commercial production. In some cases, the technical skills required to manufacture our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or product candidate according to the specifications previously submitted to or approved by the FDA or another regulatory authority. The delays associated with the verification of a new CMO could negatively affect our ability to develop product candidates or once approved, to commercialize those product candidates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Accordingly, switching manufacturers may involve substantial costs and is likely to result in a delay in our desired clinical and commercial timelines.</w:t>
      </w:r>
    </w:p>
    <w:p>
      <w:pPr>
        <w:pStyle w:val="TextBody"/>
        <w:spacing w:before="240" w:after="0"/>
        <w:jc w:val="center"/>
        <w:rPr>
          <w:rFonts w:ascii="Arial;sans-serif" w:hAnsi="Arial;sans-serif"/>
          <w:b w:val="false"/>
          <w:sz w:val="20"/>
        </w:rPr>
      </w:pPr>
      <w:r>
        <w:rPr>
          <w:rFonts w:ascii="Arial;sans-serif" w:hAnsi="Arial;sans-serif"/>
          <w:b w:val="false"/>
          <w:sz w:val="20"/>
        </w:rPr>
        <w:t>66</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A failure to comply with the applicable regulatory requirements, including periodic regulatory inspections, may result in regulatory enforcement actions against our manufacturers or us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suits under the civil False Claims Act, corporate integrity agreements, consent decrees, withdrawal of product approval, environmental or safety incidents and other liabilities. If the safety of any quantities supplied is compromised due to our manufacturers’ failure to adhere to applicable laws or for other reasons, we may not be able to obtain regulatory approval for or successfully commercialize our product candidates.</w:t>
      </w:r>
    </w:p>
    <w:p>
      <w:pPr>
        <w:pStyle w:val="TextBody"/>
        <w:spacing w:before="120" w:after="0"/>
        <w:jc w:val="left"/>
        <w:rPr>
          <w:rFonts w:ascii="Arial;sans-serif" w:hAnsi="Arial;sans-serif"/>
          <w:b w:val="false"/>
          <w:sz w:val="19"/>
        </w:rPr>
      </w:pPr>
      <w:r>
        <w:rPr>
          <w:rFonts w:ascii="Arial;sans-serif" w:hAnsi="Arial;sans-serif"/>
          <w:b w:val="false"/>
          <w:sz w:val="19"/>
        </w:rPr>
        <w:t>Any failure or refusal to supply our product candidates or components for our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pStyle w:val="TextBody"/>
        <w:spacing w:before="120" w:after="0"/>
        <w:jc w:val="left"/>
        <w:rPr>
          <w:rFonts w:ascii="Arial;sans-serif" w:hAnsi="Arial;sans-serif"/>
          <w:b/>
          <w:i/>
          <w:sz w:val="19"/>
        </w:rPr>
      </w:pPr>
      <w:r>
        <w:rPr>
          <w:rFonts w:ascii="Arial;sans-serif" w:hAnsi="Arial;sans-serif"/>
          <w:b/>
          <w:i/>
          <w:sz w:val="19"/>
        </w:rPr>
        <w:t>Some of our product candidates are being and may be studied in third-party research and clinical trials sponsored by organizations or agencies other than us, or in investigator-sponsored clinical trials, which means we will have minimal or no control over the conduct of such trials and which may adversely affect our ability to obtain marketing approval or certain regulatory exclusivities.</w:t>
      </w:r>
    </w:p>
    <w:p>
      <w:pPr>
        <w:pStyle w:val="TextBody"/>
        <w:spacing w:before="120" w:after="0"/>
        <w:jc w:val="left"/>
        <w:rPr>
          <w:rFonts w:ascii="Arial;sans-serif" w:hAnsi="Arial;sans-serif"/>
          <w:b w:val="false"/>
          <w:sz w:val="19"/>
        </w:rPr>
      </w:pPr>
      <w:r>
        <w:rPr>
          <w:rFonts w:ascii="Arial;sans-serif" w:hAnsi="Arial;sans-serif"/>
          <w:b w:val="false"/>
          <w:sz w:val="19"/>
        </w:rPr>
        <w:t>We have supplied and may continue to supply and otherwise support third party research, including investigator-sponsored clinical trials. Investigator-sponsored clinical trials pose similar risks as those set forth elsewhere in this “Risk Factors” section relating to our internally-sponsored clinical trials, but because we are not be the sponsors of these trials, we have less control over the protocols, administration or conduct of these trials, including follow-up with patients and ongoing collection of data after treatment. Additionally, third party clinical research has been and may continue to be conducted with CAN-3110 and CAN-2409 which was not provided by us. The conduct or findings of these trials may have a negative impact on our development programs notwithstanding that we have little involvement or control over these trials. As a result, we are subject to additional risks associated with the way investigator-sponsored trials are conducted. In particular, for trials in which we supply drug product, we may be named in lawsuits that would lead to increased costs associated with legal defense. Additional risks include difficulties or delays in communicating with investigators or administrators, procedural delays and other timing issues and difficulties or differences in interpreting data. Third-party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As a result, our lack of control over the conduct and timing of and communications with the FDA and other regulatory authorities regarding investigator-sponsored trials may expose us to additional risks and uncertainties, many of which are outside our control, and the occurrence of which could adversely affect the commercial prospects for our product candidates. In addition, third parties that are investigating product candidates which have not been provided by us may seek and obtain regulatory approval of product candidates before we do, which may adversely affect our development strategy and eligibility for certain exclusivities for which we may otherwise be eligible.</w:t>
      </w:r>
    </w:p>
    <w:p>
      <w:pPr>
        <w:pStyle w:val="TextBody"/>
        <w:spacing w:before="120" w:after="0"/>
        <w:jc w:val="left"/>
        <w:rPr>
          <w:rFonts w:ascii="Arial;sans-serif" w:hAnsi="Arial;sans-serif"/>
          <w:b/>
          <w:i/>
          <w:sz w:val="19"/>
        </w:rPr>
      </w:pPr>
      <w:r>
        <w:rPr>
          <w:rFonts w:ascii="Arial;sans-serif" w:hAnsi="Arial;sans-serif"/>
          <w:b/>
          <w:i/>
          <w:sz w:val="19"/>
        </w:rPr>
        <w:t>We have completed and may in the future complete related party transactions that were not and may not be conducted on an arm’s length basis.</w:t>
      </w:r>
    </w:p>
    <w:p>
      <w:pPr>
        <w:pStyle w:val="TextBody"/>
        <w:spacing w:before="120" w:after="0"/>
        <w:jc w:val="left"/>
        <w:rPr>
          <w:rFonts w:ascii="Arial;sans-serif" w:hAnsi="Arial;sans-serif"/>
          <w:b w:val="false"/>
          <w:sz w:val="19"/>
        </w:rPr>
      </w:pPr>
      <w:r>
        <w:rPr>
          <w:rFonts w:ascii="Arial;sans-serif" w:hAnsi="Arial;sans-serif"/>
          <w:b w:val="false"/>
          <w:sz w:val="19"/>
        </w:rPr>
        <w:t>We have in the past been and continue to be party to certain transactions with certain entities affiliated with Estuardo Aguilar-Cordova, our founder and former Chief Scientific Officer, and Laura Aguilar, our former Chief Medical Officer. For instance, we have entered into an exclusive license agreement with Ventagen, LLC (Ventagen), an entity owned in part (49.5%), though not managed, by Estuardo Aguilar-Cordova and Laura Aguilar, for the use of worldwide patent rights and know-how owned or controlled by us which cover applicable technology utilizing the delivery method of the herpes derived TK protein to tumors or other tissues via a viral vector.</w:t>
      </w:r>
    </w:p>
    <w:p>
      <w:pPr>
        <w:pStyle w:val="TextBody"/>
        <w:spacing w:before="120" w:after="0"/>
        <w:jc w:val="left"/>
        <w:rPr>
          <w:rFonts w:ascii="Arial;sans-serif" w:hAnsi="Arial;sans-serif"/>
          <w:b w:val="false"/>
          <w:sz w:val="19"/>
        </w:rPr>
      </w:pPr>
      <w:r>
        <w:rPr>
          <w:rFonts w:ascii="Arial;sans-serif" w:hAnsi="Arial;sans-serif"/>
          <w:b w:val="false"/>
          <w:sz w:val="19"/>
        </w:rPr>
        <w:t>In January 2008, we entered into an operating lease agreement with a term through December 31, 2022 with Ellka Holdings, LLC (Ellka), for the space in which we operated in Auburndale, MA. In May 2016, we entered into a second lease agreement with Ellka for living space for employees, also in Auburndale, MA. We entered into a second lease for this space on July 26, 2018, which expired on July 31, 2019. Ellka was originally established in 2007 as an LLC for the purpose of acquiring and managing investment properties owned by Laura Aguilar and Estuardo Aguilar-Cordova and their children’s trusts. Ellka is owned and operated by Laura Aguilar and Estuardo Aguilar-Cordova and members of their immediate family. Although we believe that these transactions were conducted on an arm’s length basis, it is possible that the terms were less favorable to us than they might have been in a transaction with an unrelated party.</w:t>
      </w:r>
    </w:p>
    <w:p>
      <w:pPr>
        <w:pStyle w:val="TextBody"/>
        <w:spacing w:before="120" w:after="0"/>
        <w:jc w:val="left"/>
        <w:rPr>
          <w:rFonts w:ascii="Times New Roman" w:hAnsi="Times New Roman"/>
          <w:sz w:val="20"/>
        </w:rPr>
      </w:pPr>
      <w:r>
        <w:rPr>
          <w:rFonts w:ascii="Arial;sans-serif" w:hAnsi="Arial;sans-serif"/>
          <w:b w:val="false"/>
          <w:sz w:val="19"/>
        </w:rPr>
        <w:t>As of May 3, 2023, Estuardo Aguilar-Cordova and Laura Aguilar beneficially owned 6,216,971 shares of our common stock, or approximately 21.5% of our total outstanding capital stock as of such date. Accordingly, they will continue to have significant influence over all business decisions, including with respect to such matters as amendments to our charter, other fundamental corporate transactions, such as mergers, asset sales, and the sale of the Company, and otherwise will be able to influence our</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67</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business and affairs. In connection with the IPO, we adopted a written related-person transactions policy that sets forth our policies and procedures regarding the identification, review, consideration and oversight of related-person transactions.</w:t>
      </w:r>
    </w:p>
    <w:p>
      <w:pPr>
        <w:pStyle w:val="TextBody"/>
        <w:spacing w:before="120" w:after="0"/>
        <w:jc w:val="left"/>
        <w:rPr>
          <w:rFonts w:ascii="Times New Roman" w:hAnsi="Times New Roman"/>
          <w:sz w:val="20"/>
        </w:rPr>
      </w:pPr>
      <w:r>
        <w:rPr>
          <w:rFonts w:ascii="Arial;sans-serif" w:hAnsi="Arial;sans-serif"/>
          <w:b/>
          <w:i/>
          <w:sz w:val="19"/>
        </w:rPr>
        <w:t>Our reliance on third parties requires us to share our trade secrets</w:t>
      </w:r>
      <w:r>
        <w:rPr>
          <w:rFonts w:ascii="Arial;sans-serif" w:hAnsi="Arial;sans-serif"/>
          <w:b w:val="false"/>
          <w:i/>
          <w:sz w:val="19"/>
        </w:rPr>
        <w:t xml:space="preserve">, </w:t>
      </w:r>
      <w:r>
        <w:rPr>
          <w:rFonts w:ascii="Arial;sans-serif" w:hAnsi="Arial;sans-serif"/>
          <w:b/>
          <w:i/>
          <w:sz w:val="19"/>
        </w:rPr>
        <w:t>which increases the possibility that a competitor will discover them or that our trade secrets will be misappropriated or disclosed</w:t>
      </w:r>
      <w:r>
        <w:rPr>
          <w:rFonts w:ascii="Arial;sans-serif" w:hAnsi="Arial;sans-serif"/>
          <w:b w:val="false"/>
          <w:i/>
          <w:sz w:val="19"/>
        </w:rPr>
        <w:t>.</w:t>
      </w:r>
    </w:p>
    <w:p>
      <w:pPr>
        <w:pStyle w:val="TextBody"/>
        <w:spacing w:before="120" w:after="0"/>
        <w:jc w:val="left"/>
        <w:rPr>
          <w:rFonts w:ascii="Arial;sans-serif" w:hAnsi="Arial;sans-serif"/>
          <w:b w:val="false"/>
          <w:sz w:val="19"/>
        </w:rPr>
      </w:pPr>
      <w:r>
        <w:rPr>
          <w:rFonts w:ascii="Arial;sans-serif" w:hAnsi="Arial;sans-serif"/>
          <w:b w:val="false"/>
          <w:sz w:val="19"/>
        </w:rPr>
        <w:t>Because we rely on third parties to manufacture our product candidates, and because we collaborate with various organizations and academic institutions on the development of our product candidates,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pStyle w:val="TextBody"/>
        <w:spacing w:before="120" w:after="0"/>
        <w:jc w:val="left"/>
        <w:rPr>
          <w:rFonts w:ascii="Arial;sans-serif" w:hAnsi="Arial;sans-serif"/>
          <w:b w:val="false"/>
          <w:sz w:val="19"/>
        </w:rPr>
      </w:pPr>
      <w:r>
        <w:rPr>
          <w:rFonts w:ascii="Arial;sans-serif" w:hAnsi="Arial;sans-serif"/>
          <w:b w:val="false"/>
          <w:sz w:val="19"/>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pStyle w:val="TextBody"/>
        <w:spacing w:before="120" w:after="0"/>
        <w:jc w:val="left"/>
        <w:rPr>
          <w:rFonts w:ascii="Arial;sans-serif" w:hAnsi="Arial;sans-serif"/>
          <w:b w:val="false"/>
          <w:sz w:val="19"/>
        </w:rPr>
      </w:pPr>
      <w:r>
        <w:rPr>
          <w:rFonts w:ascii="Arial;sans-serif" w:hAnsi="Arial;sans-serif"/>
          <w:b w:val="false"/>
          <w:sz w:val="19"/>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pStyle w:val="TextBody"/>
        <w:spacing w:before="160" w:after="0"/>
        <w:jc w:val="left"/>
        <w:rPr>
          <w:rFonts w:ascii="Arial;sans-serif" w:hAnsi="Arial;sans-serif"/>
          <w:b/>
          <w:sz w:val="19"/>
        </w:rPr>
      </w:pPr>
      <w:r>
        <w:rPr>
          <w:rFonts w:ascii="Arial;sans-serif" w:hAnsi="Arial;sans-serif"/>
          <w:b/>
          <w:sz w:val="19"/>
        </w:rPr>
        <w:t>Risks Related to Intellectual Property</w:t>
      </w:r>
    </w:p>
    <w:p>
      <w:pPr>
        <w:pStyle w:val="TextBody"/>
        <w:spacing w:before="120" w:after="0"/>
        <w:jc w:val="left"/>
        <w:rPr>
          <w:rFonts w:ascii="Arial;sans-serif" w:hAnsi="Arial;sans-serif"/>
          <w:b/>
          <w:i/>
          <w:sz w:val="19"/>
        </w:rPr>
      </w:pPr>
      <w:r>
        <w:rPr>
          <w:rFonts w:ascii="Arial;sans-serif" w:hAnsi="Arial;sans-serif"/>
          <w:b/>
          <w:i/>
          <w:sz w:val="19"/>
        </w:rPr>
        <w:t>Our rights to develop and commercialize certain of our product candidates are subject and may in the future be subject, in part, to the terms and conditions of licenses granted to us by third parties. If we fail to comply with our obligations under our current or future intellectual property license agreements or otherwise experience disruptions to our business relationships with our current or any future licensors, we could lose intellectual property rights that are important to our business.</w:t>
      </w:r>
    </w:p>
    <w:p>
      <w:pPr>
        <w:pStyle w:val="TextBody"/>
        <w:spacing w:before="120" w:after="0"/>
        <w:jc w:val="left"/>
        <w:rPr>
          <w:rFonts w:ascii="Times New Roman" w:hAnsi="Times New Roman"/>
          <w:sz w:val="20"/>
        </w:rPr>
      </w:pPr>
      <w:r>
        <w:rPr>
          <w:rFonts w:ascii="Arial;sans-serif" w:hAnsi="Arial;sans-serif"/>
          <w:b w:val="false"/>
          <w:sz w:val="19"/>
        </w:rPr>
        <w:t>We are and expect to continue to be reliant upon third-party licensors for certain patent and other intellectual property rights that are important or necessary to the development of some of our technology and product candidates. For example, we rely on licenses from MGB and Periphagen to certain patent rights. These license agreements impose, and we expect that any future license agreement will impose, specified diligence, milestone payment, royalty, commercialization, development and other obligations on us and require us to meet development timelines, or to exercise diligent or commercially reasonable efforts to develop and commercialize licensed products, in order to maintain the licenses.</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Furthermore, our licensors have, or may in the future have, the right to terminate a license if we materially breach the agreement and fail to cure such breach within a specified period or in the event we undergo certain bankruptcy events. In spite of our best efforts, our current or any future licensors might conclude that we have materially breached our license agreements and might therefore terminate the license agreements. For example, Periphagen has asserted that we have failed to use commercially reasonable efforts to complete a human proof of concept clinical trial of an NT-3 Asset as required in our exclusive license agreement with Periphagen. Periphagen has triggered the dispute and escalation provisions under the Periphagen License Agreement. If we are unable to resolve the issue and an arbitrator concludes that we failed to use such commercially reasonable efforts, then we may submit a specified payment in lieu of satisfying such obligations or Periphagen may terminate the Periphagen License Agreement. If our Periphagen license or our other license agreements are terminated, we may lose our rights to develop and commercialize certain of our product candidates and technology, lose patent protection, experience significant delays in the development and commercialization of certain of our product candidates and technology, and incur liability for damages. If these in-licenses are terminated, or if the underlying intellectual property fails to provide the intended exclusivity, our competitors or other third parties could have the freedom to seek regulatory approval of, and to market, products and technologies identical or competitive to ours and we may be required to cease our development and commercialization of certain of our product candidates and technology.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any product candidates we may develop and our technology. Any of the foregoing could have a material adverse effect on our competitive position, business, financial condition, results of operations and prospects.</w:t>
      </w:r>
    </w:p>
    <w:p>
      <w:pPr>
        <w:pStyle w:val="TextBody"/>
        <w:spacing w:before="120" w:after="0"/>
        <w:jc w:val="left"/>
        <w:rPr>
          <w:rFonts w:ascii="Arial;sans-serif" w:hAnsi="Arial;sans-serif"/>
          <w:b w:val="false"/>
          <w:sz w:val="19"/>
        </w:rPr>
      </w:pPr>
      <w:r>
        <w:rPr>
          <w:rFonts w:ascii="Arial;sans-serif" w:hAnsi="Arial;sans-serif"/>
          <w:b w:val="false"/>
          <w:sz w:val="19"/>
        </w:rPr>
        <w:t>Disputes may arise regarding intellectual property subject to a licensing agreement, including:</w:t>
      </w:r>
    </w:p>
    <w:p>
      <w:pPr>
        <w:pStyle w:val="TextBody"/>
        <w:spacing w:before="240" w:after="0"/>
        <w:jc w:val="center"/>
        <w:rPr>
          <w:rFonts w:ascii="Arial;sans-serif" w:hAnsi="Arial;sans-serif"/>
          <w:b w:val="false"/>
          <w:sz w:val="20"/>
        </w:rPr>
      </w:pPr>
      <w:r>
        <w:rPr>
          <w:rFonts w:ascii="Arial;sans-serif" w:hAnsi="Arial;sans-serif"/>
          <w:b w:val="false"/>
          <w:sz w:val="20"/>
        </w:rPr>
        <w:t>68</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scope of rights granted under the license agreement and other interpretation-related issues;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or our licensors’ ability to obtain, maintain and defend intellectual property and to enforce intellectual property rights against third parties;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extent to which our technology, product candidates and processes infringe, misappropriate or otherwise violate the intellectual property of the licensor that is not subject to the license agreement;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sublicensing of patent and other intellectual property rights under our license agreements;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diligence, development, regulatory, commercialization, financial or other obligations under the license agreement and what activities satisfy those diligence obligations;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inventorship and ownership of inventions and know-how resulting from the joint creation or use of intellectual property by our current or future licensors and us and our partners;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priority of invention of patented technology.</w:t>
      </w:r>
    </w:p>
    <w:p>
      <w:pPr>
        <w:pStyle w:val="TextBody"/>
        <w:spacing w:before="120" w:after="0"/>
        <w:jc w:val="left"/>
        <w:rPr>
          <w:rFonts w:ascii="Arial;sans-serif" w:hAnsi="Arial;sans-serif"/>
          <w:b w:val="false"/>
          <w:sz w:val="19"/>
        </w:rPr>
      </w:pPr>
      <w:r>
        <w:rPr>
          <w:rFonts w:ascii="Arial;sans-serif" w:hAnsi="Arial;sans-serif"/>
          <w:b w:val="false"/>
          <w:sz w:val="19"/>
        </w:rPr>
        <w:t>In addition, 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diligence, development, regulatory, commercialization, financial or other obligations under the relevant agreement. In addition, if disputes over intellectual property that we have licensed or any other dispute related to our license agreements prevent or impair our ability to maintain our current license agreements on commercially acceptable terms, we may be unable to successfully develop and commercialize the affected product candidates and technology. Any of the foregoing could have a material adverse effect on our business, financial condition, results of operations and prospects.</w:t>
      </w:r>
    </w:p>
    <w:p>
      <w:pPr>
        <w:pStyle w:val="TextBody"/>
        <w:spacing w:before="120" w:after="0"/>
        <w:jc w:val="left"/>
        <w:rPr>
          <w:rFonts w:ascii="Arial;sans-serif" w:hAnsi="Arial;sans-serif"/>
          <w:b w:val="false"/>
          <w:sz w:val="19"/>
        </w:rPr>
      </w:pPr>
      <w:r>
        <w:rPr>
          <w:rFonts w:ascii="Arial;sans-serif" w:hAnsi="Arial;sans-serif"/>
          <w:b w:val="false"/>
          <w:sz w:val="19"/>
        </w:rPr>
        <w:t>License agreements we may enter into in the future may be non-exclusive. Accordingly, third parties may also obtain non-exclusive licenses from such licensors with respect to the intellectual property licensed to us under such license agreements. Accordingly, these license agreements may not provide us with exclusive rights to use such licensed patent and other intellectual property rights, or may not provide us with exclusive rights to use such patent and other intellectual property rights in all relevant fields of use and in all territories in which we may wish to develop or commercialize our technology and any product candidates we may develop in the future.</w:t>
      </w:r>
    </w:p>
    <w:p>
      <w:pPr>
        <w:pStyle w:val="TextBody"/>
        <w:spacing w:before="120" w:after="0"/>
        <w:jc w:val="left"/>
        <w:rPr>
          <w:rFonts w:ascii="Arial;sans-serif" w:hAnsi="Arial;sans-serif"/>
          <w:b w:val="false"/>
          <w:sz w:val="19"/>
        </w:rPr>
      </w:pPr>
      <w:r>
        <w:rPr>
          <w:rFonts w:ascii="Arial;sans-serif" w:hAnsi="Arial;sans-serif"/>
          <w:b w:val="false"/>
          <w:sz w:val="19"/>
        </w:rPr>
        <w:t>Moreover, some of our in-licensed patent and other intellectual property rights may in the future be subject to third-party interests such as co-ownership. If we are unable to obtain an exclusive license to such third-party co-owners’ interest, in such patent and other intellectual property rights, such third-party co-owners may be able to license their rights to other third parties, including our competitors, and our competitors could market competing products and technology. We or our licensors may need the cooperation of any such co-owners of our licensed patent and other intellectual property rights in order to enforce them against third parties, and such cooperation may not be provided to us or our licensors.</w:t>
      </w:r>
    </w:p>
    <w:p>
      <w:pPr>
        <w:pStyle w:val="TextBody"/>
        <w:spacing w:before="120" w:after="0"/>
        <w:jc w:val="left"/>
        <w:rPr>
          <w:rFonts w:ascii="Arial;sans-serif" w:hAnsi="Arial;sans-serif"/>
          <w:b w:val="false"/>
          <w:sz w:val="19"/>
        </w:rPr>
      </w:pPr>
      <w:r>
        <w:rPr>
          <w:rFonts w:ascii="Arial;sans-serif" w:hAnsi="Arial;sans-serif"/>
          <w:b w:val="false"/>
          <w:sz w:val="19"/>
        </w:rPr>
        <w:t>Additionally, we may not have complete control over the preparation, filing, prosecution, maintenance, enforcement and defense of patents and patent applications that we license from third parties. It is possible that our licensors’ filing, prosecution and maintenance of the licensed patents and patent applications, enforcement of patents against infringers or defense of such patents against challenges of validity or claims of enforceability may be less vigorous than if we had conducted them ourselves, and accordingly, we cannot be certain that these patents and patent applications will be prepared, filed, prosecuted, maintained, enforced and defended in a manner consistent with the best interests of our business. If our licensors fail to file, prosecute, maintain, enforce and defend such patents and patent applications, or lose rights to those patents or patent applications, the rights we have licensed may be reduced or eliminated, our right to develop and commercialize any of our technology and any product candidates we may develop that are the subject of such licensed rights could be adversely affected and we may not be able to prevent competitors or other third parties from making, using and selling competing products.</w:t>
      </w:r>
    </w:p>
    <w:p>
      <w:pPr>
        <w:pStyle w:val="TextBody"/>
        <w:spacing w:before="120" w:after="0"/>
        <w:jc w:val="left"/>
        <w:rPr>
          <w:rFonts w:ascii="Arial;sans-serif" w:hAnsi="Arial;sans-serif"/>
          <w:b w:val="false"/>
          <w:sz w:val="19"/>
        </w:rPr>
      </w:pPr>
      <w:r>
        <w:rPr>
          <w:rFonts w:ascii="Arial;sans-serif" w:hAnsi="Arial;sans-serif"/>
          <w:b w:val="false"/>
          <w:sz w:val="19"/>
        </w:rPr>
        <w:t>Furthermore, our owned and in-licensed patent rights may be subject to a reservation of rights by one or more third parties. When new technologies are developed with government funding, in order to secure ownership of patent rights related to the technologies, the recipient of such funding is required to comply with certain government regulations, including timely disclosing the inventions claimed in such patent rights to the U.S. government and timely electing title to such inventions. A failure to meet these obligations may lead to a loss of rights or the unenforceability of relevant patents or patent applications.</w:t>
      </w:r>
    </w:p>
    <w:p>
      <w:pPr>
        <w:pStyle w:val="TextBody"/>
        <w:spacing w:before="120" w:after="0"/>
        <w:jc w:val="left"/>
        <w:rPr>
          <w:rFonts w:ascii="Arial;sans-serif" w:hAnsi="Arial;sans-serif"/>
          <w:b/>
          <w:i/>
          <w:sz w:val="19"/>
        </w:rPr>
      </w:pPr>
      <w:r>
        <w:rPr>
          <w:rFonts w:ascii="Arial;sans-serif" w:hAnsi="Arial;sans-serif"/>
          <w:b/>
          <w:i/>
          <w:sz w:val="19"/>
        </w:rPr>
        <w:t>Our success depends in part on our ability to protect our intellectual property. It is difficult and costly to protect our proprietary rights and technology, and we may not be able to ensure their protection.</w:t>
      </w:r>
    </w:p>
    <w:p>
      <w:pPr>
        <w:pStyle w:val="TextBody"/>
        <w:spacing w:before="120" w:after="0"/>
        <w:jc w:val="left"/>
        <w:rPr>
          <w:rFonts w:ascii="Times New Roman" w:hAnsi="Times New Roman"/>
          <w:sz w:val="20"/>
        </w:rPr>
      </w:pPr>
      <w:r>
        <w:rPr>
          <w:rFonts w:ascii="Arial;sans-serif" w:hAnsi="Arial;sans-serif"/>
          <w:b w:val="false"/>
          <w:sz w:val="19"/>
        </w:rPr>
        <w:t>Our business will depend in large part on obtaining and maintaining patent, trademark and trade secret protection of our proprietary technologies and our product candidates, their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69</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pStyle w:val="TextBody"/>
        <w:spacing w:before="120" w:after="0"/>
        <w:jc w:val="left"/>
        <w:rPr>
          <w:rFonts w:ascii="Arial;sans-serif" w:hAnsi="Arial;sans-serif"/>
          <w:b w:val="false"/>
          <w:sz w:val="19"/>
        </w:rPr>
      </w:pPr>
      <w:r>
        <w:rPr>
          <w:rFonts w:ascii="Arial;sans-serif" w:hAnsi="Arial;sans-serif"/>
          <w:b w:val="false"/>
          <w:sz w:val="19"/>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TextBody"/>
        <w:spacing w:before="120" w:after="0"/>
        <w:jc w:val="left"/>
        <w:rPr>
          <w:rFonts w:ascii="Arial;sans-serif" w:hAnsi="Arial;sans-serif"/>
          <w:b w:val="false"/>
          <w:sz w:val="19"/>
        </w:rPr>
      </w:pPr>
      <w:r>
        <w:rPr>
          <w:rFonts w:ascii="Arial;sans-serif" w:hAnsi="Arial;sans-serif"/>
          <w:b w:val="false"/>
          <w:sz w:val="19"/>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and patents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pStyle w:val="TextBody"/>
        <w:spacing w:before="80" w:after="0"/>
        <w:jc w:val="left"/>
        <w:rPr>
          <w:rFonts w:ascii="Arial;sans-serif" w:hAnsi="Arial;sans-serif"/>
          <w:b w:val="false"/>
          <w:sz w:val="19"/>
        </w:rPr>
      </w:pPr>
      <w:r>
        <w:rPr>
          <w:rFonts w:ascii="Arial;sans-serif" w:hAnsi="Arial;sans-serif"/>
          <w:b w:val="false"/>
          <w:sz w:val="19"/>
        </w:rPr>
        <w:t>We cannot be certain that we were the first to file any patent application related to our technology and directed to our product candidates, and, if we were not, we may be precluded from obtaining patent protection for our technology, including our product candidates.</w:t>
      </w:r>
    </w:p>
    <w:p>
      <w:pPr>
        <w:pStyle w:val="TextBody"/>
        <w:spacing w:before="120" w:after="0"/>
        <w:jc w:val="left"/>
        <w:rPr>
          <w:rFonts w:ascii="Arial;sans-serif" w:hAnsi="Arial;sans-serif"/>
          <w:b w:val="false"/>
          <w:sz w:val="19"/>
        </w:rPr>
      </w:pPr>
      <w:r>
        <w:rPr>
          <w:rFonts w:ascii="Arial;sans-serif" w:hAnsi="Arial;sans-serif"/>
          <w:b w:val="false"/>
          <w:sz w:val="19"/>
        </w:rPr>
        <w:t>We cannot be certain that we are the first to invent the inventions covered by pending patent applications and patents, and, if we are not, we may be subject to priority disputes.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and patents.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pStyle w:val="TextBody"/>
        <w:spacing w:before="120" w:after="0"/>
        <w:jc w:val="left"/>
        <w:rPr>
          <w:rFonts w:ascii="Arial;sans-serif" w:hAnsi="Arial;sans-serif"/>
          <w:b w:val="false"/>
          <w:sz w:val="19"/>
        </w:rPr>
      </w:pPr>
      <w:r>
        <w:rPr>
          <w:rFonts w:ascii="Arial;sans-serif" w:hAnsi="Arial;sans-serif"/>
          <w:b w:val="false"/>
          <w:sz w:val="19"/>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pStyle w:val="TextBody"/>
        <w:spacing w:before="120" w:after="0"/>
        <w:jc w:val="left"/>
        <w:rPr>
          <w:rFonts w:ascii="Arial;sans-serif" w:hAnsi="Arial;sans-serif"/>
          <w:b w:val="false"/>
          <w:sz w:val="19"/>
        </w:rPr>
      </w:pPr>
      <w:r>
        <w:rPr>
          <w:rFonts w:ascii="Arial;sans-serif" w:hAnsi="Arial;sans-serif"/>
          <w:b w:val="false"/>
          <w:sz w:val="19"/>
        </w:rPr>
        <w:t>Changes in either the patent laws or interpretation of the patent laws in the United States and other countries may diminish the value of the patents we in-license or narrow the scope of our patent protection. In addition, the laws of foreign countries may not protect our rights to the same extent or in the same manner as the laws of the United States. For example, European patent law is more restrictive than U.S. patent law in connection with the patentability of methods of treatment of the human body and Chinese bankruptcy law may not provide a licensee the same protections as U.S. bankruptcy law.</w:t>
      </w:r>
    </w:p>
    <w:p>
      <w:pPr>
        <w:pStyle w:val="TextBody"/>
        <w:spacing w:before="120" w:after="0"/>
        <w:jc w:val="left"/>
        <w:rPr>
          <w:rFonts w:ascii="Times New Roman" w:hAnsi="Times New Roman"/>
          <w:sz w:val="20"/>
        </w:rPr>
      </w:pPr>
      <w:r>
        <w:rPr>
          <w:rFonts w:ascii="Arial;sans-serif" w:hAnsi="Arial;sans-serif"/>
          <w:b w:val="false"/>
          <w:sz w:val="19"/>
        </w:rPr>
        <w:t>Furthermore in the United States, patent reform legislation could increase the uncertainties and costs surrounding the prosecution of our patent applications and the enforcement or defense of our issued patents. Under the Leahy-Smith America Invents Act (the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unclear as the USPTO continues to develop new regulations and procedures in connection with the America Invents Act. 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70</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uncertainty with respect to the validity and enforceability of patents, once obtained. Depending on future actions by the U.S. Congress, the federal courts, and the USPTO, the laws and regulations governing patents could change in unpredictable ways that could increase the uncertainties and costs surrounding the prosecution of our patent applications and have a material adverse effect on our existing patent portfolio and our ability to protect and enforce our intellectual property in the future.</w:t>
      </w:r>
    </w:p>
    <w:p>
      <w:pPr>
        <w:pStyle w:val="TextBody"/>
        <w:spacing w:before="120" w:after="0"/>
        <w:jc w:val="left"/>
        <w:rPr>
          <w:rFonts w:ascii="Arial;sans-serif" w:hAnsi="Arial;sans-serif"/>
          <w:b w:val="false"/>
          <w:sz w:val="19"/>
        </w:rPr>
      </w:pPr>
      <w:r>
        <w:rPr>
          <w:rFonts w:ascii="Arial;sans-serif" w:hAnsi="Arial;sans-serif"/>
          <w:b w:val="false"/>
          <w:sz w:val="19"/>
        </w:rPr>
        <w:t>In addition, a European Unified Patent Court (UPC) is scheduled to come into force during 2023. The UPC will be a common patent court to hear patent infringement and revocation proceedings effective for member states of the European Union. This could enable third parties to seek revocation of any of our European patents in a single proceeding at the UPC rather than through multiple proceedings in each of the jurisdictions in which the European patent is validated.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our European patents. We may decide to opt out our European patents and patent applications from the UPC. If certain formalities and requirements are not met, however, our European patents and patent applications could be challenged for non-compliance and brought under the jurisdiction of the UPC. We cannot be certain that our European patents and patent applications will avoid falling under the jurisdiction of the UPC, if we decide to opt out of the UPC.</w:t>
      </w:r>
    </w:p>
    <w:p>
      <w:pPr>
        <w:pStyle w:val="TextBody"/>
        <w:spacing w:before="120" w:after="0"/>
        <w:jc w:val="left"/>
        <w:rPr>
          <w:rFonts w:ascii="Times New Roman" w:hAnsi="Times New Roman"/>
          <w:sz w:val="20"/>
        </w:rPr>
      </w:pPr>
      <w:r>
        <w:rPr>
          <w:rFonts w:ascii="Arial;sans-serif" w:hAnsi="Arial;sans-serif"/>
          <w:b w:val="false"/>
          <w:sz w:val="19"/>
        </w:rPr>
        <w:t>We cannot predict whether the patent applications we in-license currently being pursued will issue as patents, whether the claims of any patent that has or may issue will provide us with a competitive advantage or prevent competitors from designing around the claims to develop competing technologies in a non-infringing manner, or whether we or our licensors will be able to successfully pursue patent applications in the future relating to our current product candidates or future products and product candidates. Moreover, the patent application and approval process is expensive and time-consuming. We or our licensors may not be able to file and prosecute all necessary or desirable patent applications at a reasonable cost or in a timely manner. Furthermore, 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seek additional patent protection.</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Even if the patent applications we in-license issue as patents, they may not issue in a form that will provide us with any meaningful protection, prevent competitors from competing with us or otherwise provide us with any competitive advantage. Our competitors may be able to circumvent our patent rights by developing similar or alternative technologies or products in a non-infringing manner. Our competitors may also seek approval to market their own products similar to or otherwise competitive with our product candidates. Alternatively, our competitors may seek to market generic versions of any approved products by submitting abbreviated BLAs to the FDA during which process they may claim that patents licensed by us are invalid, unenforceable or not infringed. In these circumstances, we may need to defend or assert our intellectual property rights, or both, including by filing lawsuits alleging patent infringement. In any of these types of proceedings, a court or other agency with jurisdiction may find the patents we in-license invalid or unenforceable, or that our competitors are competing in a non-infringing manner. Thus, even if we have in-licensed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pStyle w:val="TextBody"/>
        <w:spacing w:before="120" w:after="0"/>
        <w:jc w:val="left"/>
        <w:rPr>
          <w:rFonts w:ascii="Arial;sans-serif" w:hAnsi="Arial;sans-serif"/>
          <w:b w:val="false"/>
          <w:sz w:val="19"/>
        </w:rPr>
      </w:pPr>
      <w:r>
        <w:rPr>
          <w:rFonts w:ascii="Arial;sans-serif" w:hAnsi="Arial;sans-serif"/>
          <w:b w:val="false"/>
          <w:sz w:val="19"/>
        </w:rPr>
        <w:t>The degree of future protection for our proprietary rights is uncertain because legal means afford only limited protection and may not adequately protect our rights or permit us to gain or keep our competitive advantage. For example: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others may be able to make or use compounds that are similar to the compositions of our product candidates but that are not covered by the claims of our patents or those of our licensors;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we or our licensors, as the case may be, may fail to meet our obligations to the U.S. government in regards to any in-licensed patents and patent applications funded by U.S. government grants, leading to the loss of patent rights;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we or our licensors, as the case may be, might not have been the first to file patent applications for these inventions;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others may independently develop similar or alternative technologies or duplicate any of our technologies;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it is possible that our pending patent applications will not result in issued patents;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it is possible that there are prior public disclosures that could invalidate our or our licensors’ patents, as the case may be, or parts of our or their patents;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it is possible that others may circumvent our owned or in-licensed patents;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it is possible that there are unpublished applications or patent applications maintained in secrecy that may later issue with claims covering our products or technology similar to ours;</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laws of foreign countries may not protect our or our licensors’, as the case may be, proprietary rights to the same extent as the laws of the United States;</w:t>
      </w:r>
    </w:p>
    <w:p>
      <w:pPr>
        <w:pStyle w:val="TextBody"/>
        <w:spacing w:before="240" w:after="0"/>
        <w:jc w:val="center"/>
        <w:rPr>
          <w:rFonts w:ascii="Arial;sans-serif" w:hAnsi="Arial;sans-serif"/>
          <w:b w:val="false"/>
          <w:sz w:val="20"/>
        </w:rPr>
      </w:pPr>
      <w:r>
        <w:rPr>
          <w:rFonts w:ascii="Arial;sans-serif" w:hAnsi="Arial;sans-serif"/>
          <w:b w:val="false"/>
          <w:sz w:val="20"/>
        </w:rPr>
        <w:t>71</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claims of our owned or in-licensed issued patents or patent applications, if and when issued, may not cover our product candidates;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owned, co-owned, or in-licensed issued patents may not provide us with any competitive advantages, may be narrowed in scope, or be held invalid or unenforceable as a result of legal challenges by third parties;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inventors of our owned, co-owned,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co-owners of certain of our patent applications may become involved with, or license or assign the co-owned applications to competitors , or become hostile to us or the patents or patent applications on which they are named as co-owners;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we have engaged in scientific collaborations in the past, and will continue to do so in the future. Such collaborators may develop adjacent or competing products to ours that are outside the scope of our patents;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we may not develop additional proprietary technologies for which we can obtain patent protection;</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it is possible that product candidates or diagnostic tests we develop may be covered by third parties’ patents or other exclusive rights; or</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patents of others may have an adverse effect on our business.</w:t>
      </w:r>
    </w:p>
    <w:p>
      <w:pPr>
        <w:pStyle w:val="TextBody"/>
        <w:spacing w:before="120" w:after="0"/>
        <w:jc w:val="left"/>
        <w:rPr>
          <w:rFonts w:ascii="Arial;sans-serif" w:hAnsi="Arial;sans-serif"/>
          <w:b/>
          <w:i/>
          <w:sz w:val="19"/>
        </w:rPr>
      </w:pPr>
      <w:r>
        <w:rPr>
          <w:rFonts w:ascii="Arial;sans-serif" w:hAnsi="Arial;sans-serif"/>
          <w:b/>
          <w:i/>
          <w:sz w:val="19"/>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pStyle w:val="TextBody"/>
        <w:spacing w:before="120" w:after="0"/>
        <w:jc w:val="left"/>
        <w:rPr>
          <w:rFonts w:ascii="Arial;sans-serif" w:hAnsi="Arial;sans-serif"/>
          <w:b w:val="false"/>
          <w:sz w:val="19"/>
        </w:rPr>
      </w:pPr>
      <w:r>
        <w:rPr>
          <w:rFonts w:ascii="Arial;sans-serif" w:hAnsi="Arial;sans-serif"/>
          <w:b w:val="false"/>
          <w:sz w:val="19"/>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pStyle w:val="TextBody"/>
        <w:spacing w:before="120" w:after="0"/>
        <w:jc w:val="left"/>
        <w:rPr>
          <w:rFonts w:ascii="Arial;sans-serif" w:hAnsi="Arial;sans-serif"/>
          <w:b w:val="false"/>
          <w:sz w:val="19"/>
        </w:rPr>
      </w:pPr>
      <w:r>
        <w:rPr>
          <w:rFonts w:ascii="Arial;sans-serif" w:hAnsi="Arial;sans-serif"/>
          <w:b w:val="false"/>
          <w:sz w:val="19"/>
        </w:rPr>
        <w:t>Moreover, disputes may arise regarding intellectual property subject to a licensing agreement, including: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scope of rights granted under the license agreement and other interpretation-related issues;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extent to which our product candidates, technology and processes infringe on intellectual property of the licensor that is not subject to the licensing agreement;</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sublicensing of patent and other rights under our collaborative development relationships;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our diligence obligations under the license agreement and what activities satisfy those diligence obligations;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inventorship and ownership of inventions and know-how resulting from the joint creation or use of intellectual property by our licensors and us and our partners;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priority of invention of patented technology.</w:t>
      </w:r>
    </w:p>
    <w:p>
      <w:pPr>
        <w:pStyle w:val="TextBody"/>
        <w:spacing w:before="120" w:after="0"/>
        <w:jc w:val="left"/>
        <w:rPr>
          <w:rFonts w:ascii="Arial;sans-serif" w:hAnsi="Arial;sans-serif"/>
          <w:b w:val="false"/>
          <w:sz w:val="19"/>
        </w:rPr>
      </w:pPr>
      <w:r>
        <w:rPr>
          <w:rFonts w:ascii="Arial;sans-serif" w:hAnsi="Arial;sans-serif"/>
          <w:b w:val="false"/>
          <w:sz w:val="19"/>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spacing w:before="120" w:after="0"/>
        <w:jc w:val="left"/>
        <w:rPr>
          <w:rFonts w:ascii="Times New Roman" w:hAnsi="Times New Roman"/>
          <w:sz w:val="20"/>
        </w:rPr>
      </w:pPr>
      <w:r>
        <w:rPr>
          <w:rFonts w:ascii="Arial;sans-serif" w:hAnsi="Arial;sans-serif"/>
          <w:b w:val="false"/>
          <w:sz w:val="19"/>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72</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rights, or defend certain of the intellectual property that is licensed to us. It is possible that the licensors’ infringement proceeding or defense activities may be less vigorous than had we conducted them ourselves.</w:t>
      </w:r>
    </w:p>
    <w:p>
      <w:pPr>
        <w:pStyle w:val="TextBody"/>
        <w:spacing w:before="120" w:after="0"/>
        <w:jc w:val="left"/>
        <w:rPr>
          <w:rFonts w:ascii="Arial;sans-serif" w:hAnsi="Arial;sans-serif"/>
          <w:b/>
          <w:i/>
          <w:sz w:val="19"/>
        </w:rPr>
      </w:pPr>
      <w:r>
        <w:rPr>
          <w:rFonts w:ascii="Arial;sans-serif" w:hAnsi="Arial;sans-serif"/>
          <w:b/>
          <w:i/>
          <w:sz w:val="19"/>
        </w:rPr>
        <w:t>If we are unable to protect the confidentiality of our trade secrets, our business and competitive position would be harmed.</w:t>
      </w:r>
    </w:p>
    <w:p>
      <w:pPr>
        <w:pStyle w:val="TextBody"/>
        <w:spacing w:before="120" w:after="0"/>
        <w:jc w:val="left"/>
        <w:rPr>
          <w:rFonts w:ascii="Arial;sans-serif" w:hAnsi="Arial;sans-serif"/>
          <w:b w:val="false"/>
          <w:sz w:val="19"/>
        </w:rPr>
      </w:pPr>
      <w:r>
        <w:rPr>
          <w:rFonts w:ascii="Arial;sans-serif" w:hAnsi="Arial;sans-serif"/>
          <w:b w:val="false"/>
          <w:sz w:val="19"/>
        </w:rPr>
        <w:t>In addition to patent protection, we rely heavily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pStyle w:val="TextBody"/>
        <w:spacing w:before="120" w:after="0"/>
        <w:jc w:val="left"/>
        <w:rPr>
          <w:rFonts w:ascii="Arial;sans-serif" w:hAnsi="Arial;sans-serif"/>
          <w:b w:val="false"/>
          <w:sz w:val="19"/>
        </w:rPr>
      </w:pPr>
      <w:r>
        <w:rPr>
          <w:rFonts w:ascii="Arial;sans-serif" w:hAnsi="Arial;sans-serif"/>
          <w:b w:val="false"/>
          <w:sz w:val="19"/>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spacing w:before="120" w:after="0"/>
        <w:jc w:val="left"/>
        <w:rPr>
          <w:rFonts w:ascii="Arial;sans-serif" w:hAnsi="Arial;sans-serif"/>
          <w:b w:val="false"/>
          <w:sz w:val="19"/>
        </w:rPr>
      </w:pPr>
      <w:r>
        <w:rPr>
          <w:rFonts w:ascii="Arial;sans-serif" w:hAnsi="Arial;sans-serif"/>
          <w:b w:val="false"/>
          <w:sz w:val="19"/>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spacing w:before="120" w:after="0"/>
        <w:jc w:val="left"/>
        <w:rPr>
          <w:rFonts w:ascii="Arial;sans-serif" w:hAnsi="Arial;sans-serif"/>
          <w:b/>
          <w:i/>
          <w:sz w:val="19"/>
        </w:rPr>
      </w:pPr>
      <w:r>
        <w:rPr>
          <w:rFonts w:ascii="Arial;sans-serif" w:hAnsi="Arial;sans-serif"/>
          <w:b/>
          <w:i/>
          <w:sz w:val="19"/>
        </w:rPr>
        <w:t>Third-party claims of intellectual property infringement may prevent or delay our product discovery and development efforts.</w:t>
      </w:r>
    </w:p>
    <w:p>
      <w:pPr>
        <w:pStyle w:val="TextBody"/>
        <w:spacing w:before="120" w:after="0"/>
        <w:jc w:val="left"/>
        <w:rPr>
          <w:rFonts w:ascii="Times New Roman" w:hAnsi="Times New Roman"/>
          <w:sz w:val="20"/>
        </w:rPr>
      </w:pPr>
      <w:r>
        <w:rPr>
          <w:rFonts w:ascii="Arial;sans-serif" w:hAnsi="Arial;sans-serif"/>
          <w:b w:val="false"/>
          <w:sz w:val="19"/>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w:t>
      </w:r>
      <w:r>
        <w:rPr>
          <w:rFonts w:ascii="Times New Roman" w:hAnsi="Times New Roman"/>
          <w:sz w:val="20"/>
        </w:rPr>
        <w:t xml:space="preserve"> </w:t>
      </w:r>
      <w:r>
        <w:rPr>
          <w:rFonts w:ascii="Arial;sans-serif" w:hAnsi="Arial;sans-serif"/>
          <w:b w:val="false"/>
          <w:i/>
          <w:sz w:val="19"/>
        </w:rPr>
        <w:t>inter partes</w:t>
      </w:r>
      <w:r>
        <w:rPr>
          <w:rFonts w:ascii="Times New Roman" w:hAnsi="Times New Roman"/>
          <w:sz w:val="20"/>
        </w:rPr>
        <w:t xml:space="preserve"> </w:t>
      </w:r>
      <w:r>
        <w:rPr>
          <w:rFonts w:ascii="Arial;sans-serif" w:hAnsi="Arial;sans-serif"/>
          <w:b w:val="false"/>
          <w:sz w:val="19"/>
        </w:rPr>
        <w:t>review, post-grant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spacing w:before="120" w:after="0"/>
        <w:jc w:val="left"/>
        <w:rPr>
          <w:rFonts w:ascii="Arial;sans-serif" w:hAnsi="Arial;sans-serif"/>
          <w:b w:val="false"/>
          <w:sz w:val="19"/>
        </w:rPr>
      </w:pPr>
      <w:r>
        <w:rPr>
          <w:rFonts w:ascii="Arial;sans-serif" w:hAnsi="Arial;sans-serif"/>
          <w:b w:val="false"/>
          <w:sz w:val="19"/>
        </w:rPr>
        <w:t>If a third-party claims that we infringe its intellectual property rights, we may face a number of issues, including, but not limited to:</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infringement and other intellectual property claims which, regardless of merit, may be expensive and time-consuming to litigate and may divert our management’s attention from our core business;</w:t>
      </w:r>
    </w:p>
    <w:p>
      <w:pPr>
        <w:pStyle w:val="TextBody"/>
        <w:spacing w:before="240" w:after="0"/>
        <w:jc w:val="center"/>
        <w:rPr>
          <w:rFonts w:ascii="Arial;sans-serif" w:hAnsi="Arial;sans-serif"/>
          <w:b w:val="false"/>
          <w:sz w:val="20"/>
        </w:rPr>
      </w:pPr>
      <w:r>
        <w:rPr>
          <w:rFonts w:ascii="Arial;sans-serif" w:hAnsi="Arial;sans-serif"/>
          <w:b w:val="false"/>
          <w:sz w:val="20"/>
        </w:rPr>
        <w:t>73</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 court prohibiting us from developing, manufacturing, marketing or selling our product candidates, or from using our proprietary technologies, unless the third-party licenses its product rights to us, which it is not required to do;</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redesigning our product candidates or processes so they do not infringe, which may not be possible or may require substantial monetary expenditures and time.</w:t>
      </w:r>
    </w:p>
    <w:p>
      <w:pPr>
        <w:pStyle w:val="TextBody"/>
        <w:spacing w:before="120" w:after="0"/>
        <w:jc w:val="left"/>
        <w:rPr>
          <w:rFonts w:ascii="Arial;sans-serif" w:hAnsi="Arial;sans-serif"/>
          <w:b w:val="false"/>
          <w:sz w:val="19"/>
        </w:rPr>
      </w:pPr>
      <w:r>
        <w:rPr>
          <w:rFonts w:ascii="Arial;sans-serif" w:hAnsi="Arial;sans-serif"/>
          <w:b w:val="false"/>
          <w:sz w:val="19"/>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TextBody"/>
        <w:spacing w:before="120" w:after="0"/>
        <w:jc w:val="left"/>
        <w:rPr>
          <w:rFonts w:ascii="Arial;sans-serif" w:hAnsi="Arial;sans-serif"/>
          <w:b/>
          <w:i/>
          <w:sz w:val="19"/>
        </w:rPr>
      </w:pPr>
      <w:r>
        <w:rPr>
          <w:rFonts w:ascii="Arial;sans-serif" w:hAnsi="Arial;sans-serif"/>
          <w:b/>
          <w:i/>
          <w:sz w:val="19"/>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spacing w:before="120" w:after="0"/>
        <w:jc w:val="left"/>
        <w:rPr>
          <w:rFonts w:ascii="Arial;sans-serif" w:hAnsi="Arial;sans-serif"/>
          <w:b w:val="false"/>
          <w:sz w:val="19"/>
        </w:rPr>
      </w:pPr>
      <w:r>
        <w:rPr>
          <w:rFonts w:ascii="Arial;sans-serif" w:hAnsi="Arial;sans-serif"/>
          <w:b w:val="false"/>
          <w:sz w:val="19"/>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pStyle w:val="TextBody"/>
        <w:spacing w:before="120" w:after="0"/>
        <w:jc w:val="left"/>
        <w:rPr>
          <w:rFonts w:ascii="Arial;sans-serif" w:hAnsi="Arial;sans-serif"/>
          <w:b/>
          <w:i/>
          <w:sz w:val="19"/>
        </w:rPr>
      </w:pPr>
      <w:r>
        <w:rPr>
          <w:rFonts w:ascii="Arial;sans-serif" w:hAnsi="Arial;sans-serif"/>
          <w:b/>
          <w:i/>
          <w:sz w:val="19"/>
        </w:rPr>
        <w:t>Third parties may assert that we are employing their proprietary technology without authorization.</w:t>
      </w:r>
    </w:p>
    <w:p>
      <w:pPr>
        <w:pStyle w:val="TextBody"/>
        <w:spacing w:before="120" w:after="0"/>
        <w:jc w:val="left"/>
        <w:rPr>
          <w:rFonts w:ascii="Arial;sans-serif" w:hAnsi="Arial;sans-serif"/>
          <w:b w:val="false"/>
          <w:sz w:val="19"/>
        </w:rPr>
      </w:pPr>
      <w:r>
        <w:rPr>
          <w:rFonts w:ascii="Arial;sans-serif" w:hAnsi="Arial;sans-serif"/>
          <w:b w:val="false"/>
          <w:sz w:val="19"/>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spacing w:before="120" w:after="0"/>
        <w:jc w:val="left"/>
        <w:rPr>
          <w:rFonts w:ascii="Arial;sans-serif" w:hAnsi="Arial;sans-serif"/>
          <w:b w:val="false"/>
          <w:sz w:val="19"/>
        </w:rPr>
      </w:pPr>
      <w:r>
        <w:rPr>
          <w:rFonts w:ascii="Arial;sans-serif" w:hAnsi="Arial;sans-serif"/>
          <w:b w:val="false"/>
          <w:sz w:val="19"/>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TextBody"/>
        <w:spacing w:before="240" w:after="0"/>
        <w:jc w:val="center"/>
        <w:rPr>
          <w:rFonts w:ascii="Arial;sans-serif" w:hAnsi="Arial;sans-serif"/>
          <w:b w:val="false"/>
          <w:sz w:val="20"/>
        </w:rPr>
      </w:pPr>
      <w:r>
        <w:rPr>
          <w:rFonts w:ascii="Arial;sans-serif" w:hAnsi="Arial;sans-serif"/>
          <w:b w:val="false"/>
          <w:sz w:val="20"/>
        </w:rPr>
        <w:t>74</w:t>
      </w:r>
    </w:p>
    <w:p>
      <w:pPr>
        <w:pStyle w:val="HorizontalLine"/>
        <w:rPr/>
      </w:pPr>
      <w:r>
        <w:rPr/>
      </w:r>
    </w:p>
    <w:p>
      <w:pPr>
        <w:pStyle w:val="TextBody"/>
        <w:spacing w:before="120" w:after="0"/>
        <w:jc w:val="left"/>
        <w:rPr>
          <w:rFonts w:ascii="Arial;sans-serif" w:hAnsi="Arial;sans-serif"/>
          <w:b/>
          <w:i/>
          <w:sz w:val="19"/>
        </w:rPr>
      </w:pPr>
      <w:r>
        <w:rPr>
          <w:rFonts w:ascii="Arial;sans-serif" w:hAnsi="Arial;sans-serif"/>
          <w:b/>
          <w:i/>
          <w:sz w:val="19"/>
        </w:rPr>
        <w:t>Third parties may assert that our employees or consultants have wrongfully used or disclosed confidential information, misappropriated trade secrets, or are in breach of non-competition or non-solicitation agreements with our competitors.</w:t>
      </w:r>
    </w:p>
    <w:p>
      <w:pPr>
        <w:pStyle w:val="TextBody"/>
        <w:spacing w:before="120" w:after="0"/>
        <w:jc w:val="left"/>
        <w:rPr>
          <w:rFonts w:ascii="Times New Roman" w:hAnsi="Times New Roman"/>
          <w:sz w:val="20"/>
        </w:rPr>
      </w:pPr>
      <w:r>
        <w:rPr>
          <w:rFonts w:ascii="Arial;sans-serif" w:hAnsi="Arial;sans-serif"/>
          <w:b w:val="false"/>
          <w:sz w:val="19"/>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We may also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Uncertainties resulting from the initiation and continuation of patent litigation or other intellectual property related proceedings could adversely affect our ability to compete in the marketplace.</w:t>
      </w:r>
    </w:p>
    <w:p>
      <w:pPr>
        <w:pStyle w:val="TextBody"/>
        <w:spacing w:before="120" w:after="0"/>
        <w:jc w:val="left"/>
        <w:rPr>
          <w:rFonts w:ascii="Arial;sans-serif" w:hAnsi="Arial;sans-serif"/>
          <w:b/>
          <w:i/>
          <w:sz w:val="19"/>
        </w:rPr>
      </w:pPr>
      <w:r>
        <w:rPr>
          <w:rFonts w:ascii="Arial;sans-serif" w:hAnsi="Arial;sans-serif"/>
          <w:b/>
          <w:i/>
          <w:sz w:val="19"/>
        </w:rPr>
        <w:t>We may not be successful in obtaining or maintaining necessary rights to develop any future product candidates on acceptable terms.</w:t>
      </w:r>
    </w:p>
    <w:p>
      <w:pPr>
        <w:pStyle w:val="TextBody"/>
        <w:spacing w:before="120" w:after="0"/>
        <w:jc w:val="left"/>
        <w:rPr>
          <w:rFonts w:ascii="Arial;sans-serif" w:hAnsi="Arial;sans-serif"/>
          <w:b w:val="false"/>
          <w:sz w:val="19"/>
        </w:rPr>
      </w:pPr>
      <w:r>
        <w:rPr>
          <w:rFonts w:ascii="Arial;sans-serif" w:hAnsi="Arial;sans-serif"/>
          <w:b w:val="false"/>
          <w:sz w:val="19"/>
        </w:rPr>
        <w:t>Because our programs may involve additional product candidates that may require the use of proprietary rights held by third parties, the growth of our business may depend in part on our ability to acquire, in-license or use these proprietary rights.</w:t>
      </w:r>
    </w:p>
    <w:p>
      <w:pPr>
        <w:pStyle w:val="TextBody"/>
        <w:spacing w:before="120" w:after="0"/>
        <w:jc w:val="left"/>
        <w:rPr>
          <w:rFonts w:ascii="Arial;sans-serif" w:hAnsi="Arial;sans-serif"/>
          <w:b w:val="false"/>
          <w:sz w:val="19"/>
        </w:rPr>
      </w:pPr>
      <w:r>
        <w:rPr>
          <w:rFonts w:ascii="Arial;sans-serif" w:hAnsi="Arial;sans-serif"/>
          <w:b w:val="false"/>
          <w:sz w:val="19"/>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spacing w:before="120" w:after="0"/>
        <w:jc w:val="left"/>
        <w:rPr>
          <w:rFonts w:ascii="Arial;sans-serif" w:hAnsi="Arial;sans-serif"/>
          <w:b w:val="false"/>
          <w:sz w:val="19"/>
        </w:rPr>
      </w:pPr>
      <w:r>
        <w:rPr>
          <w:rFonts w:ascii="Arial;sans-serif" w:hAnsi="Arial;sans-serif"/>
          <w:b w:val="false"/>
          <w:sz w:val="19"/>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spacing w:before="120" w:after="0"/>
        <w:jc w:val="left"/>
        <w:rPr>
          <w:rFonts w:ascii="Arial;sans-serif" w:hAnsi="Arial;sans-serif"/>
          <w:b w:val="false"/>
          <w:sz w:val="19"/>
        </w:rPr>
      </w:pPr>
      <w:r>
        <w:rPr>
          <w:rFonts w:ascii="Arial;sans-serif" w:hAnsi="Arial;sans-serif"/>
          <w:b w:val="false"/>
          <w:sz w:val="19"/>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spacing w:before="120" w:after="0"/>
        <w:jc w:val="left"/>
        <w:rPr>
          <w:rFonts w:ascii="Arial;sans-serif" w:hAnsi="Arial;sans-serif"/>
          <w:b/>
          <w:i/>
          <w:sz w:val="19"/>
        </w:rPr>
      </w:pPr>
      <w:r>
        <w:rPr>
          <w:rFonts w:ascii="Arial;sans-serif" w:hAnsi="Arial;sans-serif"/>
          <w:b/>
          <w:i/>
          <w:sz w:val="19"/>
        </w:rPr>
        <w:t>We may be involved in lawsuits to protect or enforce our patents or the patents of our licensors, which could be expensive, time-consuming and unsuccessful.</w:t>
      </w:r>
    </w:p>
    <w:p>
      <w:pPr>
        <w:pStyle w:val="TextBody"/>
        <w:spacing w:before="120" w:after="0"/>
        <w:jc w:val="left"/>
        <w:rPr>
          <w:rFonts w:ascii="Times New Roman" w:hAnsi="Times New Roman"/>
          <w:sz w:val="20"/>
        </w:rPr>
      </w:pPr>
      <w:r>
        <w:rPr>
          <w:rFonts w:ascii="Arial;sans-serif" w:hAnsi="Arial;sans-serif"/>
          <w:b w:val="false"/>
          <w:sz w:val="19"/>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75</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spacing w:before="120" w:after="0"/>
        <w:jc w:val="left"/>
        <w:rPr>
          <w:rFonts w:ascii="Times New Roman" w:hAnsi="Times New Roman"/>
          <w:sz w:val="20"/>
        </w:rPr>
      </w:pPr>
      <w:r>
        <w:rPr>
          <w:rFonts w:ascii="Arial;sans-serif" w:hAnsi="Arial;sans-serif"/>
          <w:b w:val="false"/>
          <w:sz w:val="19"/>
        </w:rPr>
        <w:t>We may choose to challenge the patentability of claims in a third-party’s U.S. patent by requesting that the USPTO review the patent claims in an</w:t>
      </w:r>
      <w:r>
        <w:rPr>
          <w:rFonts w:ascii="Times New Roman" w:hAnsi="Times New Roman"/>
          <w:sz w:val="20"/>
        </w:rPr>
        <w:t xml:space="preserve"> </w:t>
      </w:r>
      <w:r>
        <w:rPr>
          <w:rFonts w:ascii="Arial;sans-serif" w:hAnsi="Arial;sans-serif"/>
          <w:b w:val="false"/>
          <w:i/>
          <w:sz w:val="19"/>
        </w:rPr>
        <w:t>ex-parte</w:t>
      </w:r>
      <w:r>
        <w:rPr>
          <w:rFonts w:ascii="Times New Roman" w:hAnsi="Times New Roman"/>
          <w:sz w:val="20"/>
        </w:rPr>
        <w:t xml:space="preserve"> </w:t>
      </w:r>
      <w:r>
        <w:rPr>
          <w:rFonts w:ascii="Arial;sans-serif" w:hAnsi="Arial;sans-serif"/>
          <w:b w:val="false"/>
          <w:sz w:val="19"/>
        </w:rPr>
        <w:t>re-examination,</w:t>
      </w:r>
      <w:r>
        <w:rPr>
          <w:rFonts w:ascii="Times New Roman" w:hAnsi="Times New Roman"/>
          <w:sz w:val="20"/>
        </w:rPr>
        <w:t xml:space="preserve"> </w:t>
      </w:r>
      <w:r>
        <w:rPr>
          <w:rFonts w:ascii="Arial;sans-serif" w:hAnsi="Arial;sans-serif"/>
          <w:b w:val="false"/>
          <w:i/>
          <w:sz w:val="19"/>
        </w:rPr>
        <w:t>inter partes</w:t>
      </w:r>
      <w:r>
        <w:rPr>
          <w:rFonts w:ascii="Times New Roman" w:hAnsi="Times New Roman"/>
          <w:sz w:val="20"/>
        </w:rPr>
        <w:t xml:space="preserve"> </w:t>
      </w:r>
      <w:r>
        <w:rPr>
          <w:rFonts w:ascii="Arial;sans-serif" w:hAnsi="Arial;sans-serif"/>
          <w:b w:val="false"/>
          <w:sz w:val="19"/>
        </w:rPr>
        <w:t>review or post-grant review proceedings. These proceedings are expensive and may consume our time or other resources. We may choose to challenge a third-party’s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pStyle w:val="TextBody"/>
        <w:spacing w:before="120" w:after="0"/>
        <w:jc w:val="left"/>
        <w:rPr>
          <w:rFonts w:ascii="Arial;sans-serif" w:hAnsi="Arial;sans-serif"/>
          <w:b w:val="false"/>
          <w:sz w:val="19"/>
        </w:rPr>
      </w:pPr>
      <w:r>
        <w:rPr>
          <w:rFonts w:ascii="Arial;sans-serif" w:hAnsi="Arial;sans-serif"/>
          <w:b w:val="false"/>
          <w:sz w:val="19"/>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TextBody"/>
        <w:spacing w:before="120" w:after="0"/>
        <w:jc w:val="left"/>
        <w:rPr>
          <w:rFonts w:ascii="Arial;sans-serif" w:hAnsi="Arial;sans-serif"/>
          <w:b w:val="false"/>
          <w:sz w:val="19"/>
        </w:rPr>
      </w:pPr>
      <w:r>
        <w:rPr>
          <w:rFonts w:ascii="Arial;sans-serif" w:hAnsi="Arial;sans-serif"/>
          <w:b w:val="false"/>
          <w:sz w:val="19"/>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spacing w:before="120" w:after="0"/>
        <w:jc w:val="left"/>
        <w:rPr>
          <w:rFonts w:ascii="Arial;sans-serif" w:hAnsi="Arial;sans-serif"/>
          <w:b w:val="false"/>
          <w:sz w:val="19"/>
        </w:rPr>
      </w:pPr>
      <w:r>
        <w:rPr>
          <w:rFonts w:ascii="Arial;sans-serif" w:hAnsi="Arial;sans-serif"/>
          <w:b w:val="false"/>
          <w:sz w:val="19"/>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spacing w:before="120" w:after="0"/>
        <w:jc w:val="left"/>
        <w:rPr>
          <w:rFonts w:ascii="Arial;sans-serif" w:hAnsi="Arial;sans-serif"/>
          <w:b/>
          <w:i/>
          <w:sz w:val="19"/>
        </w:rPr>
      </w:pPr>
      <w:r>
        <w:rPr>
          <w:rFonts w:ascii="Arial;sans-serif" w:hAnsi="Arial;sans-serif"/>
          <w:b/>
          <w:i/>
          <w:sz w:val="19"/>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spacing w:before="120" w:after="0"/>
        <w:jc w:val="left"/>
        <w:rPr>
          <w:rFonts w:ascii="Arial;sans-serif" w:hAnsi="Arial;sans-serif"/>
          <w:b w:val="false"/>
          <w:sz w:val="19"/>
        </w:rPr>
      </w:pPr>
      <w:r>
        <w:rPr>
          <w:rFonts w:ascii="Arial;sans-serif" w:hAnsi="Arial;sans-serif"/>
          <w:b w:val="false"/>
          <w:sz w:val="19"/>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TextBody"/>
        <w:spacing w:before="120" w:after="0"/>
        <w:jc w:val="left"/>
        <w:rPr>
          <w:rFonts w:ascii="Arial;sans-serif" w:hAnsi="Arial;sans-serif"/>
          <w:b/>
          <w:i/>
          <w:sz w:val="19"/>
        </w:rPr>
      </w:pPr>
      <w:r>
        <w:rPr>
          <w:rFonts w:ascii="Arial;sans-serif" w:hAnsi="Arial;sans-serif"/>
          <w:b/>
          <w:i/>
          <w:sz w:val="19"/>
        </w:rPr>
        <w:t>Any patents, if issued patents covering our product candidates could be found invalid or unenforceable if challenged in court or the USPTO.</w:t>
      </w:r>
    </w:p>
    <w:p>
      <w:pPr>
        <w:pStyle w:val="TextBody"/>
        <w:spacing w:before="120" w:after="0"/>
        <w:jc w:val="left"/>
        <w:rPr>
          <w:rFonts w:ascii="Times New Roman" w:hAnsi="Times New Roman"/>
          <w:sz w:val="20"/>
        </w:rPr>
      </w:pPr>
      <w:r>
        <w:rPr>
          <w:rFonts w:ascii="Arial;sans-serif" w:hAnsi="Arial;sans-serif"/>
          <w:b w:val="false"/>
          <w:sz w:val="19"/>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76</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spacing w:before="120" w:after="0"/>
        <w:jc w:val="left"/>
        <w:rPr>
          <w:rFonts w:ascii="Arial;sans-serif" w:hAnsi="Arial;sans-serif"/>
          <w:b w:val="false"/>
          <w:sz w:val="19"/>
        </w:rPr>
      </w:pPr>
      <w:r>
        <w:rPr>
          <w:rFonts w:ascii="Arial;sans-serif" w:hAnsi="Arial;sans-serif"/>
          <w:b w:val="false"/>
          <w:sz w:val="19"/>
        </w:rPr>
        <w:t>Likewise, we own a U.S. patent relating to our CAN-2409 product candidate that expires in 2034, and our in-licensed U.S. and non-U.S. patents relating to our HSV-based product candidates, licensed from MGB and from Periphagen are expected to expire in 2036 and in 2037, respectively, without taking into account any possible patent term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and in-license pending patent applications relating to our proprietary technologies or our product candidates that if issued as patents are expected to expire from 2034 through 2042, without taking into account any possible patent term adjustments or extensions. However, we cannot be assured that the USPTO or relevant foreign patent offices will grant any of these patent applications.</w:t>
      </w:r>
    </w:p>
    <w:p>
      <w:pPr>
        <w:pStyle w:val="TextBody"/>
        <w:spacing w:before="120" w:after="0"/>
        <w:jc w:val="left"/>
        <w:rPr>
          <w:rFonts w:ascii="Arial;sans-serif" w:hAnsi="Arial;sans-serif"/>
          <w:b/>
          <w:i/>
          <w:sz w:val="19"/>
        </w:rPr>
      </w:pPr>
      <w:r>
        <w:rPr>
          <w:rFonts w:ascii="Arial;sans-serif" w:hAnsi="Arial;sans-serif"/>
          <w:b/>
          <w:i/>
          <w:sz w:val="19"/>
        </w:rPr>
        <w:t>We have limited foreign intellectual property rights and may not be able to protect our intellectual property rights throughout the world.</w:t>
      </w:r>
    </w:p>
    <w:p>
      <w:pPr>
        <w:pStyle w:val="TextBody"/>
        <w:spacing w:before="120" w:after="0"/>
        <w:jc w:val="left"/>
        <w:rPr>
          <w:rFonts w:ascii="Arial;sans-serif" w:hAnsi="Arial;sans-serif"/>
          <w:b w:val="false"/>
          <w:sz w:val="19"/>
        </w:rPr>
      </w:pPr>
      <w:r>
        <w:rPr>
          <w:rFonts w:ascii="Arial;sans-serif" w:hAnsi="Arial;sans-serif"/>
          <w:b w:val="false"/>
          <w:sz w:val="19"/>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spacing w:before="120" w:after="0"/>
        <w:jc w:val="left"/>
        <w:rPr>
          <w:rFonts w:ascii="Arial;sans-serif" w:hAnsi="Arial;sans-serif"/>
          <w:b w:val="false"/>
          <w:sz w:val="19"/>
        </w:rPr>
      </w:pPr>
      <w:r>
        <w:rPr>
          <w:rFonts w:ascii="Arial;sans-serif" w:hAnsi="Arial;sans-serif"/>
          <w:b w:val="false"/>
          <w:sz w:val="19"/>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before="120" w:after="0"/>
        <w:jc w:val="left"/>
        <w:rPr>
          <w:rFonts w:ascii="Arial;sans-serif" w:hAnsi="Arial;sans-serif"/>
          <w:b/>
          <w:i/>
          <w:sz w:val="19"/>
        </w:rPr>
      </w:pPr>
      <w:r>
        <w:rPr>
          <w:rFonts w:ascii="Arial;sans-serif" w:hAnsi="Arial;sans-serif"/>
          <w:b/>
          <w:i/>
          <w:sz w:val="19"/>
        </w:rPr>
        <w:t>Patent terms may be inadequate to protect our competitive position on our product candidates for an adequate amount of time.</w:t>
      </w:r>
    </w:p>
    <w:p>
      <w:pPr>
        <w:pStyle w:val="TextBody"/>
        <w:spacing w:before="120" w:after="0"/>
        <w:jc w:val="left"/>
        <w:rPr>
          <w:rFonts w:ascii="Arial;sans-serif" w:hAnsi="Arial;sans-serif"/>
          <w:b w:val="false"/>
          <w:sz w:val="19"/>
        </w:rPr>
      </w:pPr>
      <w:r>
        <w:rPr>
          <w:rFonts w:ascii="Arial;sans-serif" w:hAnsi="Arial;sans-serif"/>
          <w:b w:val="false"/>
          <w:sz w:val="19"/>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spacing w:before="120" w:after="0"/>
        <w:jc w:val="left"/>
        <w:rPr>
          <w:rFonts w:ascii="Arial;sans-serif" w:hAnsi="Arial;sans-serif"/>
          <w:b/>
          <w:i/>
          <w:sz w:val="19"/>
        </w:rPr>
      </w:pPr>
      <w:r>
        <w:rPr>
          <w:rFonts w:ascii="Arial;sans-serif" w:hAnsi="Arial;sans-serif"/>
          <w:b/>
          <w:i/>
          <w:sz w:val="19"/>
        </w:rPr>
        <w:t>If we do not obtain patent term extension and data exclusivity for any product candidates we may develop, our business may be materially harmed.</w:t>
      </w:r>
    </w:p>
    <w:p>
      <w:pPr>
        <w:pStyle w:val="TextBody"/>
        <w:spacing w:before="240" w:after="0"/>
        <w:jc w:val="center"/>
        <w:rPr>
          <w:rFonts w:ascii="Arial;sans-serif" w:hAnsi="Arial;sans-serif"/>
          <w:b w:val="false"/>
          <w:sz w:val="20"/>
        </w:rPr>
      </w:pPr>
      <w:r>
        <w:rPr>
          <w:rFonts w:ascii="Arial;sans-serif" w:hAnsi="Arial;sans-serif"/>
          <w:b w:val="false"/>
          <w:sz w:val="20"/>
        </w:rPr>
        <w:t>77</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spacing w:before="120" w:after="0"/>
        <w:jc w:val="left"/>
        <w:rPr>
          <w:rFonts w:ascii="Arial;sans-serif" w:hAnsi="Arial;sans-serif"/>
          <w:b/>
          <w:i/>
          <w:sz w:val="19"/>
        </w:rPr>
      </w:pPr>
      <w:r>
        <w:rPr>
          <w:rFonts w:ascii="Arial;sans-serif" w:hAnsi="Arial;sans-serif"/>
          <w:b/>
          <w:i/>
          <w:sz w:val="19"/>
        </w:rPr>
        <w:t>If our trademarks and trade names are not adequately protected, then we may not be able to build name recognition in our markets of interest and our business may be adversely affected.</w:t>
      </w:r>
    </w:p>
    <w:p>
      <w:pPr>
        <w:pStyle w:val="TextBody"/>
        <w:spacing w:before="120" w:after="0"/>
        <w:jc w:val="left"/>
        <w:rPr>
          <w:rFonts w:ascii="Arial;sans-serif" w:hAnsi="Arial;sans-serif"/>
          <w:b w:val="false"/>
          <w:sz w:val="19"/>
        </w:rPr>
      </w:pPr>
      <w:r>
        <w:rPr>
          <w:rFonts w:ascii="Arial;sans-serif" w:hAnsi="Arial;sans-serif"/>
          <w:b w:val="false"/>
          <w:sz w:val="19"/>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spacing w:before="160" w:after="0"/>
        <w:jc w:val="left"/>
        <w:rPr>
          <w:rFonts w:ascii="Arial;sans-serif" w:hAnsi="Arial;sans-serif"/>
          <w:b/>
          <w:sz w:val="19"/>
        </w:rPr>
      </w:pPr>
      <w:r>
        <w:rPr>
          <w:rFonts w:ascii="Arial;sans-serif" w:hAnsi="Arial;sans-serif"/>
          <w:b/>
          <w:sz w:val="19"/>
        </w:rPr>
        <w:t>Risks Related to Our Common Stock</w:t>
      </w:r>
    </w:p>
    <w:p>
      <w:pPr>
        <w:pStyle w:val="TextBody"/>
        <w:spacing w:before="120" w:after="0"/>
        <w:jc w:val="left"/>
        <w:rPr>
          <w:rFonts w:ascii="Arial;sans-serif" w:hAnsi="Arial;sans-serif"/>
          <w:b/>
          <w:i/>
          <w:sz w:val="19"/>
        </w:rPr>
      </w:pPr>
      <w:r>
        <w:rPr>
          <w:rFonts w:ascii="Arial;sans-serif" w:hAnsi="Arial;sans-serif"/>
          <w:b/>
          <w:i/>
          <w:sz w:val="19"/>
        </w:rPr>
        <w:t>The price of our common stock may be volatile and fluctuate substantially, which could result in substantial losses to stockholders.</w:t>
      </w:r>
    </w:p>
    <w:p>
      <w:pPr>
        <w:pStyle w:val="TextBody"/>
        <w:spacing w:before="120" w:after="0"/>
        <w:jc w:val="left"/>
        <w:rPr>
          <w:rFonts w:ascii="Arial;sans-serif" w:hAnsi="Arial;sans-serif"/>
          <w:b w:val="false"/>
          <w:sz w:val="19"/>
        </w:rPr>
      </w:pPr>
      <w:r>
        <w:rPr>
          <w:rFonts w:ascii="Arial;sans-serif" w:hAnsi="Arial;sans-serif"/>
          <w:b w:val="false"/>
          <w:sz w:val="19"/>
        </w:rPr>
        <w:t>Our stock price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price at which it was purchased. The market price for our common stock may be influenced by many factors, including:</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success of competitive products or technologies;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results of clinical trials of our product candidates or those of our competitors;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commencement or termination of collaboration, licensing or similar arrangements for our development programs;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announcements by our competitors of significant acquisitions, strategic partnerships, joint ventures, collaborations or capital commitments;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regulatory or legal developments in the United States and other countries;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developments or disputes concerning patent applications, issued patents or other proprietary rights;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recruitment or departure of key personnel;</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level of expenses related to any of our product candidates or clinical development programs;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the results of our efforts to discover, develop, acquire or in-license additional product candidates or products;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developments or setbacks related to drugs that are co-administered with any of our product candidates, such as checkpoint inhibitors;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actual or anticipated changes in estimates as to financial results, development timelines or recommendations by securities analysts;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variations in our financial results or those of companies that are perceived to be similar to us;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expiration of market stand-off or lock-up agreements;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changes in the structure of healthcare payment systems;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market conditions in the pharmaceutical and biotechnology sectors;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general economic, industry and market conditions and overall fluctuations in the financial markets in the United States and abroad;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other factors described in this “Risk Factors” section.</w:t>
      </w:r>
    </w:p>
    <w:p>
      <w:pPr>
        <w:pStyle w:val="TextBody"/>
        <w:spacing w:before="240" w:after="0"/>
        <w:jc w:val="center"/>
        <w:rPr>
          <w:rFonts w:ascii="Arial;sans-serif" w:hAnsi="Arial;sans-serif"/>
          <w:b w:val="false"/>
          <w:sz w:val="20"/>
        </w:rPr>
      </w:pPr>
      <w:r>
        <w:rPr>
          <w:rFonts w:ascii="Arial;sans-serif" w:hAnsi="Arial;sans-serif"/>
          <w:b w:val="false"/>
          <w:sz w:val="20"/>
        </w:rPr>
        <w:t>78</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In addition, the trading prices for our and other biopharmaceutical companies’ stock have been highly volatile as a result of the COVID-19 pandemic. As a result, we may face difficulties raising capital through sales of our common stock and any such sales may be on unfavorable terms. The extent to which the COVID-19 pandemic further impacts our business, including our preclinical studies and clinical trials, results of operations and financial condition will depend on future developments which are highly uncertain and cannot be predicted with confidence. Such factors include, but are not limited to, the duration of the outbreak, the impact of variants, travel restrictions, quarantines, shelter-in-place orders and social distancing, business closures or business disruptions, the adoption and effectiveness of vaccines and vaccine distribution efforts, and the effectiveness of other actions taken in the United States and other countries to contain and treat the disease.</w:t>
      </w:r>
    </w:p>
    <w:p>
      <w:pPr>
        <w:pStyle w:val="TextBody"/>
        <w:spacing w:before="120" w:after="0"/>
        <w:jc w:val="left"/>
        <w:rPr>
          <w:rFonts w:ascii="Times New Roman" w:hAnsi="Times New Roman"/>
          <w:sz w:val="20"/>
        </w:rPr>
      </w:pPr>
      <w:r>
        <w:rPr>
          <w:rFonts w:ascii="Arial;sans-serif" w:hAnsi="Arial;sans-serif"/>
          <w:b/>
          <w:i/>
          <w:sz w:val="19"/>
        </w:rPr>
        <w:t>Raising additional capital through the sale of a substantial number of shares of our common stock, or the perception that sales of a substantial number of shares of our common stock might occur, may cause dilution to our stockholders, could cause our stock price to decline and could restrict our operations or require us to relinquish rights to our technologies or current or future product candidates.</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Until such time, if ever, as we can generate substantial product revenues, we expect to finance our cash needs through a combination of private and public equity offerings, debt financings, collaborations, strategic alliances and marketing, distribution or licensing arrangements. We do not currently have any committed external source of funds. To the extent that we raise additional capital through the sale of common stock or securities convertible or exchangeable into common stock, your ownership interest will be diluted, and the terms of these securities may include liquidation or other preferences that may materially adversely affect your rights as a common stockholder. In August 2022, we filed a registration statement on Form S-3 (Shelf) pursuant to which we may issue up to $75.0 million in shares of common stock in sales deemed to be “at-the-market offerings” (the ATM Program) as defined by the Securities Act of 1933, as amended (Securities Act), and up to $200.0 million in shares of our common stock, preferred stock, debt securities, warrants and/or units. Any sale or issuance of securities pursuant to this registration statement or otherwise may result in dilution to our stockholders and may cause our stock price to decline. Due to the SEC’s “baby shelf rules,” which prohibit companies with a public float of less than $75.0 million from issuing securities under a shelf registration statement in excess of one third of such company’s public float in a 12-month period, we are currently only able to issue a limited number of shares which aggregate to no more than one-third of our public float using our Shelf. Although alternative public and private transaction structures may be available, these may require additional time and cost, may impose operational restrictions on us, and may not be available on attractive terms.</w:t>
      </w:r>
    </w:p>
    <w:p>
      <w:pPr>
        <w:pStyle w:val="TextBody"/>
        <w:spacing w:before="120" w:after="0"/>
        <w:jc w:val="left"/>
        <w:rPr>
          <w:rFonts w:ascii="Arial;sans-serif" w:hAnsi="Arial;sans-serif"/>
          <w:b w:val="false"/>
          <w:sz w:val="19"/>
        </w:rPr>
      </w:pPr>
      <w:r>
        <w:rPr>
          <w:rFonts w:ascii="Arial;sans-serif" w:hAnsi="Arial;sans-serif"/>
          <w:b w:val="false"/>
          <w:sz w:val="19"/>
        </w:rPr>
        <w:t>Debt financing, if available, would increase our fixed payment obligations and may involve agreements that include covenants limiting or restricting our ability to take specific actions, such as incurring additional debt, acquiring, selling or licensing intellectual property rights,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pStyle w:val="TextBody"/>
        <w:spacing w:before="120" w:after="0"/>
        <w:jc w:val="left"/>
        <w:rPr>
          <w:rFonts w:ascii="Arial;sans-serif" w:hAnsi="Arial;sans-serif"/>
          <w:b w:val="false"/>
          <w:sz w:val="19"/>
        </w:rPr>
      </w:pPr>
      <w:r>
        <w:rPr>
          <w:rFonts w:ascii="Arial;sans-serif" w:hAnsi="Arial;sans-serif"/>
          <w:b w:val="false"/>
          <w:sz w:val="19"/>
        </w:rPr>
        <w:t>If we raise funds through additional collaborations, strategic alliances or marketing, distribution or licensing arrangements with third parties, we may have to relinquish valuable rights to our intellectual property, future revenue streams, research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pStyle w:val="TextBody"/>
        <w:spacing w:before="120" w:after="0"/>
        <w:jc w:val="left"/>
        <w:rPr>
          <w:rFonts w:ascii="Arial;sans-serif" w:hAnsi="Arial;sans-serif"/>
          <w:b/>
          <w:i/>
          <w:sz w:val="19"/>
        </w:rPr>
      </w:pPr>
      <w:r>
        <w:rPr>
          <w:rFonts w:ascii="Arial;sans-serif" w:hAnsi="Arial;sans-serif"/>
          <w:b/>
          <w:i/>
          <w:sz w:val="19"/>
        </w:rPr>
        <w:t>We are an “emerging growth company” as defined in the JOBS Act and a “smaller reporting company” as defined in the Securities Exchange Act of 1934, as amended (the Exchange Act), and will be able to avail ourselves of reduced disclosure requirements applicable to emerging growth companies and smaller reporting companies, which could make our common stock less attractive to investors and adversely affect the market price of our common stock.</w:t>
      </w:r>
    </w:p>
    <w:p>
      <w:pPr>
        <w:pStyle w:val="TextBody"/>
        <w:spacing w:before="120" w:after="0"/>
        <w:jc w:val="left"/>
        <w:rPr>
          <w:rFonts w:ascii="Arial;sans-serif" w:hAnsi="Arial;sans-serif"/>
          <w:b w:val="false"/>
          <w:sz w:val="19"/>
        </w:rPr>
      </w:pPr>
      <w:r>
        <w:rPr>
          <w:rFonts w:ascii="Arial;sans-serif" w:hAnsi="Arial;sans-serif"/>
          <w:b w:val="false"/>
          <w:sz w:val="19"/>
        </w:rPr>
        <w:t>We are an “emerging growth company,” as defined in the Jumpstart Our Business Startups Act of 2012 (the JOBS Act). We will remain an emerging growth company until the earlier of (i) the last day of the fiscal year in which we have total annual gross revenues of $1.235 billion or more; (ii) December 26, 2026;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not being required to comply with the auditor attestation requirements of Section 404 of the SOX Act (Section 404);</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spacing w:before="240" w:after="0"/>
        <w:jc w:val="center"/>
        <w:rPr>
          <w:rFonts w:ascii="Arial;sans-serif" w:hAnsi="Arial;sans-serif"/>
          <w:b w:val="false"/>
          <w:sz w:val="20"/>
        </w:rPr>
      </w:pPr>
      <w:r>
        <w:rPr>
          <w:rFonts w:ascii="Arial;sans-serif" w:hAnsi="Arial;sans-serif"/>
          <w:b w:val="false"/>
          <w:sz w:val="20"/>
        </w:rPr>
        <w:t>79</w:t>
      </w:r>
    </w:p>
    <w:p>
      <w:pPr>
        <w:pStyle w:val="HorizontalLine"/>
        <w:rPr/>
      </w:pPr>
      <w:r>
        <w:rPr/>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providing only two years of audited financial statements in addition to any required unaudited interim financial statements and a correspondingly reduced “Management’s Discussion and Analysis of Financial Condition and Results of Operations” disclosure;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reduced disclosure obligations regarding executive compensation;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 xml:space="preserve">exemptions from the requirements of holding a nonbinding advisory vote on executive compensation and stockholder approval of any golden parachute payments not previously approved. </w:t>
      </w:r>
    </w:p>
    <w:p>
      <w:pPr>
        <w:pStyle w:val="TextBody"/>
        <w:spacing w:before="120" w:after="0"/>
        <w:jc w:val="left"/>
        <w:rPr>
          <w:rFonts w:ascii="Arial;sans-serif" w:hAnsi="Arial;sans-serif"/>
          <w:b w:val="false"/>
          <w:sz w:val="19"/>
        </w:rPr>
      </w:pPr>
      <w:r>
        <w:rPr>
          <w:rFonts w:ascii="Arial;sans-serif" w:hAnsi="Arial;sans-serif"/>
          <w:b w:val="false"/>
          <w:sz w:val="19"/>
        </w:rPr>
        <w:t>We may choose to take advantage of some, but not all, of the available exemptions. We have taken advantage of reduced reporting burdens in this Annual Report on Form 10-K. In particular, we have provided only two years of audited financial statements and a correspondingly reduced “Management’s Discussion and Analysis of Financial Condition and Results of Operations” disclosure, and we have not included all of the executive compensation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spacing w:before="120" w:after="0"/>
        <w:jc w:val="left"/>
        <w:rPr>
          <w:rFonts w:ascii="Arial;sans-serif" w:hAnsi="Arial;sans-serif"/>
          <w:b w:val="false"/>
          <w:sz w:val="19"/>
        </w:rPr>
      </w:pPr>
      <w:r>
        <w:rPr>
          <w:rFonts w:ascii="Arial;sans-serif" w:hAnsi="Arial;sans-serif"/>
          <w:b w:val="false"/>
          <w:sz w:val="19"/>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pStyle w:val="TextBody"/>
        <w:spacing w:before="120" w:after="0"/>
        <w:jc w:val="left"/>
        <w:rPr>
          <w:rFonts w:ascii="Arial;sans-serif" w:hAnsi="Arial;sans-serif"/>
          <w:b w:val="false"/>
          <w:sz w:val="19"/>
        </w:rPr>
      </w:pPr>
      <w:r>
        <w:rPr>
          <w:rFonts w:ascii="Arial;sans-serif" w:hAnsi="Arial;sans-serif"/>
          <w:b w:val="false"/>
          <w:sz w:val="19"/>
        </w:rPr>
        <w:t>We are also a “smaller reporting company” as defined in the Exchange Act. We may continue to be a smaller reporting company even after we no longer qualify an emerging growth company.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w:t>
      </w:r>
    </w:p>
    <w:p>
      <w:pPr>
        <w:pStyle w:val="TextBody"/>
        <w:spacing w:before="120" w:after="0"/>
        <w:jc w:val="left"/>
        <w:rPr>
          <w:rFonts w:ascii="Arial;sans-serif" w:hAnsi="Arial;sans-serif"/>
          <w:b w:val="false"/>
          <w:sz w:val="19"/>
        </w:rPr>
      </w:pPr>
      <w:r>
        <w:rPr>
          <w:rFonts w:ascii="Arial;sans-serif" w:hAnsi="Arial;sans-serif"/>
          <w:b w:val="false"/>
          <w:sz w:val="19"/>
        </w:rPr>
        <w:t>Although we are still evaluating the JOBS Act, we currently intend to take advantage of some, but not all, of the reduced regulatory and reporting requirements that will be available to us so long as we qualify as an “emerging growth company” and “smaller reporting company.” We have elected to avail ourselves of this exemption and, therefore, we are not subject to the same new or revised accounting standards as other public companies that are not emerging growth companies or smaller reporting company. As a result, changes in rules of U.S. GAAP or their interpretation, the adoption of new guidance or the application of existing guidance to changes in our business could significantly affect our financial position and results of operations.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 “smaller reporting company” or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pStyle w:val="TextBody"/>
        <w:spacing w:before="0" w:after="0"/>
        <w:jc w:val="left"/>
        <w:rPr>
          <w:rFonts w:ascii="Times New Roman" w:hAnsi="Times New Roman"/>
          <w:sz w:val="20"/>
        </w:rPr>
      </w:pPr>
      <w:r>
        <w:rPr>
          <w:rFonts w:ascii="Times New Roman;serif" w:hAnsi="Times New Roman;serif"/>
          <w:b w:val="false"/>
          <w:sz w:val="2"/>
        </w:rPr>
        <w:br/>
      </w:r>
      <w:r>
        <w:rPr>
          <w:rFonts w:ascii="Times New Roman" w:hAnsi="Times New Roman"/>
          <w:sz w:val="20"/>
        </w:rPr>
        <w:t> </w:t>
      </w:r>
    </w:p>
    <w:p>
      <w:pPr>
        <w:pStyle w:val="TextBody"/>
        <w:spacing w:before="120" w:after="0"/>
        <w:jc w:val="left"/>
        <w:rPr>
          <w:rFonts w:ascii="Arial;sans-serif" w:hAnsi="Arial;sans-serif"/>
          <w:b/>
          <w:i/>
          <w:sz w:val="19"/>
        </w:rPr>
      </w:pPr>
      <w:r>
        <w:rPr>
          <w:rFonts w:ascii="Arial;sans-serif" w:hAnsi="Arial;sans-serif"/>
          <w:b/>
          <w:i/>
          <w:sz w:val="19"/>
        </w:rPr>
        <w:t>We will incur increased costs as a result of operating as a public company, and our management will be required to devote substantial time to new compliance initiatives and corporate governance practices.</w:t>
      </w:r>
    </w:p>
    <w:p>
      <w:pPr>
        <w:pStyle w:val="TextBody"/>
        <w:spacing w:before="120" w:after="0"/>
        <w:jc w:val="left"/>
        <w:rPr>
          <w:rFonts w:ascii="Times New Roman" w:hAnsi="Times New Roman"/>
          <w:sz w:val="20"/>
        </w:rPr>
      </w:pPr>
      <w:r>
        <w:rPr>
          <w:rFonts w:ascii="Arial;sans-serif" w:hAnsi="Arial;sans-serif"/>
          <w:b w:val="false"/>
          <w:sz w:val="19"/>
        </w:rPr>
        <w:t>As a public company, and particularly after we are no longer an “emerging growth company,” we incur significant legal, accounting and other expenses that we did not incur as a private company. We are subject to the reporting requirements of the Exchange Act, which will require, among other things, that we file with the SEC annual, quarterly and current reports with respect to our business and financial condition. In addition, the SOX Act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may implement many of these requirements over a longer period and up to five years from the pricing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80</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may lead to additional compliance costs and impact the manner in which we operate our business in ways we cannot currently anticipate.</w:t>
      </w:r>
    </w:p>
    <w:p>
      <w:pPr>
        <w:pStyle w:val="TextBody"/>
        <w:spacing w:before="120" w:after="0"/>
        <w:jc w:val="left"/>
        <w:rPr>
          <w:rFonts w:ascii="Arial;sans-serif" w:hAnsi="Arial;sans-serif"/>
          <w:b w:val="false"/>
          <w:sz w:val="19"/>
        </w:rPr>
      </w:pPr>
      <w:r>
        <w:rPr>
          <w:rFonts w:ascii="Arial;sans-serif" w:hAnsi="Arial;sans-serif"/>
          <w:b w:val="false"/>
          <w:sz w:val="19"/>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maintain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spacing w:before="120" w:after="0"/>
        <w:jc w:val="left"/>
        <w:rPr>
          <w:rFonts w:ascii="Arial;sans-serif" w:hAnsi="Arial;sans-serif"/>
          <w:b w:val="false"/>
          <w:sz w:val="19"/>
        </w:rPr>
      </w:pPr>
      <w:r>
        <w:rPr>
          <w:rFonts w:ascii="Arial;sans-serif" w:hAnsi="Arial;sans-serif"/>
          <w:b w:val="false"/>
          <w:sz w:val="19"/>
        </w:rPr>
        <w:t>Pursuant to Section 404,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pStyle w:val="TextBody"/>
        <w:spacing w:before="120" w:after="0"/>
        <w:jc w:val="left"/>
        <w:rPr>
          <w:rFonts w:ascii="Arial;sans-serif" w:hAnsi="Arial;sans-serif"/>
          <w:b/>
          <w:i/>
          <w:sz w:val="19"/>
        </w:rPr>
      </w:pPr>
      <w:r>
        <w:rPr>
          <w:rFonts w:ascii="Arial;sans-serif" w:hAnsi="Arial;sans-serif"/>
          <w:b/>
          <w:i/>
          <w:sz w:val="19"/>
        </w:rPr>
        <w:t>Sales of a substantial number of shares of our common stock by our existing stockholders in the public market could cause our stock price to fall.</w:t>
      </w:r>
    </w:p>
    <w:p>
      <w:pPr>
        <w:pStyle w:val="TextBody"/>
        <w:spacing w:before="120" w:after="0"/>
        <w:jc w:val="left"/>
        <w:rPr>
          <w:rFonts w:ascii="Arial;sans-serif" w:hAnsi="Arial;sans-serif"/>
          <w:b w:val="false"/>
          <w:sz w:val="19"/>
        </w:rPr>
      </w:pPr>
      <w:r>
        <w:rPr>
          <w:rFonts w:ascii="Arial;sans-serif" w:hAnsi="Arial;sans-serif"/>
          <w:b w:val="false"/>
          <w:sz w:val="19"/>
        </w:rPr>
        <w:t>If our existing stockholders sell, or indicate an intention to sell, substantial amounts of our common stock in the public market, the trading price of our common stock could decline. As of May 3, 2023, we have a total of 28,919,810 shares of common stock outstanding.</w:t>
      </w:r>
    </w:p>
    <w:p>
      <w:pPr>
        <w:pStyle w:val="TextBody"/>
        <w:spacing w:before="120" w:after="0"/>
        <w:jc w:val="left"/>
        <w:rPr>
          <w:rFonts w:ascii="Arial;sans-serif" w:hAnsi="Arial;sans-serif"/>
          <w:b w:val="false"/>
          <w:sz w:val="19"/>
        </w:rPr>
      </w:pPr>
      <w:r>
        <w:rPr>
          <w:rFonts w:ascii="Arial;sans-serif" w:hAnsi="Arial;sans-serif"/>
          <w:b w:val="false"/>
          <w:sz w:val="19"/>
        </w:rPr>
        <w:t>In addition, shares of common stock that are reserved for future issuance under our 2021 Plan and our 2021 Employee Stock Purchase Plan will become eligible for sale in the public market to the extent permitted by the provisions of various vesting schedules, Rule 144 and Rule 701 under the Securities Act. If these additional shares of common stock are sold, or if it is perceived that they will be sold, in the public market, the trading price of our common stock could decline.</w:t>
      </w:r>
    </w:p>
    <w:p>
      <w:pPr>
        <w:pStyle w:val="TextBody"/>
        <w:spacing w:before="120" w:after="0"/>
        <w:jc w:val="left"/>
        <w:rPr>
          <w:rFonts w:ascii="Arial;sans-serif" w:hAnsi="Arial;sans-serif"/>
          <w:b w:val="false"/>
          <w:sz w:val="19"/>
        </w:rPr>
      </w:pPr>
      <w:r>
        <w:rPr>
          <w:rFonts w:ascii="Arial;sans-serif" w:hAnsi="Arial;sans-serif"/>
          <w:b w:val="false"/>
          <w:sz w:val="19"/>
        </w:rPr>
        <w:t>The holders of 8,884,661 shares of our common stock are entitled to rights with respect to the registration of their shares under the Securities Act. Registration of these shares under the Securities Act would result in such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pStyle w:val="TextBody"/>
        <w:spacing w:before="120" w:after="0"/>
        <w:jc w:val="left"/>
        <w:rPr>
          <w:rFonts w:ascii="Arial;sans-serif" w:hAnsi="Arial;sans-serif"/>
          <w:b/>
          <w:i/>
          <w:sz w:val="19"/>
        </w:rPr>
      </w:pPr>
      <w:r>
        <w:rPr>
          <w:rFonts w:ascii="Arial;sans-serif" w:hAnsi="Arial;sans-serif"/>
          <w:b/>
          <w:i/>
          <w:sz w:val="19"/>
        </w:rPr>
        <w:t>Because we do not anticipate paying any cash dividends on our capital stock in the foreseeable future, capital appreciation, if any, will be your sole source of gain.</w:t>
      </w:r>
    </w:p>
    <w:p>
      <w:pPr>
        <w:pStyle w:val="TextBody"/>
        <w:spacing w:before="120" w:after="0"/>
        <w:jc w:val="left"/>
        <w:rPr>
          <w:rFonts w:ascii="Arial;sans-serif" w:hAnsi="Arial;sans-serif"/>
          <w:b w:val="false"/>
          <w:sz w:val="19"/>
        </w:rPr>
      </w:pPr>
      <w:r>
        <w:rPr>
          <w:rFonts w:ascii="Arial;sans-serif" w:hAnsi="Arial;sans-serif"/>
          <w:b w:val="false"/>
          <w:sz w:val="19"/>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pStyle w:val="TextBody"/>
        <w:spacing w:before="120" w:after="0"/>
        <w:jc w:val="left"/>
        <w:rPr>
          <w:rFonts w:ascii="Arial;sans-serif" w:hAnsi="Arial;sans-serif"/>
          <w:b/>
          <w:i/>
          <w:sz w:val="19"/>
        </w:rPr>
      </w:pPr>
      <w:r>
        <w:rPr>
          <w:rFonts w:ascii="Arial;sans-serif" w:hAnsi="Arial;sans-serif"/>
          <w:b/>
          <w:i/>
          <w:sz w:val="19"/>
        </w:rPr>
        <w:t>Our executive officers, directors, principal stockholders and their affiliates exercise significant influence over our company, which will limit your ability to influence corporate matters and could delay or prevent a change in corporate control.</w:t>
      </w:r>
    </w:p>
    <w:p>
      <w:pPr>
        <w:pStyle w:val="TextBody"/>
        <w:spacing w:before="120" w:after="0"/>
        <w:jc w:val="left"/>
        <w:rPr>
          <w:rFonts w:ascii="Times New Roman" w:hAnsi="Times New Roman"/>
          <w:sz w:val="20"/>
        </w:rPr>
      </w:pPr>
      <w:r>
        <w:rPr>
          <w:rFonts w:ascii="Arial;sans-serif" w:hAnsi="Arial;sans-serif"/>
          <w:b w:val="false"/>
          <w:sz w:val="19"/>
        </w:rPr>
        <w:t>The existing holdings of our executive officers, directors, principal stockholders and their affiliates represent beneficial ownership, in the aggregate, of approximately 59.2% of our outstanding common stock with Estuardo Aguilar-Cordova and Laura Aguilar (together, both directly and indirectly) beneficially owning approximately 21.5% of our outstanding common stock, and with entities and persons affiliated with PBM Capital Group, LLC (PBM Capital), beneficially owning approximately 29.4% of our outstanding common stock. In addition, Diem Nguyen, who is a member of our Board of Directors, is currently Chief Executive Officer of Xalud Therapeutics, Inc., which is majority-owned by PBM Capital. As a result, these stockholders, if they act together, will be able to influence our management and affairs and the outcome of matters submitted to our stockholders for approval, including the election of directors and any merger, consolidation or sale of all or substantially all of our assets. The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81</w:t>
      </w:r>
    </w:p>
    <w:p>
      <w:pPr>
        <w:pStyle w:val="HorizontalLine"/>
        <w:rPr/>
      </w:pPr>
      <w:r>
        <w:rPr/>
      </w:r>
    </w:p>
    <w:p>
      <w:pPr>
        <w:pStyle w:val="TextBody"/>
        <w:spacing w:before="120" w:after="0"/>
        <w:jc w:val="left"/>
        <w:rPr>
          <w:rFonts w:ascii="Arial;sans-serif" w:hAnsi="Arial;sans-serif"/>
          <w:b w:val="false"/>
          <w:sz w:val="19"/>
        </w:rPr>
      </w:pPr>
      <w:r>
        <w:rPr>
          <w:rFonts w:ascii="Arial;sans-serif" w:hAnsi="Arial;sans-serif"/>
          <w:b w:val="false"/>
          <w:sz w:val="19"/>
        </w:rPr>
        <w:t>concentration of voting power among these stockholders may have an adverse effect on the price of our common stock. In addition, this concentration of ownership might adversely affect the market price of our common stock by</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 xml:space="preserve">delaying, deferring or preventing a change of control of us; </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 xml:space="preserve">impeding a merger, consolidation, takeover or other business combination involving us; or </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 xml:space="preserve">discouraging a potential acquirer from making a tender offer or otherwise attempting to obtain control of us. </w:t>
      </w:r>
    </w:p>
    <w:p>
      <w:pPr>
        <w:pStyle w:val="TextBody"/>
        <w:spacing w:before="120" w:after="0"/>
        <w:jc w:val="left"/>
        <w:rPr>
          <w:rFonts w:ascii="Arial;sans-serif" w:hAnsi="Arial;sans-serif"/>
          <w:b/>
          <w:i/>
          <w:sz w:val="19"/>
        </w:rPr>
      </w:pPr>
      <w:r>
        <w:rPr>
          <w:rFonts w:ascii="Arial;sans-serif" w:hAnsi="Arial;sans-serif"/>
          <w:b/>
          <w:i/>
          <w:sz w:val="19"/>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spacing w:before="120" w:after="0"/>
        <w:jc w:val="left"/>
        <w:rPr>
          <w:rFonts w:ascii="Arial;sans-serif" w:hAnsi="Arial;sans-serif"/>
          <w:b w:val="false"/>
          <w:sz w:val="19"/>
        </w:rPr>
      </w:pPr>
      <w:r>
        <w:rPr>
          <w:rFonts w:ascii="Arial;sans-serif" w:hAnsi="Arial;sans-serif"/>
          <w:b w:val="false"/>
          <w:sz w:val="19"/>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 board of directors divided into three classes serving staggered three-year terms, such that not all members of the board will be elected at one time;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 prohibition on stockholder action through written consent, which requires that all stockholder actions be taken at a meeting of our stockholders;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 requirement that special meetings of stockholders be called only by the board of directors acting pursuant to a resolution approved by the affirmative vote of a majority of the directors then in office;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advance notice requirements for stockholder proposals and nominations for election to our board of directors;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a requirement of approval of not less than two-thirds of all outstanding shares of our voting stock to amend any bylaws by stockholder action or to amend specific provisions of our certificate of incorporation; and</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spacing w:before="120" w:after="0"/>
        <w:jc w:val="left"/>
        <w:rPr>
          <w:rFonts w:ascii="Arial;sans-serif" w:hAnsi="Arial;sans-serif"/>
          <w:b w:val="false"/>
          <w:sz w:val="19"/>
        </w:rPr>
      </w:pPr>
      <w:r>
        <w:rPr>
          <w:rFonts w:ascii="Arial;sans-serif" w:hAnsi="Arial;sans-serif"/>
          <w:b w:val="false"/>
          <w:sz w:val="19"/>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pStyle w:val="TextBody"/>
        <w:spacing w:before="120" w:after="0"/>
        <w:jc w:val="left"/>
        <w:rPr>
          <w:rFonts w:ascii="Arial;sans-serif" w:hAnsi="Arial;sans-serif"/>
          <w:b/>
          <w:i/>
          <w:sz w:val="19"/>
        </w:rPr>
      </w:pPr>
      <w:r>
        <w:rPr>
          <w:rFonts w:ascii="Arial;sans-serif" w:hAnsi="Arial;sans-serif"/>
          <w:b/>
          <w:i/>
          <w:sz w:val="19"/>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spacing w:before="120" w:after="0"/>
        <w:jc w:val="left"/>
        <w:rPr>
          <w:rFonts w:ascii="Times New Roman" w:hAnsi="Times New Roman"/>
          <w:sz w:val="20"/>
        </w:rPr>
      </w:pPr>
      <w:r>
        <w:rPr>
          <w:rFonts w:ascii="Arial;sans-serif" w:hAnsi="Arial;sans-serif"/>
          <w:b w:val="false"/>
          <w:sz w:val="19"/>
        </w:rPr>
        <w:t>Our bylaws provide that, unless we consent in writing to an alternative forum, the Court of Chancery of the State of Delaware will be the sole and exclusive forum for any state law claim for (i) any derivative action or proceeding brought on our behalf, (ii) any action asserting a claim of breach of fiduciary duty owed by any of our directors, officers, and employees to us or our stockholders, (iii) any action asserting a claim arising pursuant to any provision of the Delaware General Corporation Law, our amended and restated certificate of incorporation or our amended and restated bylaws or (iv) any action asserting a claim that is governed by the internal affairs doctrine, in each case subject to the Court of Chancery having personal jurisdiction over the indispensable parties named as defendants therein, or the Delaware Forum Provision. The Delaware Forum Provision does not apply to any causes of action arising under the Securities Act or the Exchange Act. Our amended and restated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as our principal office is located in Needham, Massachusetts. In addition, our amended and restated bylaws provide that any person or entity purchasing or otherwise acquiring any interest in shares of our common stock is deemed to have notice of and consented to the foregoing provisions; provided, however, that stockholders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82</w:t>
      </w:r>
    </w:p>
    <w:p>
      <w:pPr>
        <w:pStyle w:val="HorizontalLine"/>
        <w:rPr/>
      </w:pPr>
      <w:r>
        <w:rPr/>
      </w:r>
    </w:p>
    <w:p>
      <w:pPr>
        <w:pStyle w:val="TextBody"/>
        <w:spacing w:before="120" w:after="0"/>
        <w:jc w:val="left"/>
        <w:rPr>
          <w:rFonts w:ascii="Times New Roman" w:hAnsi="Times New Roman"/>
          <w:sz w:val="20"/>
        </w:rPr>
      </w:pPr>
      <w:r>
        <w:rPr>
          <w:rFonts w:ascii="Arial;sans-serif" w:hAnsi="Arial;sans-serif"/>
          <w:b w:val="false"/>
          <w:sz w:val="19"/>
        </w:rPr>
        <w:t>cannot and will not be deemed to have waived our compliance with the federal securities laws and the rules and regulations thereunder.</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The Delaware Forum Provision and the Federal Forum Provision in our amended and restated bylaws may impose additional litigation costs on stockholders in pursuing any such claims, particularly if the stockholders do not reside in or near the State of Delaware or the Commonwealth of Massachusetts. Additionally, the forum selection clauses in our amended and restated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spacing w:before="120" w:after="0"/>
        <w:jc w:val="left"/>
        <w:rPr>
          <w:rFonts w:ascii="Arial;sans-serif" w:hAnsi="Arial;sans-serif"/>
          <w:b/>
          <w:i/>
          <w:sz w:val="19"/>
        </w:rPr>
      </w:pPr>
      <w:r>
        <w:rPr>
          <w:rFonts w:ascii="Arial;sans-serif" w:hAnsi="Arial;sans-serif"/>
          <w:b/>
          <w:i/>
          <w:sz w:val="19"/>
        </w:rPr>
        <w:t>If securities analysts do not publish research or reports about our business or if they publish negative evaluations of our stock, the price of our stock could decline.</w:t>
      </w:r>
    </w:p>
    <w:p>
      <w:pPr>
        <w:pStyle w:val="TextBody"/>
        <w:spacing w:before="120" w:after="0"/>
        <w:jc w:val="left"/>
        <w:rPr>
          <w:rFonts w:ascii="Arial;sans-serif" w:hAnsi="Arial;sans-serif"/>
          <w:b w:val="false"/>
          <w:sz w:val="19"/>
        </w:rPr>
      </w:pPr>
      <w:r>
        <w:rPr>
          <w:rFonts w:ascii="Arial;sans-serif" w:hAnsi="Arial;sans-serif"/>
          <w:b w:val="false"/>
          <w:sz w:val="19"/>
        </w:rPr>
        <w:t>The trading market for our common stock relies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pStyle w:val="TextBody"/>
        <w:spacing w:before="120" w:after="0"/>
        <w:jc w:val="left"/>
        <w:rPr>
          <w:rFonts w:ascii="Arial;sans-serif" w:hAnsi="Arial;sans-serif"/>
          <w:b/>
          <w:i/>
          <w:sz w:val="19"/>
        </w:rPr>
      </w:pPr>
      <w:r>
        <w:rPr>
          <w:rFonts w:ascii="Arial;sans-serif" w:hAnsi="Arial;sans-serif"/>
          <w:b/>
          <w:i/>
          <w:sz w:val="19"/>
        </w:rPr>
        <w:t>We may be subject to securities litigation, which is expensive and could divert management's attention.</w:t>
      </w:r>
    </w:p>
    <w:p>
      <w:pPr>
        <w:pStyle w:val="TextBody"/>
        <w:spacing w:before="120" w:after="0"/>
        <w:jc w:val="left"/>
        <w:rPr>
          <w:rFonts w:ascii="Arial;sans-serif" w:hAnsi="Arial;sans-serif"/>
          <w:b w:val="false"/>
          <w:sz w:val="19"/>
        </w:rPr>
      </w:pPr>
      <w:r>
        <w:rPr>
          <w:rFonts w:ascii="Arial;sans-serif" w:hAnsi="Arial;sans-serif"/>
          <w:b w:val="false"/>
          <w:sz w:val="19"/>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spacing w:before="120" w:after="0"/>
        <w:jc w:val="left"/>
        <w:rPr>
          <w:rFonts w:ascii="Times New Roman" w:hAnsi="Times New Roman"/>
          <w:sz w:val="20"/>
        </w:rPr>
      </w:pPr>
      <w:r>
        <w:rPr>
          <w:rFonts w:ascii="Arial;sans-serif" w:hAnsi="Arial;sans-serif"/>
          <w:b/>
          <w:i/>
          <w:sz w:val="19"/>
        </w:rPr>
        <w:t>The number of shares of our common stock outstanding may increase substantially as a result of our November 2018 issuance of warrants to purchase up to an aggregate of 7,344,968 shares of common stock.</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Arial;sans-serif" w:hAnsi="Arial;sans-serif"/>
          <w:b w:val="false"/>
          <w:sz w:val="20"/>
        </w:rPr>
        <w:t xml:space="preserve">In </w:t>
      </w:r>
      <w:r>
        <w:rPr>
          <w:rFonts w:ascii="Arial;sans-serif" w:hAnsi="Arial;sans-serif"/>
          <w:b w:val="false"/>
          <w:sz w:val="19"/>
        </w:rPr>
        <w:t>connection with the November 13, 2018 issuance of Series B convertible preferred stock (the Series B Preferred), we issued to the purchaser of the Series B Preferred, warrants to purchase 3,672,484 shares of common stock for $6.81 per share (the Series B Warrants) which were and remain fully exercisable upon issuance. The Series B Warrants contain provisions allowing cashless exercise.</w:t>
      </w:r>
      <w:r>
        <w:rPr>
          <w:rFonts w:ascii="Times New Roman" w:hAnsi="Times New Roman"/>
          <w:sz w:val="20"/>
        </w:rPr>
        <w:t xml:space="preserve"> </w:t>
      </w:r>
    </w:p>
    <w:p>
      <w:pPr>
        <w:pStyle w:val="TextBody"/>
        <w:spacing w:before="120" w:after="0"/>
        <w:jc w:val="left"/>
        <w:rPr>
          <w:rFonts w:ascii="Arial;sans-serif" w:hAnsi="Arial;sans-serif"/>
          <w:b w:val="false"/>
          <w:sz w:val="19"/>
        </w:rPr>
      </w:pPr>
      <w:r>
        <w:rPr>
          <w:rFonts w:ascii="Arial;sans-serif" w:hAnsi="Arial;sans-serif"/>
          <w:b w:val="false"/>
          <w:sz w:val="19"/>
        </w:rPr>
        <w:t>In addition, we issued to the same stockholder additional five-year warrants for the purchase of 3,672,484 shares of common stock for $6.81 per share (the Conditional Series B Warrants), which become exercisable in the event that we complete a future financing that meets certain financial milestones or achieves certain share prices as follows:</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918,121 shares vest upon (1) a financing event effected through the sale of our equity securities to third parties resulting in at least $20,000,000 in gross proceeds with a per share price of $12.47, or (2) an average market price (determined over a consecutive 10-day period) of $12.47 per share;</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 xml:space="preserve">an additional 918,121 shares vest upon (1) a financing event with a price per share of $13.20, or (2) an average market price (determined over a consecutive 10-day period) of, $13.20 per share; </w:t>
      </w:r>
    </w:p>
    <w:p>
      <w:pPr>
        <w:pStyle w:val="TextBody"/>
        <w:spacing w:before="120" w:after="0"/>
        <w:jc w:val="left"/>
        <w:rPr/>
      </w:pPr>
      <w:r>
        <w:rPr/>
        <w:t>•</w:t>
      </w:r>
    </w:p>
    <w:p>
      <w:pPr>
        <w:pStyle w:val="TextBody"/>
        <w:spacing w:before="120" w:after="0"/>
        <w:jc w:val="left"/>
        <w:rPr>
          <w:rFonts w:ascii="Arial;sans-serif" w:hAnsi="Arial;sans-serif"/>
          <w:b w:val="false"/>
          <w:sz w:val="19"/>
        </w:rPr>
      </w:pPr>
      <w:r>
        <w:rPr>
          <w:rFonts w:ascii="Arial;sans-serif" w:hAnsi="Arial;sans-serif"/>
          <w:b w:val="false"/>
          <w:sz w:val="19"/>
        </w:rPr>
        <w:t xml:space="preserve">an additional 918,121 shares vest upon (1) a financing event with a per share price of $13.94, or (2) an average market price (determined over a consecutive 10-day period) of, $13.94 per share; and </w:t>
      </w:r>
    </w:p>
    <w:p>
      <w:pPr>
        <w:pStyle w:val="TextBody"/>
        <w:spacing w:before="120" w:after="0"/>
        <w:jc w:val="left"/>
        <w:rPr/>
      </w:pPr>
      <w:r>
        <w:rPr/>
        <w:t>•</w:t>
      </w:r>
    </w:p>
    <w:p>
      <w:pPr>
        <w:pStyle w:val="TextBody"/>
        <w:spacing w:before="120" w:after="283"/>
        <w:jc w:val="left"/>
        <w:rPr>
          <w:rFonts w:ascii="Arial;sans-serif" w:hAnsi="Arial;sans-serif"/>
          <w:b w:val="false"/>
          <w:sz w:val="19"/>
        </w:rPr>
      </w:pPr>
      <w:r>
        <w:rPr>
          <w:rFonts w:ascii="Arial;sans-serif" w:hAnsi="Arial;sans-serif"/>
          <w:b w:val="false"/>
          <w:sz w:val="19"/>
        </w:rPr>
        <w:t xml:space="preserve">an additional 918,121 shares vest upon (1) a financing event with a per share price of $14.68, or (2) an average market price (determined over a consecutive 10-day period) of, $14.68 per share. </w:t>
      </w:r>
    </w:p>
    <w:p>
      <w:pPr>
        <w:pStyle w:val="TextBody"/>
        <w:spacing w:before="120" w:after="0"/>
        <w:jc w:val="left"/>
        <w:rPr>
          <w:rFonts w:ascii="Times New Roman" w:hAnsi="Times New Roman"/>
          <w:sz w:val="20"/>
        </w:rPr>
      </w:pPr>
      <w:r>
        <w:rPr>
          <w:rFonts w:ascii="Arial;sans-serif" w:hAnsi="Arial;sans-serif"/>
          <w:b w:val="false"/>
          <w:sz w:val="19"/>
        </w:rPr>
        <w:t>On June 24, 2021, our board of directors approved, and on July 14, 2021, our stockholders approved, effective upon the closing of the IPO, an amendment to the terms of the Series B Warrants and the Conditional Series B Warrants to extend the expiration date from November 2023 to November 2025. In addition, the exercise period for the Conditional Series B Warrants was amended such that in the event the future financing milestones or certain share price targets described above are achieved, the</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83</w:t>
      </w:r>
    </w:p>
    <w:p>
      <w:pPr>
        <w:pStyle w:val="HorizontalLine"/>
        <w:rPr/>
      </w:pPr>
      <w:r>
        <w:rPr/>
      </w:r>
    </w:p>
    <w:p>
      <w:pPr>
        <w:pStyle w:val="TextBody"/>
        <w:spacing w:before="120" w:after="0"/>
        <w:jc w:val="left"/>
        <w:rPr>
          <w:rFonts w:ascii="Times New Roman" w:hAnsi="Times New Roman"/>
          <w:sz w:val="20"/>
        </w:rPr>
      </w:pPr>
      <w:r>
        <w:rPr>
          <w:rFonts w:ascii="Arial;sans-serif" w:hAnsi="Arial;sans-serif"/>
          <w:b w:val="false"/>
          <w:sz w:val="19"/>
        </w:rPr>
        <w:t xml:space="preserve">Conditional Series B Warrants can only be exercised in conjunction with the sale of the company, on a cash or cashless exercise basis, or otherwise in November 2025 through a cashless </w:t>
      </w:r>
      <w:r>
        <w:rPr>
          <w:rFonts w:ascii="Arial;sans-serif" w:hAnsi="Arial;sans-serif"/>
          <w:b w:val="false"/>
          <w:sz w:val="20"/>
        </w:rPr>
        <w:t>exercise.</w:t>
      </w:r>
    </w:p>
    <w:p>
      <w:pPr>
        <w:pStyle w:val="TextBody"/>
        <w:spacing w:before="120" w:after="0"/>
        <w:jc w:val="left"/>
        <w:rPr>
          <w:rFonts w:ascii="Arial;sans-serif" w:hAnsi="Arial;sans-serif"/>
          <w:b w:val="false"/>
          <w:sz w:val="19"/>
        </w:rPr>
      </w:pPr>
      <w:r>
        <w:rPr>
          <w:rFonts w:ascii="Arial;sans-serif" w:hAnsi="Arial;sans-serif"/>
          <w:b w:val="false"/>
          <w:sz w:val="19"/>
        </w:rPr>
        <w:t>We recorded the Series B Warrants as a component of stockholder’s equity at the time of issuance at their estimated fair value of $2.1 million and recorded the Conditional Series B Warrants as a liability on the condensed consolidated balance sheet because the number of shares used to calculate the settlement is not a fixed number of shares. The Conditional Series B Warrants are remeasured to their fair value at each reporting date with changes in the fair value recognized as a component of other income (expense), net in the condensed consolidated statements of operations. We will continue to recognize changes in the fair value of the Conditional Series B Warrants until each Conditional Series B Warrant is exercised, expires or qualifies for equity classification.</w:t>
      </w:r>
    </w:p>
    <w:p>
      <w:pPr>
        <w:pStyle w:val="TextBody"/>
        <w:spacing w:before="120" w:after="0"/>
        <w:jc w:val="left"/>
        <w:rPr>
          <w:rFonts w:ascii="Times New Roman" w:hAnsi="Times New Roman"/>
          <w:sz w:val="20"/>
        </w:rPr>
      </w:pPr>
      <w:r>
        <w:rPr>
          <w:rFonts w:ascii="Arial;sans-serif" w:hAnsi="Arial;sans-serif"/>
          <w:b w:val="false"/>
          <w:sz w:val="19"/>
        </w:rPr>
        <w:t>The exercise of these warrants in full, assuming vesting in full of the Conditional Series B Warrants and no net exercise, would result in an additional 7,344,968 shares of common stock outstanding, resulting in substantial dilution to stockholders who hold our common stock. In addition, if the holders of these warrants, including PBM Capital, were to exercise such warrants in full, these holders could then have significant influence over the outcome of any stockholder vote, including the election of directors and the approval of mergers or other business combination transactions.</w:t>
      </w:r>
      <w:r>
        <w:rPr>
          <w:rFonts w:ascii="Times New Roman" w:hAnsi="Times New Roman"/>
          <w:sz w:val="20"/>
        </w:rPr>
        <w:t xml:space="preserve"> </w:t>
      </w:r>
    </w:p>
    <w:p>
      <w:pPr>
        <w:pStyle w:val="TextBody"/>
        <w:spacing w:before="240" w:after="0"/>
        <w:jc w:val="center"/>
        <w:rPr>
          <w:rFonts w:ascii="Arial;sans-serif" w:hAnsi="Arial;sans-serif"/>
          <w:b w:val="false"/>
          <w:sz w:val="20"/>
        </w:rPr>
      </w:pPr>
      <w:r>
        <w:rPr>
          <w:rFonts w:ascii="Arial;sans-serif" w:hAnsi="Arial;sans-serif"/>
          <w:b w:val="false"/>
          <w:sz w:val="20"/>
        </w:rPr>
        <w:t>84</w:t>
      </w:r>
    </w:p>
    <w:p>
      <w:pPr>
        <w:pStyle w:val="HorizontalLine"/>
        <w:rPr/>
      </w:pPr>
      <w:r>
        <w:rPr/>
      </w:r>
    </w:p>
    <w:p>
      <w:pPr>
        <w:pStyle w:val="TextBody"/>
        <w:spacing w:before="0" w:after="0"/>
        <w:jc w:val="left"/>
        <w:rPr>
          <w:rFonts w:ascii="Arial;sans-serif" w:hAnsi="Arial;sans-serif"/>
          <w:b/>
          <w:sz w:val="20"/>
        </w:rPr>
      </w:pPr>
      <w:bookmarkStart w:id="15" w:name="item_2_unregistered_sales_equity_securit"/>
      <w:bookmarkEnd w:id="15"/>
      <w:r>
        <w:rPr>
          <w:rFonts w:ascii="Arial;sans-serif" w:hAnsi="Arial;sans-serif"/>
          <w:b/>
          <w:sz w:val="20"/>
        </w:rPr>
        <w:t>Item 2. Unregistered Sales of Equity Securities and Use of Proceeds.</w:t>
      </w:r>
    </w:p>
    <w:p>
      <w:pPr>
        <w:pStyle w:val="TextBody"/>
        <w:spacing w:before="160" w:after="0"/>
        <w:jc w:val="left"/>
        <w:rPr>
          <w:rFonts w:ascii="Arial;sans-serif" w:hAnsi="Arial;sans-serif"/>
          <w:b/>
          <w:sz w:val="19"/>
        </w:rPr>
      </w:pPr>
      <w:r>
        <w:rPr>
          <w:rFonts w:ascii="Arial;sans-serif" w:hAnsi="Arial;sans-serif"/>
          <w:b/>
          <w:sz w:val="19"/>
        </w:rPr>
        <w:t>(a) Recent Sales of Unregistered Equity Securities</w:t>
      </w:r>
    </w:p>
    <w:p>
      <w:pPr>
        <w:pStyle w:val="TextBody"/>
        <w:spacing w:before="120" w:after="0"/>
        <w:jc w:val="left"/>
        <w:rPr>
          <w:rFonts w:ascii="Arial;sans-serif" w:hAnsi="Arial;sans-serif"/>
          <w:b w:val="false"/>
          <w:sz w:val="19"/>
        </w:rPr>
      </w:pPr>
      <w:r>
        <w:rPr>
          <w:rFonts w:ascii="Arial;sans-serif" w:hAnsi="Arial;sans-serif"/>
          <w:b w:val="false"/>
          <w:sz w:val="19"/>
        </w:rPr>
        <w:t>None.</w:t>
      </w:r>
    </w:p>
    <w:p>
      <w:pPr>
        <w:pStyle w:val="TextBody"/>
        <w:spacing w:before="160" w:after="0"/>
        <w:jc w:val="left"/>
        <w:rPr>
          <w:rFonts w:ascii="Arial;sans-serif" w:hAnsi="Arial;sans-serif"/>
          <w:b/>
          <w:sz w:val="19"/>
        </w:rPr>
      </w:pPr>
      <w:r>
        <w:rPr>
          <w:rFonts w:ascii="Arial;sans-serif" w:hAnsi="Arial;sans-serif"/>
          <w:b/>
          <w:sz w:val="19"/>
        </w:rPr>
        <w:t>(b) Use of Proceeds from the Initial Public Offering of Common Stock</w:t>
      </w:r>
    </w:p>
    <w:p>
      <w:pPr>
        <w:pStyle w:val="TextBody"/>
        <w:spacing w:before="120" w:after="0"/>
        <w:jc w:val="left"/>
        <w:rPr>
          <w:rFonts w:ascii="Arial;sans-serif" w:hAnsi="Arial;sans-serif"/>
          <w:b w:val="false"/>
          <w:sz w:val="19"/>
        </w:rPr>
      </w:pPr>
      <w:r>
        <w:rPr>
          <w:rFonts w:ascii="Arial;sans-serif" w:hAnsi="Arial;sans-serif"/>
          <w:b w:val="false"/>
          <w:sz w:val="19"/>
        </w:rPr>
        <w:t>On July 29, 2021, we issued and sold 9,000,000 shares of our common stock in the IPO, at a public offering price of $8.00 per share, and on August 13, 2021, we issued and sold an additional 887,994 shares of our common stock pursuant to the exercise in part by the underwriters of their option to purchase additional shares at the same public offering price.</w:t>
      </w:r>
    </w:p>
    <w:p>
      <w:pPr>
        <w:pStyle w:val="TextBody"/>
        <w:spacing w:before="120" w:after="0"/>
        <w:jc w:val="left"/>
        <w:rPr>
          <w:rFonts w:ascii="Arial;sans-serif" w:hAnsi="Arial;sans-serif"/>
          <w:b w:val="false"/>
          <w:sz w:val="19"/>
        </w:rPr>
      </w:pPr>
      <w:r>
        <w:rPr>
          <w:rFonts w:ascii="Arial;sans-serif" w:hAnsi="Arial;sans-serif"/>
          <w:b w:val="false"/>
          <w:sz w:val="19"/>
        </w:rPr>
        <w:t>The offer and sale of all the shares in the IPO, inclusive of the underwriters’ exercise in part of their option to purchase additional shares, were registered under the Securities Act pursuant to a registration statement on Form S-1 (Reg. No. 333-257444), as amended, which was declared effective by the SEC on July 26, 2021. Jefferies LLC, Credit Suisse Securities (USA) LLC, BMO Capital Markets Corp. and UBS Securities LLC acted as joint book-running managers for the offering. Upon completion of the IPO, inclusive of the underwriters’ exercise in part of their option to purchase additional shares, we received approximately $71.3 million in net proceeds, after deducting underwriting discounts and commissions and other offering expenses payable by us of approximately $7.8 million. No payments for any expenses were made directly or indirectly to (i) any of our officers or directors or their associates, (ii) any persons owning 10% or more of any class of our equity securities or (iii) any of our affiliates.</w:t>
      </w:r>
    </w:p>
    <w:p>
      <w:pPr>
        <w:pStyle w:val="TextBody"/>
        <w:spacing w:before="120" w:after="0"/>
        <w:jc w:val="left"/>
        <w:rPr>
          <w:rFonts w:ascii="Arial;sans-serif" w:hAnsi="Arial;sans-serif"/>
          <w:b w:val="false"/>
          <w:sz w:val="19"/>
        </w:rPr>
      </w:pPr>
      <w:r>
        <w:rPr>
          <w:rFonts w:ascii="Arial;sans-serif" w:hAnsi="Arial;sans-serif"/>
          <w:b w:val="false"/>
          <w:sz w:val="19"/>
        </w:rPr>
        <w:t>There has been no material change in the expected use of the net proceeds from our IPO as described in our final prospectus, dated July 26, 2021, filed with the SEC pursuant to Rule 424(b) relating to our registration statement on Form S-1 on July 28, 2021.</w:t>
      </w:r>
    </w:p>
    <w:p>
      <w:pPr>
        <w:pStyle w:val="TextBody"/>
        <w:spacing w:before="160" w:after="0"/>
        <w:jc w:val="left"/>
        <w:rPr>
          <w:rFonts w:ascii="Arial;sans-serif" w:hAnsi="Arial;sans-serif"/>
          <w:b/>
          <w:sz w:val="19"/>
        </w:rPr>
      </w:pPr>
      <w:r>
        <w:rPr>
          <w:rFonts w:ascii="Arial;sans-serif" w:hAnsi="Arial;sans-serif"/>
          <w:b/>
          <w:sz w:val="19"/>
        </w:rPr>
        <w:t>(c) Issuer Purchases of Equity Securities</w:t>
      </w:r>
    </w:p>
    <w:p>
      <w:pPr>
        <w:pStyle w:val="TextBody"/>
        <w:spacing w:before="120" w:after="0"/>
        <w:jc w:val="left"/>
        <w:rPr>
          <w:rFonts w:ascii="Arial;sans-serif" w:hAnsi="Arial;sans-serif"/>
          <w:b w:val="false"/>
          <w:sz w:val="19"/>
        </w:rPr>
      </w:pPr>
      <w:r>
        <w:rPr>
          <w:rFonts w:ascii="Arial;sans-serif" w:hAnsi="Arial;sans-serif"/>
          <w:b w:val="false"/>
          <w:sz w:val="19"/>
        </w:rPr>
        <w:t>None.</w:t>
      </w:r>
    </w:p>
    <w:p>
      <w:pPr>
        <w:pStyle w:val="TextBody"/>
        <w:spacing w:before="160" w:after="0"/>
        <w:jc w:val="left"/>
        <w:rPr>
          <w:rFonts w:ascii="Arial;sans-serif" w:hAnsi="Arial;sans-serif"/>
          <w:b/>
          <w:sz w:val="20"/>
        </w:rPr>
      </w:pPr>
      <w:bookmarkStart w:id="16" w:name="item_3_defaults_upon_senior_securitiesno"/>
      <w:bookmarkEnd w:id="16"/>
      <w:r>
        <w:rPr>
          <w:rFonts w:ascii="Arial;sans-serif" w:hAnsi="Arial;sans-serif"/>
          <w:b/>
          <w:sz w:val="20"/>
        </w:rPr>
        <w:t>Item 3. Defaults Upon Senior Securities.</w:t>
      </w:r>
    </w:p>
    <w:p>
      <w:pPr>
        <w:pStyle w:val="TextBody"/>
        <w:spacing w:before="120" w:after="0"/>
        <w:jc w:val="left"/>
        <w:rPr>
          <w:rFonts w:ascii="Arial;sans-serif" w:hAnsi="Arial;sans-serif"/>
          <w:b w:val="false"/>
          <w:sz w:val="19"/>
        </w:rPr>
      </w:pPr>
      <w:r>
        <w:rPr>
          <w:rFonts w:ascii="Arial;sans-serif" w:hAnsi="Arial;sans-serif"/>
          <w:b w:val="false"/>
          <w:sz w:val="19"/>
        </w:rPr>
        <w:t>None.</w:t>
      </w:r>
    </w:p>
    <w:p>
      <w:pPr>
        <w:pStyle w:val="TextBody"/>
        <w:spacing w:before="240" w:after="0"/>
        <w:jc w:val="left"/>
        <w:rPr>
          <w:rFonts w:ascii="Arial;sans-serif" w:hAnsi="Arial;sans-serif"/>
          <w:b/>
          <w:sz w:val="20"/>
        </w:rPr>
      </w:pPr>
      <w:bookmarkStart w:id="17" w:name="item_4_mine_safety_disclosures"/>
      <w:bookmarkEnd w:id="17"/>
      <w:r>
        <w:rPr>
          <w:rFonts w:ascii="Arial;sans-serif" w:hAnsi="Arial;sans-serif"/>
          <w:b/>
          <w:sz w:val="20"/>
        </w:rPr>
        <w:t>Item 4. Mine Safety Disclosures.</w:t>
      </w:r>
    </w:p>
    <w:p>
      <w:pPr>
        <w:pStyle w:val="TextBody"/>
        <w:spacing w:before="80" w:after="0"/>
        <w:jc w:val="left"/>
        <w:rPr>
          <w:rFonts w:ascii="Arial;sans-serif" w:hAnsi="Arial;sans-serif"/>
          <w:b w:val="false"/>
          <w:sz w:val="19"/>
        </w:rPr>
      </w:pPr>
      <w:r>
        <w:rPr>
          <w:rFonts w:ascii="Arial;sans-serif" w:hAnsi="Arial;sans-serif"/>
          <w:b w:val="false"/>
          <w:sz w:val="19"/>
        </w:rPr>
        <w:t>Not Applicable.</w:t>
      </w:r>
    </w:p>
    <w:p>
      <w:pPr>
        <w:pStyle w:val="TextBody"/>
        <w:spacing w:before="160" w:after="0"/>
        <w:jc w:val="left"/>
        <w:rPr>
          <w:rFonts w:ascii="Arial;sans-serif" w:hAnsi="Arial;sans-serif"/>
          <w:b/>
          <w:sz w:val="20"/>
        </w:rPr>
      </w:pPr>
      <w:bookmarkStart w:id="18" w:name="item_5_or_information"/>
      <w:bookmarkEnd w:id="18"/>
      <w:r>
        <w:rPr>
          <w:rFonts w:ascii="Arial;sans-serif" w:hAnsi="Arial;sans-serif"/>
          <w:b/>
          <w:sz w:val="20"/>
        </w:rPr>
        <w:t>Item 5. Other Information.</w:t>
      </w:r>
    </w:p>
    <w:p>
      <w:pPr>
        <w:pStyle w:val="TextBody"/>
        <w:spacing w:before="120" w:after="0"/>
        <w:jc w:val="left"/>
        <w:rPr>
          <w:rFonts w:ascii="Arial;sans-serif" w:hAnsi="Arial;sans-serif"/>
          <w:b w:val="false"/>
          <w:sz w:val="19"/>
        </w:rPr>
      </w:pPr>
      <w:r>
        <w:rPr>
          <w:rFonts w:ascii="Arial;sans-serif" w:hAnsi="Arial;sans-serif"/>
          <w:b w:val="false"/>
          <w:sz w:val="19"/>
        </w:rPr>
        <w:t>None.</w:t>
      </w:r>
    </w:p>
    <w:p>
      <w:pPr>
        <w:pStyle w:val="TextBody"/>
        <w:spacing w:before="240" w:after="0"/>
        <w:jc w:val="center"/>
        <w:rPr>
          <w:rFonts w:ascii="Arial;sans-serif" w:hAnsi="Arial;sans-serif"/>
          <w:b w:val="false"/>
          <w:sz w:val="20"/>
        </w:rPr>
      </w:pPr>
      <w:r>
        <w:rPr>
          <w:rFonts w:ascii="Arial;sans-serif" w:hAnsi="Arial;sans-serif"/>
          <w:b w:val="false"/>
          <w:sz w:val="20"/>
        </w:rPr>
        <w:t>85</w:t>
      </w:r>
    </w:p>
    <w:p>
      <w:pPr>
        <w:pStyle w:val="HorizontalLine"/>
        <w:rPr/>
      </w:pPr>
      <w:r>
        <w:rPr/>
      </w:r>
    </w:p>
    <w:p>
      <w:pPr>
        <w:pStyle w:val="TextBody"/>
        <w:spacing w:before="160" w:after="0"/>
        <w:jc w:val="left"/>
        <w:rPr>
          <w:rFonts w:ascii="Arial;sans-serif" w:hAnsi="Arial;sans-serif"/>
          <w:b/>
          <w:sz w:val="20"/>
        </w:rPr>
      </w:pPr>
      <w:bookmarkStart w:id="19" w:name="item_6_exhibits"/>
      <w:bookmarkEnd w:id="19"/>
      <w:r>
        <w:rPr>
          <w:rFonts w:ascii="Arial;sans-serif" w:hAnsi="Arial;sans-serif"/>
          <w:b/>
          <w:sz w:val="20"/>
        </w:rPr>
        <w:t>Item 6. Exhibits.</w:t>
      </w:r>
    </w:p>
    <w:p>
      <w:pPr>
        <w:pStyle w:val="TextBody"/>
        <w:spacing w:before="80" w:after="0"/>
        <w:jc w:val="left"/>
        <w:rPr/>
      </w:pPr>
      <w:r>
        <w:rPr/>
        <w:t> </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877"/>
        <w:gridCol w:w="146"/>
        <w:gridCol w:w="9516"/>
      </w:tblGrid>
      <w:tr>
        <w:trPr/>
        <w:tc>
          <w:tcPr>
            <w:tcW w:w="8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16" w:type="dxa"/>
            <w:tcBorders/>
            <w:shd w:fill="auto" w:val="clear"/>
            <w:vAlign w:val="center"/>
          </w:tcPr>
          <w:p>
            <w:pPr>
              <w:pStyle w:val="TableContents"/>
              <w:spacing w:before="0" w:after="283"/>
              <w:rPr>
                <w:sz w:val="4"/>
                <w:szCs w:val="4"/>
              </w:rPr>
            </w:pPr>
            <w:r>
              <w:rPr>
                <w:sz w:val="4"/>
                <w:szCs w:val="4"/>
              </w:rPr>
            </w:r>
          </w:p>
        </w:tc>
      </w:tr>
      <w:tr>
        <w:trPr/>
        <w:tc>
          <w:tcPr>
            <w:tcW w:w="877"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Exhibit</w:t>
            </w:r>
          </w:p>
          <w:p>
            <w:pPr>
              <w:pStyle w:val="TableContents"/>
              <w:spacing w:before="0" w:after="0"/>
              <w:ind w:left="0" w:right="0" w:hanging="0"/>
              <w:jc w:val="center"/>
              <w:rPr>
                <w:rFonts w:ascii="Arial;sans-serif" w:hAnsi="Arial;sans-serif"/>
                <w:b/>
                <w:sz w:val="20"/>
              </w:rPr>
            </w:pPr>
            <w:r>
              <w:rPr>
                <w:rFonts w:ascii="Arial;sans-serif" w:hAnsi="Arial;sans-serif"/>
                <w:b/>
                <w:sz w:val="20"/>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51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sz w:val="20"/>
              </w:rPr>
            </w:pPr>
            <w:r>
              <w:rPr>
                <w:rFonts w:ascii="Arial;sans-serif" w:hAnsi="Arial;sans-serif"/>
                <w:b/>
                <w:sz w:val="20"/>
              </w:rPr>
              <w:t>Description</w:t>
            </w:r>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Arial;sans-serif" w:hAnsi="Arial;sans-serif"/>
                <w:b w:val="false"/>
                <w:sz w:val="20"/>
              </w:rPr>
              <w:t>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Arial;sans-serif" w:hAnsi="Arial;sans-serif"/>
                  <w:b w:val="false"/>
                  <w:sz w:val="20"/>
                  <w:u w:val="single"/>
                </w:rPr>
                <w:t>Amended and Restated Certificate of Incorporation of Candel Therapeutics, Inc. (incorporated by reference to Exhibit 3.1 to the Registrant’s Current Report on Form 8-K filed with the SEC on July 30, 2021)</w:t>
              </w:r>
            </w:hyperlink>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Arial;sans-serif" w:hAnsi="Arial;sans-serif"/>
                <w:b w:val="false"/>
                <w:sz w:val="20"/>
              </w:rPr>
              <w:t>3.2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Arial;sans-serif" w:hAnsi="Arial;sans-serif"/>
                  <w:b w:val="false"/>
                  <w:sz w:val="20"/>
                  <w:u w:val="single"/>
                </w:rPr>
                <w:t>Amended and Restated Bylaws of Candel Therapeutics, Inc. (incorporated by reference to Exhibit 3.2 to the Registrant’s Current Report on Form 8-K filed with the SEC on July 30, 2021)</w:t>
              </w:r>
            </w:hyperlink>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Arial;sans-serif" w:hAnsi="Arial;sans-serif"/>
                <w:b w:val="false"/>
                <w:sz w:val="20"/>
              </w:rPr>
              <w:t>4.1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
              <w:r>
                <w:rPr>
                  <w:rStyle w:val="InternetLink"/>
                  <w:rFonts w:ascii="Arial;sans-serif" w:hAnsi="Arial;sans-serif"/>
                  <w:b w:val="false"/>
                  <w:sz w:val="20"/>
                  <w:u w:val="single"/>
                </w:rPr>
                <w:t>Specimen Common Stock Certificate (incorporated by reference to Exhibit 4.1 to the Registrant’s Registration Statement on Form S-1/A (File No. 333- 257444) filed with the SEC on July 16, 2021)</w:t>
              </w:r>
            </w:hyperlink>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Arial;sans-serif" w:hAnsi="Arial;sans-serif"/>
                <w:b w:val="false"/>
                <w:sz w:val="20"/>
              </w:rPr>
              <w:t>31.1*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adl-ex31_1.htm">
              <w:r>
                <w:rPr>
                  <w:rStyle w:val="InternetLink"/>
                  <w:rFonts w:ascii="Arial;sans-serif" w:hAnsi="Arial;sans-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Arial;sans-serif" w:hAnsi="Arial;sans-serif"/>
                <w:b w:val="false"/>
                <w:sz w:val="20"/>
              </w:rPr>
              <w:t>31.2*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adl-ex31_2.htm">
              <w:r>
                <w:rPr>
                  <w:rStyle w:val="InternetLink"/>
                  <w:rFonts w:ascii="Arial;sans-serif" w:hAnsi="Arial;sans-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Arial;sans-serif" w:hAnsi="Arial;sans-serif"/>
                <w:b w:val="false"/>
                <w:sz w:val="20"/>
              </w:rPr>
              <w:t>32.1*+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adl-ex32_1.htm">
              <w:r>
                <w:rPr>
                  <w:rStyle w:val="InternetLink"/>
                  <w:rFonts w:ascii="Arial;sans-serif" w:hAnsi="Arial;sans-serif"/>
                  <w:b w:val="false"/>
                  <w:sz w:val="20"/>
                  <w:u w:val="single"/>
                </w:rPr>
                <w:t>Certification of Principal Executive Officer Pursuant to 18 U.S.C. Section 1350, as Adopted Pursuant to Section 906 of the Sarbanes-Oxley Act of 2002.</w:t>
              </w:r>
            </w:hyperlink>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Arial;sans-serif" w:hAnsi="Arial;sans-serif"/>
                <w:b w:val="false"/>
                <w:sz w:val="20"/>
              </w:rPr>
              <w:t>32.2*+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adl-ex32_2.htm">
              <w:r>
                <w:rPr>
                  <w:rStyle w:val="InternetLink"/>
                  <w:rFonts w:ascii="Arial;sans-serif" w:hAnsi="Arial;sans-serif"/>
                  <w:b w:val="false"/>
                  <w:sz w:val="20"/>
                  <w:u w:val="single"/>
                </w:rPr>
                <w:t>Certification of Principal Financial Officer Pursuant to 18 U.S.C. Section 1350, as Adopted Pursuant to Section 906 of the Sarbanes-Oxley Act of 2002.</w:t>
              </w:r>
            </w:hyperlink>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101.INS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Instance Document – the instance document does not appear in the Interactive Data File because XBRL tags are embedded within the Inline XBRL document.</w:t>
            </w:r>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101.SCH</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Schema Document</w:t>
            </w:r>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101.CAL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Calculation Linkbase Document</w:t>
            </w:r>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101.DEF</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Definition Linkbase Document</w:t>
            </w:r>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101.LAB</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Label Linkbase Document</w:t>
            </w:r>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101.PRE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Inline XBRL Taxonomy Extension Presentation Linkbase Document</w:t>
            </w:r>
          </w:p>
        </w:tc>
      </w:tr>
      <w:tr>
        <w:trPr/>
        <w:tc>
          <w:tcPr>
            <w:tcW w:w="87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5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20"/>
              </w:rPr>
            </w:pPr>
            <w:r>
              <w:rPr>
                <w:rFonts w:ascii="Arial;sans-serif" w:hAnsi="Arial;sans-serif"/>
                <w:b w:val="false"/>
                <w:sz w:val="20"/>
              </w:rPr>
              <w:t>Cover Page Interactive Data File (embedded within the Inline XBRL document)</w:t>
            </w:r>
          </w:p>
        </w:tc>
      </w:tr>
    </w:tbl>
    <w:p>
      <w:pPr>
        <w:pStyle w:val="TextBody"/>
        <w:pBdr>
          <w:bottom w:val="single" w:sz="4" w:space="1" w:color="000000"/>
        </w:pBdr>
        <w:spacing w:before="0" w:after="0"/>
        <w:jc w:val="left"/>
        <w:rPr/>
      </w:pPr>
      <w:r>
        <w:rPr/>
        <w:t> </w:t>
      </w:r>
    </w:p>
    <w:p>
      <w:pPr>
        <w:pStyle w:val="TextBody"/>
        <w:spacing w:before="40" w:after="0"/>
        <w:jc w:val="left"/>
        <w:rPr>
          <w:rFonts w:ascii="Arial;sans-serif" w:hAnsi="Arial;sans-serif"/>
          <w:b w:val="false"/>
          <w:sz w:val="19"/>
        </w:rPr>
      </w:pPr>
      <w:r>
        <w:rPr>
          <w:rFonts w:ascii="Arial;sans-serif" w:hAnsi="Arial;sans-serif"/>
          <w:b w:val="false"/>
          <w:sz w:val="19"/>
        </w:rPr>
        <w:t>* Filed herewith.</w:t>
      </w:r>
    </w:p>
    <w:p>
      <w:pPr>
        <w:pStyle w:val="TextBody"/>
        <w:spacing w:before="40" w:after="0"/>
        <w:jc w:val="left"/>
        <w:rPr>
          <w:rFonts w:ascii="Arial;sans-serif" w:hAnsi="Arial;sans-serif"/>
          <w:b w:val="false"/>
          <w:sz w:val="19"/>
        </w:rPr>
      </w:pPr>
      <w:r>
        <w:rPr>
          <w:rFonts w:ascii="Arial;sans-serif" w:hAnsi="Arial;sans-serif"/>
          <w:b w:val="false"/>
          <w:sz w:val="19"/>
        </w:rPr>
        <w:t># Indicates a management contract or any compensatory plan, contract or arrangement.</w:t>
      </w:r>
    </w:p>
    <w:p>
      <w:pPr>
        <w:pStyle w:val="TextBody"/>
        <w:spacing w:before="40" w:after="0"/>
        <w:jc w:val="left"/>
        <w:rPr>
          <w:rFonts w:ascii="Arial;sans-serif" w:hAnsi="Arial;sans-serif"/>
          <w:b w:val="false"/>
          <w:sz w:val="19"/>
        </w:rPr>
      </w:pPr>
      <w:r>
        <w:rPr>
          <w:rFonts w:ascii="Arial;sans-serif" w:hAnsi="Arial;sans-serif"/>
          <w:b w:val="false"/>
          <w:sz w:val="19"/>
        </w:rPr>
        <w:t>+ The certifications furnished in Exhibits 32.1 and 32.2 hereto are deemed to be furnished with this Form 10-Q and will not be deemed to be “filed” for purposes of Section 18 of the Securities Exchange Act of 1934, as amended, except to the extent that the Registrant specifically incorporates it by reference.</w:t>
      </w:r>
    </w:p>
    <w:p>
      <w:pPr>
        <w:pStyle w:val="TextBody"/>
        <w:spacing w:before="240" w:after="0"/>
        <w:jc w:val="center"/>
        <w:rPr>
          <w:rFonts w:ascii="Arial;sans-serif" w:hAnsi="Arial;sans-serif"/>
          <w:b w:val="false"/>
          <w:sz w:val="20"/>
        </w:rPr>
      </w:pPr>
      <w:r>
        <w:rPr>
          <w:rFonts w:ascii="Arial;sans-serif" w:hAnsi="Arial;sans-serif"/>
          <w:b w:val="false"/>
          <w:sz w:val="20"/>
        </w:rPr>
        <w:t>86</w:t>
      </w:r>
    </w:p>
    <w:p>
      <w:pPr>
        <w:pStyle w:val="HorizontalLine"/>
        <w:rPr/>
      </w:pPr>
      <w:r>
        <w:rPr/>
      </w:r>
    </w:p>
    <w:p>
      <w:pPr>
        <w:pStyle w:val="TextBody"/>
        <w:spacing w:before="0" w:after="0"/>
        <w:jc w:val="center"/>
        <w:rPr>
          <w:rFonts w:ascii="Arial;sans-serif" w:hAnsi="Arial;sans-serif"/>
          <w:b/>
          <w:sz w:val="20"/>
        </w:rPr>
      </w:pPr>
      <w:bookmarkStart w:id="20" w:name="signatures"/>
      <w:bookmarkEnd w:id="20"/>
      <w:r>
        <w:rPr>
          <w:rFonts w:ascii="Arial;sans-serif" w:hAnsi="Arial;sans-serif"/>
          <w:b/>
          <w:sz w:val="20"/>
        </w:rPr>
        <w:t>SIGNATURES</w:t>
      </w:r>
    </w:p>
    <w:p>
      <w:pPr>
        <w:pStyle w:val="TextBody"/>
        <w:spacing w:before="240" w:after="0"/>
        <w:jc w:val="left"/>
        <w:rPr>
          <w:rFonts w:ascii="Arial;sans-serif" w:hAnsi="Arial;sans-serif"/>
          <w:b w:val="false"/>
          <w:sz w:val="19"/>
        </w:rPr>
      </w:pPr>
      <w:r>
        <w:rPr>
          <w:rFonts w:ascii="Arial;sans-serif" w:hAnsi="Arial;sans-serif"/>
          <w:b w:val="false"/>
          <w:sz w:val="19"/>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7507" w:type="dxa"/>
        <w:jc w:val="left"/>
        <w:tblInd w:w="0" w:type="dxa"/>
        <w:tblCellMar>
          <w:top w:w="28" w:type="dxa"/>
          <w:left w:w="28" w:type="dxa"/>
          <w:bottom w:w="28" w:type="dxa"/>
          <w:right w:w="28" w:type="dxa"/>
        </w:tblCellMar>
      </w:tblPr>
      <w:tblGrid>
        <w:gridCol w:w="1831"/>
        <w:gridCol w:w="109"/>
        <w:gridCol w:w="406"/>
        <w:gridCol w:w="5161"/>
      </w:tblGrid>
      <w:tr>
        <w:trPr/>
        <w:tc>
          <w:tcPr>
            <w:tcW w:w="18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5161"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56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Candel Therapeutics, Inc.</w:t>
            </w:r>
          </w:p>
        </w:tc>
      </w:tr>
      <w:tr>
        <w:trPr/>
        <w:tc>
          <w:tcPr>
            <w:tcW w:w="18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8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Date: May 11,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By:</w:t>
            </w:r>
          </w:p>
        </w:tc>
        <w:tc>
          <w:tcPr>
            <w:tcW w:w="516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9"/>
              </w:rPr>
            </w:pPr>
            <w:r>
              <w:rPr>
                <w:rFonts w:ascii="Arial;sans-serif" w:hAnsi="Arial;sans-serif"/>
                <w:b w:val="false"/>
                <w:sz w:val="19"/>
              </w:rPr>
              <w:t>/s/ Paul Peter Tak</w:t>
            </w:r>
          </w:p>
        </w:tc>
      </w:tr>
      <w:tr>
        <w:trPr/>
        <w:tc>
          <w:tcPr>
            <w:tcW w:w="18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6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9"/>
              </w:rPr>
            </w:pPr>
            <w:r>
              <w:rPr>
                <w:rFonts w:ascii="Arial;sans-serif" w:hAnsi="Arial;sans-serif"/>
                <w:b w:val="false"/>
                <w:sz w:val="19"/>
              </w:rPr>
              <w:t>Paul Peter Tak</w:t>
            </w:r>
          </w:p>
        </w:tc>
      </w:tr>
      <w:tr>
        <w:trPr/>
        <w:tc>
          <w:tcPr>
            <w:tcW w:w="18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6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9"/>
              </w:rPr>
            </w:pPr>
            <w:r>
              <w:rPr>
                <w:rFonts w:ascii="Arial;sans-serif" w:hAnsi="Arial;sans-serif"/>
                <w:b w:val="false"/>
                <w:sz w:val="19"/>
              </w:rPr>
              <w:t>President and Chief Executive Officer</w:t>
            </w:r>
          </w:p>
        </w:tc>
      </w:tr>
      <w:tr>
        <w:trPr/>
        <w:tc>
          <w:tcPr>
            <w:tcW w:w="18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8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Date: May 11,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Arial;sans-serif" w:hAnsi="Arial;sans-serif"/>
                <w:b w:val="false"/>
                <w:sz w:val="19"/>
              </w:rPr>
            </w:pPr>
            <w:r>
              <w:rPr>
                <w:rFonts w:ascii="Arial;sans-serif" w:hAnsi="Arial;sans-serif"/>
                <w:b w:val="false"/>
                <w:sz w:val="19"/>
              </w:rPr>
              <w:t>By:</w:t>
            </w:r>
          </w:p>
        </w:tc>
        <w:tc>
          <w:tcPr>
            <w:tcW w:w="516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19"/>
              </w:rPr>
            </w:pPr>
            <w:r>
              <w:rPr>
                <w:rFonts w:ascii="Arial;sans-serif" w:hAnsi="Arial;sans-serif"/>
                <w:b w:val="false"/>
                <w:sz w:val="19"/>
              </w:rPr>
              <w:t>/s/ Jason A. Amello</w:t>
            </w:r>
          </w:p>
        </w:tc>
      </w:tr>
      <w:tr>
        <w:trPr/>
        <w:tc>
          <w:tcPr>
            <w:tcW w:w="18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6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9"/>
              </w:rPr>
            </w:pPr>
            <w:r>
              <w:rPr>
                <w:rFonts w:ascii="Arial;sans-serif" w:hAnsi="Arial;sans-serif"/>
                <w:b w:val="false"/>
                <w:sz w:val="19"/>
              </w:rPr>
              <w:t>Jason A. Amello</w:t>
            </w:r>
          </w:p>
        </w:tc>
      </w:tr>
      <w:tr>
        <w:trPr/>
        <w:tc>
          <w:tcPr>
            <w:tcW w:w="18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6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Arial;sans-serif" w:hAnsi="Arial;sans-serif"/>
                <w:b w:val="false"/>
                <w:sz w:val="19"/>
              </w:rPr>
            </w:pPr>
            <w:r>
              <w:rPr>
                <w:rFonts w:ascii="Arial;sans-serif" w:hAnsi="Arial;sans-serif"/>
                <w:b w:val="false"/>
                <w:sz w:val="19"/>
              </w:rPr>
              <w:t>Chief Financial Officer</w:t>
            </w:r>
          </w:p>
          <w:p>
            <w:pPr>
              <w:pStyle w:val="TableContents"/>
              <w:spacing w:before="0" w:after="0"/>
              <w:ind w:left="0" w:right="0" w:hanging="0"/>
              <w:jc w:val="center"/>
              <w:rPr>
                <w:rFonts w:ascii="Arial;sans-serif" w:hAnsi="Arial;sans-serif"/>
                <w:b w:val="false"/>
                <w:sz w:val="19"/>
              </w:rPr>
            </w:pPr>
            <w:r>
              <w:rPr>
                <w:rFonts w:ascii="Arial;sans-serif" w:hAnsi="Arial;sans-serif"/>
                <w:b w:val="false"/>
                <w:sz w:val="19"/>
              </w:rPr>
              <w:t>(Principal financial officer and principal accounting officer)</w:t>
            </w:r>
          </w:p>
        </w:tc>
      </w:tr>
    </w:tbl>
    <w:p>
      <w:pPr>
        <w:pStyle w:val="TextBody"/>
        <w:spacing w:before="0" w:after="0"/>
        <w:jc w:val="left"/>
        <w:rPr/>
      </w:pPr>
      <w:r>
        <w:rPr/>
        <w:t> </w:t>
      </w:r>
    </w:p>
    <w:p>
      <w:pPr>
        <w:pStyle w:val="TextBody"/>
        <w:spacing w:before="240" w:after="0"/>
        <w:jc w:val="center"/>
        <w:rPr>
          <w:rFonts w:ascii="Arial;sans-serif" w:hAnsi="Arial;sans-serif"/>
          <w:b w:val="false"/>
          <w:sz w:val="20"/>
        </w:rPr>
      </w:pPr>
      <w:r>
        <w:rPr>
          <w:rFonts w:ascii="Arial;sans-serif" w:hAnsi="Arial;sans-serif"/>
          <w:b w:val="false"/>
          <w:sz w:val="20"/>
        </w:rPr>
        <w:t>87</w:t>
      </w:r>
    </w:p>
    <w:p>
      <w:pPr>
        <w:pStyle w:val="HorizontalLine"/>
        <w:rPr/>
      </w:pPr>
      <w:r>
        <w:rPr/>
      </w:r>
      <w:r>
        <w:br w:type="page"/>
      </w:r>
    </w:p>
    <w:p>
      <w:pPr>
        <w:pStyle w:val="TextBody"/>
        <w:spacing w:before="0" w:after="0"/>
        <w:jc w:val="left"/>
        <w:rPr/>
      </w:pPr>
      <w:bookmarkStart w:id="21" w:name="cadl-ex31_1.htm"/>
      <w:bookmarkStart w:id="22" w:name="kscadlex31_1"/>
      <w:bookmarkEnd w:id="21"/>
      <w:bookmarkEnd w:id="22"/>
      <w:r>
        <w:rPr/>
        <w:t> </w:t>
      </w:r>
    </w:p>
    <w:p>
      <w:pPr>
        <w:pStyle w:val="TextBody"/>
        <w:spacing w:before="0" w:after="0"/>
        <w:jc w:val="right"/>
        <w:rPr>
          <w:rFonts w:ascii="Arial;sans-serif" w:hAnsi="Arial;sans-serif"/>
          <w:b/>
          <w:sz w:val="24"/>
        </w:rPr>
      </w:pPr>
      <w:r>
        <w:rPr>
          <w:rFonts w:ascii="Arial;sans-serif" w:hAnsi="Arial;sans-serif"/>
          <w:b/>
          <w:sz w:val="24"/>
        </w:rPr>
        <w:t>Exhibit 31.1</w:t>
      </w:r>
    </w:p>
    <w:p>
      <w:pPr>
        <w:pStyle w:val="TextBody"/>
        <w:spacing w:before="180" w:after="0"/>
        <w:jc w:val="center"/>
        <w:rPr>
          <w:rFonts w:ascii="Arial;sans-serif" w:hAnsi="Arial;sans-serif"/>
          <w:b/>
          <w:sz w:val="24"/>
        </w:rPr>
      </w:pPr>
      <w:r>
        <w:rPr>
          <w:rFonts w:ascii="Arial;sans-serif" w:hAnsi="Arial;sans-serif"/>
          <w:b/>
          <w:sz w:val="24"/>
        </w:rPr>
        <w:t>CERTIFICATIONS</w:t>
      </w:r>
    </w:p>
    <w:p>
      <w:pPr>
        <w:pStyle w:val="TextBody"/>
        <w:spacing w:before="180" w:after="0"/>
        <w:jc w:val="left"/>
        <w:rPr>
          <w:rFonts w:ascii="Arial;sans-serif" w:hAnsi="Arial;sans-serif"/>
          <w:b w:val="false"/>
          <w:sz w:val="24"/>
        </w:rPr>
      </w:pPr>
      <w:r>
        <w:rPr>
          <w:rFonts w:ascii="Arial;sans-serif" w:hAnsi="Arial;sans-serif"/>
          <w:b w:val="false"/>
          <w:sz w:val="24"/>
        </w:rPr>
        <w:t>I, Paul Peter Tak, certify that:</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1. I have reviewed this Quarterly Report on Form 10-Q of Candel Therapeutics, Inc.;</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(b) Any fraud, whether or not material, that involves management or other employees who have a significant role in the registrant's internal control over financial reporting.</w:t>
      </w:r>
    </w:p>
    <w:tbl>
      <w:tblPr>
        <w:tblW w:w="4792" w:type="dxa"/>
        <w:jc w:val="left"/>
        <w:tblInd w:w="0" w:type="dxa"/>
        <w:tblCellMar>
          <w:top w:w="28" w:type="dxa"/>
          <w:left w:w="28" w:type="dxa"/>
          <w:bottom w:w="28" w:type="dxa"/>
          <w:right w:w="28" w:type="dxa"/>
        </w:tblCellMar>
      </w:tblPr>
      <w:tblGrid>
        <w:gridCol w:w="2191"/>
        <w:gridCol w:w="109"/>
        <w:gridCol w:w="451"/>
        <w:gridCol w:w="2041"/>
      </w:tblGrid>
      <w:tr>
        <w:trPr/>
        <w:tc>
          <w:tcPr>
            <w:tcW w:w="2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r>
      <w:tr>
        <w:trPr/>
        <w:tc>
          <w:tcPr>
            <w:tcW w:w="219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Date: May 11, 2023</w:t>
            </w:r>
          </w:p>
        </w:tc>
        <w:tc>
          <w:tcPr>
            <w:tcW w:w="109"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5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By:</w:t>
            </w:r>
          </w:p>
        </w:tc>
        <w:tc>
          <w:tcPr>
            <w:tcW w:w="204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24"/>
              </w:rPr>
            </w:pPr>
            <w:r>
              <w:rPr>
                <w:rFonts w:ascii="Arial;sans-serif" w:hAnsi="Arial;sans-serif"/>
                <w:b w:val="false"/>
                <w:sz w:val="24"/>
              </w:rPr>
              <w:t>/s/ Paul Peter Tak</w:t>
            </w:r>
          </w:p>
        </w:tc>
      </w:tr>
      <w:tr>
        <w:trPr/>
        <w:tc>
          <w:tcPr>
            <w:tcW w:w="21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51" w:type="dxa"/>
            <w:tcBorders/>
            <w:shd w:fill="auto" w:val="clear"/>
            <w:vAlign w:val="center"/>
          </w:tcPr>
          <w:p>
            <w:pPr>
              <w:pStyle w:val="TableContents"/>
              <w:spacing w:before="0" w:after="283"/>
              <w:ind w:left="0" w:right="0" w:hanging="0"/>
              <w:rPr>
                <w:sz w:val="4"/>
                <w:szCs w:val="4"/>
              </w:rPr>
            </w:pPr>
            <w:r>
              <w:rPr>
                <w:sz w:val="4"/>
                <w:szCs w:val="4"/>
              </w:rPr>
            </w:r>
          </w:p>
        </w:tc>
        <w:tc>
          <w:tcPr>
            <w:tcW w:w="2041" w:type="dxa"/>
            <w:tcBorders/>
            <w:shd w:fill="auto" w:val="cle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Paul Peter Tak</w:t>
            </w:r>
          </w:p>
        </w:tc>
      </w:tr>
    </w:tbl>
    <w:p>
      <w:pPr>
        <w:pStyle w:val="TextBody"/>
        <w:spacing w:before="0" w:after="0"/>
        <w:jc w:val="left"/>
        <w:rPr/>
      </w:pPr>
      <w:r>
        <w:rPr/>
        <w:t> </w:t>
      </w:r>
    </w:p>
    <w:p>
      <w:pPr>
        <w:pStyle w:val="HorizontalLine"/>
        <w:rPr/>
      </w:pPr>
      <w:r>
        <w:rPr/>
      </w:r>
    </w:p>
    <w:p>
      <w:pPr>
        <w:pStyle w:val="TextBody"/>
        <w:spacing w:before="0" w:after="0"/>
        <w:jc w:val="left"/>
        <w:rPr/>
      </w:pPr>
      <w:r>
        <w:rPr/>
        <w:t> </w:t>
      </w:r>
    </w:p>
    <w:tbl>
      <w:tblPr>
        <w:tblW w:w="4738" w:type="dxa"/>
        <w:jc w:val="left"/>
        <w:tblInd w:w="0" w:type="dxa"/>
        <w:tblCellMar>
          <w:top w:w="28" w:type="dxa"/>
          <w:left w:w="28" w:type="dxa"/>
          <w:bottom w:w="28" w:type="dxa"/>
          <w:right w:w="28" w:type="dxa"/>
        </w:tblCellMar>
      </w:tblPr>
      <w:tblGrid>
        <w:gridCol w:w="124"/>
        <w:gridCol w:w="109"/>
        <w:gridCol w:w="109"/>
        <w:gridCol w:w="439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96"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396" w:type="dxa"/>
            <w:tcBorders/>
            <w:shd w:fill="auto" w:val="cle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President and Chief Executive Officer</w:t>
            </w:r>
          </w:p>
          <w:p>
            <w:pPr>
              <w:pStyle w:val="TableContents"/>
              <w:spacing w:before="0" w:after="0"/>
              <w:ind w:left="0" w:right="0" w:hanging="0"/>
              <w:jc w:val="center"/>
              <w:rPr>
                <w:rFonts w:ascii="Arial;sans-serif" w:hAnsi="Arial;sans-serif"/>
                <w:b/>
                <w:i/>
                <w:sz w:val="24"/>
              </w:rPr>
            </w:pPr>
            <w:r>
              <w:rPr>
                <w:rFonts w:ascii="Arial;sans-serif" w:hAnsi="Arial;sans-serif"/>
                <w:b/>
                <w:i/>
                <w:sz w:val="24"/>
              </w:rPr>
              <w:t>(principal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left"/>
        <w:rPr/>
      </w:pPr>
      <w:bookmarkStart w:id="23" w:name="cadl-ex31_2.htm"/>
      <w:bookmarkStart w:id="24" w:name="kscadlex31_2"/>
      <w:bookmarkEnd w:id="23"/>
      <w:bookmarkEnd w:id="24"/>
      <w:r>
        <w:rPr/>
        <w:t> </w:t>
      </w:r>
    </w:p>
    <w:p>
      <w:pPr>
        <w:pStyle w:val="TextBody"/>
        <w:spacing w:before="0" w:after="0"/>
        <w:jc w:val="right"/>
        <w:rPr>
          <w:rFonts w:ascii="Arial;sans-serif" w:hAnsi="Arial;sans-serif"/>
          <w:b/>
          <w:sz w:val="24"/>
        </w:rPr>
      </w:pPr>
      <w:r>
        <w:rPr>
          <w:rFonts w:ascii="Arial;sans-serif" w:hAnsi="Arial;sans-serif"/>
          <w:b/>
          <w:sz w:val="24"/>
        </w:rPr>
        <w:t>Exhibit 31.2</w:t>
      </w:r>
    </w:p>
    <w:p>
      <w:pPr>
        <w:pStyle w:val="TextBody"/>
        <w:spacing w:before="180" w:after="0"/>
        <w:jc w:val="center"/>
        <w:rPr>
          <w:rFonts w:ascii="Arial;sans-serif" w:hAnsi="Arial;sans-serif"/>
          <w:b/>
          <w:sz w:val="24"/>
        </w:rPr>
      </w:pPr>
      <w:r>
        <w:rPr>
          <w:rFonts w:ascii="Arial;sans-serif" w:hAnsi="Arial;sans-serif"/>
          <w:b/>
          <w:sz w:val="24"/>
        </w:rPr>
        <w:t>CERTIFICATIONS</w:t>
      </w:r>
    </w:p>
    <w:p>
      <w:pPr>
        <w:pStyle w:val="TextBody"/>
        <w:spacing w:before="180" w:after="0"/>
        <w:jc w:val="left"/>
        <w:rPr>
          <w:rFonts w:ascii="Arial;sans-serif" w:hAnsi="Arial;sans-serif"/>
          <w:b w:val="false"/>
          <w:sz w:val="24"/>
        </w:rPr>
      </w:pPr>
      <w:r>
        <w:rPr>
          <w:rFonts w:ascii="Arial;sans-serif" w:hAnsi="Arial;sans-serif"/>
          <w:b w:val="false"/>
          <w:sz w:val="24"/>
        </w:rPr>
        <w:t>I, Jason A. Amello, certify that:</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1. I have reviewed this Quarterly Report on Form 10-Q of Candel Therapeutics, Inc.;</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left"/>
        <w:rPr/>
      </w:pPr>
      <w:r>
        <w:rPr/>
        <w:t> </w:t>
      </w:r>
    </w:p>
    <w:p>
      <w:pPr>
        <w:pStyle w:val="TextBody"/>
        <w:spacing w:before="0" w:after="0"/>
        <w:jc w:val="left"/>
        <w:rPr>
          <w:rFonts w:ascii="Arial;sans-serif" w:hAnsi="Arial;sans-serif"/>
          <w:b w:val="false"/>
          <w:sz w:val="24"/>
        </w:rPr>
      </w:pPr>
      <w:r>
        <w:rPr>
          <w:rFonts w:ascii="Arial;sans-serif" w:hAnsi="Arial;sans-serif"/>
          <w:b w:val="false"/>
          <w:sz w:val="24"/>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942" w:type="dxa"/>
        <w:jc w:val="left"/>
        <w:tblInd w:w="0" w:type="dxa"/>
        <w:tblCellMar>
          <w:top w:w="28" w:type="dxa"/>
          <w:left w:w="28" w:type="dxa"/>
          <w:bottom w:w="28" w:type="dxa"/>
          <w:right w:w="28" w:type="dxa"/>
        </w:tblCellMar>
      </w:tblPr>
      <w:tblGrid>
        <w:gridCol w:w="2191"/>
        <w:gridCol w:w="109"/>
        <w:gridCol w:w="451"/>
        <w:gridCol w:w="2191"/>
      </w:tblGrid>
      <w:tr>
        <w:trPr/>
        <w:tc>
          <w:tcPr>
            <w:tcW w:w="2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2191" w:type="dxa"/>
            <w:tcBorders/>
            <w:shd w:fill="auto" w:val="clear"/>
            <w:vAlign w:val="center"/>
          </w:tcPr>
          <w:p>
            <w:pPr>
              <w:pStyle w:val="TableContents"/>
              <w:spacing w:before="0" w:after="283"/>
              <w:rPr>
                <w:sz w:val="4"/>
                <w:szCs w:val="4"/>
              </w:rPr>
            </w:pPr>
            <w:r>
              <w:rPr>
                <w:sz w:val="4"/>
                <w:szCs w:val="4"/>
              </w:rPr>
            </w:r>
          </w:p>
        </w:tc>
      </w:tr>
      <w:tr>
        <w:trPr/>
        <w:tc>
          <w:tcPr>
            <w:tcW w:w="219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Date: May 11, 2023</w:t>
            </w:r>
          </w:p>
        </w:tc>
        <w:tc>
          <w:tcPr>
            <w:tcW w:w="109"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5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By:</w:t>
            </w:r>
          </w:p>
        </w:tc>
        <w:tc>
          <w:tcPr>
            <w:tcW w:w="219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24"/>
              </w:rPr>
            </w:pPr>
            <w:r>
              <w:rPr>
                <w:rFonts w:ascii="Arial;sans-serif" w:hAnsi="Arial;sans-serif"/>
                <w:b w:val="false"/>
                <w:sz w:val="24"/>
              </w:rPr>
              <w:t>/s/ Jason A. Amello</w:t>
            </w:r>
          </w:p>
        </w:tc>
      </w:tr>
      <w:tr>
        <w:trPr/>
        <w:tc>
          <w:tcPr>
            <w:tcW w:w="21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51" w:type="dxa"/>
            <w:tcBorders/>
            <w:shd w:fill="auto" w:val="clear"/>
            <w:vAlign w:val="center"/>
          </w:tcPr>
          <w:p>
            <w:pPr>
              <w:pStyle w:val="TableContents"/>
              <w:spacing w:before="0" w:after="283"/>
              <w:ind w:left="0" w:right="0" w:hanging="0"/>
              <w:rPr>
                <w:sz w:val="4"/>
                <w:szCs w:val="4"/>
              </w:rPr>
            </w:pPr>
            <w:r>
              <w:rPr>
                <w:sz w:val="4"/>
                <w:szCs w:val="4"/>
              </w:rPr>
            </w:r>
          </w:p>
        </w:tc>
        <w:tc>
          <w:tcPr>
            <w:tcW w:w="2191" w:type="dxa"/>
            <w:tcBorders/>
            <w:shd w:fill="auto" w:val="cle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Jason A. Amello</w:t>
            </w:r>
          </w:p>
        </w:tc>
      </w:tr>
    </w:tbl>
    <w:p>
      <w:pPr>
        <w:pStyle w:val="TextBody"/>
        <w:spacing w:before="0" w:after="0"/>
        <w:jc w:val="left"/>
        <w:rPr/>
      </w:pPr>
      <w:r>
        <w:rPr/>
        <w:t> </w:t>
      </w:r>
    </w:p>
    <w:p>
      <w:pPr>
        <w:pStyle w:val="HorizontalLine"/>
        <w:rPr/>
      </w:pPr>
      <w:r>
        <w:rPr/>
      </w:r>
    </w:p>
    <w:p>
      <w:pPr>
        <w:pStyle w:val="TextBody"/>
        <w:spacing w:before="0" w:after="0"/>
        <w:jc w:val="left"/>
        <w:rPr/>
      </w:pPr>
      <w:r>
        <w:rPr/>
        <w:t> </w:t>
      </w:r>
    </w:p>
    <w:tbl>
      <w:tblPr>
        <w:tblW w:w="7108" w:type="dxa"/>
        <w:jc w:val="left"/>
        <w:tblInd w:w="0" w:type="dxa"/>
        <w:tblCellMar>
          <w:top w:w="28" w:type="dxa"/>
          <w:left w:w="28" w:type="dxa"/>
          <w:bottom w:w="28" w:type="dxa"/>
          <w:right w:w="28" w:type="dxa"/>
        </w:tblCellMar>
      </w:tblPr>
      <w:tblGrid>
        <w:gridCol w:w="124"/>
        <w:gridCol w:w="109"/>
        <w:gridCol w:w="109"/>
        <w:gridCol w:w="676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66" w:type="dxa"/>
            <w:tcBorders/>
            <w:shd w:fill="auto" w:val="clear"/>
            <w:vAlign w:val="center"/>
          </w:tcPr>
          <w:p>
            <w:pPr>
              <w:pStyle w:val="TableContents"/>
              <w:spacing w:before="0" w:after="283"/>
              <w:rPr>
                <w:sz w:val="4"/>
                <w:szCs w:val="4"/>
              </w:rPr>
            </w:pPr>
            <w:r>
              <w:rPr>
                <w:sz w:val="4"/>
                <w:szCs w:val="4"/>
              </w:rPr>
            </w:r>
          </w:p>
        </w:tc>
      </w:tr>
      <w:tr>
        <w:trPr/>
        <w:tc>
          <w:tcPr>
            <w:tcW w:w="124"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6766" w:type="dxa"/>
            <w:tcBorders/>
            <w:shd w:fill="auto" w:val="cle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Chief Financial Officer</w:t>
            </w:r>
          </w:p>
          <w:p>
            <w:pPr>
              <w:pStyle w:val="TableContents"/>
              <w:spacing w:before="0" w:after="0"/>
              <w:ind w:left="0" w:right="0" w:hanging="0"/>
              <w:jc w:val="center"/>
              <w:rPr>
                <w:rFonts w:ascii="Arial;sans-serif" w:hAnsi="Arial;sans-serif"/>
                <w:b/>
                <w:i/>
                <w:sz w:val="24"/>
              </w:rPr>
            </w:pPr>
            <w:r>
              <w:rPr>
                <w:rFonts w:ascii="Arial;sans-serif" w:hAnsi="Arial;sans-serif"/>
                <w:b/>
                <w:i/>
                <w:sz w:val="24"/>
              </w:rPr>
              <w:t>(principal financial officer and principal accounting officer)</w:t>
            </w:r>
          </w:p>
        </w:tc>
      </w:tr>
    </w:tbl>
    <w:p>
      <w:pPr>
        <w:pStyle w:val="TextBody"/>
        <w:spacing w:before="0" w:after="0"/>
        <w:jc w:val="left"/>
        <w:rPr/>
      </w:pPr>
      <w:r>
        <w:rPr/>
        <w:t> </w:t>
      </w:r>
    </w:p>
    <w:p>
      <w:pPr>
        <w:pStyle w:val="HorizontalLine"/>
        <w:rPr/>
      </w:pPr>
      <w:r>
        <w:rPr/>
      </w:r>
      <w:r>
        <w:br w:type="page"/>
      </w:r>
    </w:p>
    <w:p>
      <w:pPr>
        <w:pStyle w:val="TextBody"/>
        <w:spacing w:before="0" w:after="0"/>
        <w:jc w:val="left"/>
        <w:rPr/>
      </w:pPr>
      <w:bookmarkStart w:id="25" w:name="cadl-ex32_1.htm"/>
      <w:bookmarkStart w:id="26" w:name="kscadlex32_1"/>
      <w:bookmarkEnd w:id="25"/>
      <w:bookmarkEnd w:id="26"/>
      <w:r>
        <w:rPr/>
        <w:t> </w:t>
      </w:r>
    </w:p>
    <w:p>
      <w:pPr>
        <w:pStyle w:val="TextBody"/>
        <w:spacing w:before="0" w:after="0"/>
        <w:jc w:val="right"/>
        <w:rPr>
          <w:rFonts w:ascii="Arial;sans-serif" w:hAnsi="Arial;sans-serif"/>
          <w:b/>
          <w:sz w:val="24"/>
        </w:rPr>
      </w:pPr>
      <w:r>
        <w:rPr>
          <w:rFonts w:ascii="Arial;sans-serif" w:hAnsi="Arial;sans-serif"/>
          <w:b/>
          <w:sz w:val="24"/>
        </w:rPr>
        <w:t>Exhibit 32.1</w:t>
      </w:r>
    </w:p>
    <w:p>
      <w:pPr>
        <w:pStyle w:val="TextBody"/>
        <w:spacing w:before="240" w:after="0"/>
        <w:jc w:val="center"/>
        <w:rPr>
          <w:rFonts w:ascii="Arial;sans-serif" w:hAnsi="Arial;sans-serif"/>
          <w:b/>
          <w:sz w:val="24"/>
        </w:rPr>
      </w:pPr>
      <w:r>
        <w:rPr>
          <w:rFonts w:ascii="Arial;sans-serif" w:hAnsi="Arial;sans-serif"/>
          <w:b/>
          <w:sz w:val="24"/>
        </w:rPr>
        <w:t>CERTIFICATION PURSUANT TO</w:t>
      </w:r>
    </w:p>
    <w:p>
      <w:pPr>
        <w:pStyle w:val="TextBody"/>
        <w:spacing w:before="0" w:after="0"/>
        <w:jc w:val="center"/>
        <w:rPr>
          <w:rFonts w:ascii="Arial;sans-serif" w:hAnsi="Arial;sans-serif"/>
          <w:b/>
          <w:sz w:val="24"/>
        </w:rPr>
      </w:pPr>
      <w:r>
        <w:rPr>
          <w:rFonts w:ascii="Arial;sans-serif" w:hAnsi="Arial;sans-serif"/>
          <w:b/>
          <w:sz w:val="24"/>
        </w:rPr>
        <w:t>18 U.S.C. SECTION 1350, AS ADOPTED PURSUANT TO</w:t>
      </w:r>
    </w:p>
    <w:p>
      <w:pPr>
        <w:pStyle w:val="TextBody"/>
        <w:spacing w:before="0" w:after="0"/>
        <w:jc w:val="center"/>
        <w:rPr>
          <w:rFonts w:ascii="Arial;sans-serif" w:hAnsi="Arial;sans-serif"/>
          <w:b/>
          <w:sz w:val="24"/>
        </w:rPr>
      </w:pPr>
      <w:r>
        <w:rPr>
          <w:rFonts w:ascii="Arial;sans-serif" w:hAnsi="Arial;sans-serif"/>
          <w:b/>
          <w:sz w:val="24"/>
        </w:rPr>
        <w:t>SECTION 906 OF THE SARBANES-OXLEY ACT OF 2002</w:t>
      </w:r>
    </w:p>
    <w:p>
      <w:pPr>
        <w:pStyle w:val="TextBody"/>
        <w:spacing w:before="240" w:after="0"/>
        <w:jc w:val="left"/>
        <w:rPr>
          <w:rFonts w:ascii="Arial;sans-serif" w:hAnsi="Arial;sans-serif"/>
          <w:b w:val="false"/>
          <w:sz w:val="24"/>
        </w:rPr>
      </w:pPr>
      <w:r>
        <w:rPr>
          <w:rFonts w:ascii="Arial;sans-serif" w:hAnsi="Arial;sans-serif"/>
          <w:b w:val="false"/>
          <w:sz w:val="24"/>
        </w:rPr>
        <w:t>In connection with the Quarterly Report of Candel Therapeutics, Inc. (the “Company”) on Form 10-Q for the period ended March 31, 2023 as filed with the Securities and Exchange Commission on the date hereof (the “Report”), I, Paul Peter Tak, certify, pursuant to 18 U.S.C. § 1350, as adopted pursuant to § 906 of the Sarbanes-Oxley Act of 2002, that, to the best of my knowledge:</w:t>
      </w:r>
    </w:p>
    <w:p>
      <w:pPr>
        <w:pStyle w:val="TextBody"/>
        <w:spacing w:before="240" w:after="0"/>
        <w:jc w:val="left"/>
        <w:rPr>
          <w:rFonts w:ascii="Arial;sans-serif" w:hAnsi="Arial;sans-serif"/>
          <w:b w:val="false"/>
          <w:sz w:val="24"/>
        </w:rPr>
      </w:pPr>
      <w:r>
        <w:rPr>
          <w:rFonts w:ascii="Arial;sans-serif" w:hAnsi="Arial;sans-serif"/>
          <w:b w:val="false"/>
          <w:sz w:val="24"/>
        </w:rPr>
        <w:t>(1) The Report fully complies with the requirements of section 13(a) or 15(d) of the Securities Exchange Act of 1934, as amended; and</w:t>
      </w:r>
    </w:p>
    <w:p>
      <w:pPr>
        <w:pStyle w:val="TextBody"/>
        <w:spacing w:before="240" w:after="0"/>
        <w:jc w:val="left"/>
        <w:rPr>
          <w:rFonts w:ascii="Arial;sans-serif" w:hAnsi="Arial;sans-serif"/>
          <w:b w:val="false"/>
          <w:sz w:val="24"/>
        </w:rPr>
      </w:pPr>
      <w:r>
        <w:rPr>
          <w:rFonts w:ascii="Arial;sans-serif" w:hAnsi="Arial;sans-serif"/>
          <w:b w:val="false"/>
          <w:sz w:val="24"/>
        </w:rPr>
        <w:t>(2) The information contained in the Report fairly presents, in all material respects, the financial condition and results of operations of the Company.</w:t>
      </w:r>
    </w:p>
    <w:p>
      <w:pPr>
        <w:pStyle w:val="TextBody"/>
        <w:spacing w:before="0" w:after="0"/>
        <w:jc w:val="left"/>
        <w:rPr/>
      </w:pPr>
      <w:r>
        <w:rPr/>
        <w:t> </w:t>
      </w:r>
    </w:p>
    <w:tbl>
      <w:tblPr>
        <w:tblW w:w="7147" w:type="dxa"/>
        <w:jc w:val="left"/>
        <w:tblInd w:w="0" w:type="dxa"/>
        <w:tblCellMar>
          <w:top w:w="28" w:type="dxa"/>
          <w:left w:w="28" w:type="dxa"/>
          <w:bottom w:w="28" w:type="dxa"/>
          <w:right w:w="28" w:type="dxa"/>
        </w:tblCellMar>
      </w:tblPr>
      <w:tblGrid>
        <w:gridCol w:w="2191"/>
        <w:gridCol w:w="109"/>
        <w:gridCol w:w="451"/>
        <w:gridCol w:w="4396"/>
      </w:tblGrid>
      <w:tr>
        <w:trPr/>
        <w:tc>
          <w:tcPr>
            <w:tcW w:w="2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396" w:type="dxa"/>
            <w:tcBorders/>
            <w:shd w:fill="auto" w:val="clear"/>
            <w:vAlign w:val="center"/>
          </w:tcPr>
          <w:p>
            <w:pPr>
              <w:pStyle w:val="TableContents"/>
              <w:spacing w:before="0" w:after="283"/>
              <w:rPr>
                <w:sz w:val="4"/>
                <w:szCs w:val="4"/>
              </w:rPr>
            </w:pPr>
            <w:r>
              <w:rPr>
                <w:sz w:val="4"/>
                <w:szCs w:val="4"/>
              </w:rPr>
            </w:r>
          </w:p>
        </w:tc>
      </w:tr>
      <w:tr>
        <w:trPr/>
        <w:tc>
          <w:tcPr>
            <w:tcW w:w="219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Date: May 11, 2023</w:t>
            </w:r>
          </w:p>
        </w:tc>
        <w:tc>
          <w:tcPr>
            <w:tcW w:w="109"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5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By:</w:t>
            </w:r>
          </w:p>
        </w:tc>
        <w:tc>
          <w:tcPr>
            <w:tcW w:w="4396"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24"/>
              </w:rPr>
            </w:pPr>
            <w:r>
              <w:rPr>
                <w:rFonts w:ascii="Arial;sans-serif" w:hAnsi="Arial;sans-serif"/>
                <w:b w:val="false"/>
                <w:sz w:val="24"/>
              </w:rPr>
              <w:t>/s/ Paul Peter Tak</w:t>
            </w:r>
          </w:p>
        </w:tc>
      </w:tr>
      <w:tr>
        <w:trPr/>
        <w:tc>
          <w:tcPr>
            <w:tcW w:w="21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51" w:type="dxa"/>
            <w:tcBorders/>
            <w:shd w:fill="auto" w:val="clear"/>
            <w:vAlign w:val="center"/>
          </w:tcPr>
          <w:p>
            <w:pPr>
              <w:pStyle w:val="TableContents"/>
              <w:spacing w:before="0" w:after="283"/>
              <w:ind w:left="0" w:right="0" w:hanging="0"/>
              <w:rPr>
                <w:sz w:val="4"/>
                <w:szCs w:val="4"/>
              </w:rPr>
            </w:pPr>
            <w:r>
              <w:rPr>
                <w:sz w:val="4"/>
                <w:szCs w:val="4"/>
              </w:rPr>
            </w:r>
          </w:p>
        </w:tc>
        <w:tc>
          <w:tcPr>
            <w:tcW w:w="4396" w:type="dxa"/>
            <w:tcBorders/>
            <w:shd w:fill="auto" w:val="cle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Paul Peter Tak</w:t>
            </w:r>
          </w:p>
        </w:tc>
      </w:tr>
      <w:tr>
        <w:trPr/>
        <w:tc>
          <w:tcPr>
            <w:tcW w:w="21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51" w:type="dxa"/>
            <w:tcBorders/>
            <w:shd w:fill="auto" w:val="clear"/>
            <w:vAlign w:val="center"/>
          </w:tcPr>
          <w:p>
            <w:pPr>
              <w:pStyle w:val="TableContents"/>
              <w:spacing w:before="0" w:after="283"/>
              <w:ind w:left="0" w:right="0" w:hanging="0"/>
              <w:rPr>
                <w:sz w:val="4"/>
                <w:szCs w:val="4"/>
              </w:rPr>
            </w:pPr>
            <w:r>
              <w:rPr>
                <w:sz w:val="4"/>
                <w:szCs w:val="4"/>
              </w:rPr>
            </w:r>
          </w:p>
        </w:tc>
        <w:tc>
          <w:tcPr>
            <w:tcW w:w="4396" w:type="dxa"/>
            <w:tcBorders/>
            <w:shd w:fill="auto" w:val="cle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President and Chief Executive Officer</w:t>
            </w:r>
          </w:p>
          <w:p>
            <w:pPr>
              <w:pStyle w:val="TableContents"/>
              <w:spacing w:before="0" w:after="0"/>
              <w:ind w:left="0" w:right="0" w:hanging="0"/>
              <w:jc w:val="center"/>
              <w:rPr>
                <w:rFonts w:ascii="Arial;sans-serif" w:hAnsi="Arial;sans-serif"/>
                <w:b/>
                <w:i/>
                <w:sz w:val="24"/>
              </w:rPr>
            </w:pPr>
            <w:r>
              <w:rPr>
                <w:rFonts w:ascii="Arial;sans-serif" w:hAnsi="Arial;sans-serif"/>
                <w:b/>
                <w:i/>
                <w:sz w:val="24"/>
              </w:rPr>
              <w:t>(principal executive officer)</w:t>
            </w:r>
          </w:p>
        </w:tc>
      </w:tr>
    </w:tbl>
    <w:p>
      <w:pPr>
        <w:pStyle w:val="TextBody"/>
        <w:spacing w:before="0" w:after="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cadl-ex32_2.htm"/>
      <w:bookmarkStart w:id="28" w:name="kscadlex32_2"/>
      <w:bookmarkEnd w:id="27"/>
      <w:bookmarkEnd w:id="28"/>
      <w:r>
        <w:rPr/>
        <w:t> </w:t>
      </w:r>
    </w:p>
    <w:p>
      <w:pPr>
        <w:pStyle w:val="TextBody"/>
        <w:spacing w:before="0" w:after="0"/>
        <w:jc w:val="right"/>
        <w:rPr>
          <w:rFonts w:ascii="Arial;sans-serif" w:hAnsi="Arial;sans-serif"/>
          <w:b/>
          <w:sz w:val="24"/>
        </w:rPr>
      </w:pPr>
      <w:r>
        <w:rPr>
          <w:rFonts w:ascii="Arial;sans-serif" w:hAnsi="Arial;sans-serif"/>
          <w:b/>
          <w:sz w:val="24"/>
        </w:rPr>
        <w:t>Exhibit 32.2</w:t>
      </w:r>
    </w:p>
    <w:p>
      <w:pPr>
        <w:pStyle w:val="TextBody"/>
        <w:spacing w:before="240" w:after="0"/>
        <w:jc w:val="center"/>
        <w:rPr>
          <w:rFonts w:ascii="Arial;sans-serif" w:hAnsi="Arial;sans-serif"/>
          <w:b/>
          <w:sz w:val="24"/>
        </w:rPr>
      </w:pPr>
      <w:r>
        <w:rPr>
          <w:rFonts w:ascii="Arial;sans-serif" w:hAnsi="Arial;sans-serif"/>
          <w:b/>
          <w:sz w:val="24"/>
        </w:rPr>
        <w:t>CERTIFICATION PURSUANT TO</w:t>
      </w:r>
    </w:p>
    <w:p>
      <w:pPr>
        <w:pStyle w:val="TextBody"/>
        <w:spacing w:before="0" w:after="0"/>
        <w:jc w:val="center"/>
        <w:rPr>
          <w:rFonts w:ascii="Arial;sans-serif" w:hAnsi="Arial;sans-serif"/>
          <w:b/>
          <w:sz w:val="24"/>
        </w:rPr>
      </w:pPr>
      <w:r>
        <w:rPr>
          <w:rFonts w:ascii="Arial;sans-serif" w:hAnsi="Arial;sans-serif"/>
          <w:b/>
          <w:sz w:val="24"/>
        </w:rPr>
        <w:t>18 U.S.C. SECTION 1350, AS ADOPTED PURSUANT TO</w:t>
      </w:r>
    </w:p>
    <w:p>
      <w:pPr>
        <w:pStyle w:val="TextBody"/>
        <w:spacing w:before="0" w:after="0"/>
        <w:jc w:val="center"/>
        <w:rPr>
          <w:rFonts w:ascii="Arial;sans-serif" w:hAnsi="Arial;sans-serif"/>
          <w:b/>
          <w:sz w:val="24"/>
        </w:rPr>
      </w:pPr>
      <w:r>
        <w:rPr>
          <w:rFonts w:ascii="Arial;sans-serif" w:hAnsi="Arial;sans-serif"/>
          <w:b/>
          <w:sz w:val="24"/>
        </w:rPr>
        <w:t>SECTION 906 OF THE SARBANES-OXLEY ACT OF 2002</w:t>
      </w:r>
    </w:p>
    <w:p>
      <w:pPr>
        <w:pStyle w:val="TextBody"/>
        <w:spacing w:before="240" w:after="0"/>
        <w:jc w:val="left"/>
        <w:rPr>
          <w:rFonts w:ascii="Arial;sans-serif" w:hAnsi="Arial;sans-serif"/>
          <w:b w:val="false"/>
          <w:sz w:val="24"/>
        </w:rPr>
      </w:pPr>
      <w:r>
        <w:rPr>
          <w:rFonts w:ascii="Arial;sans-serif" w:hAnsi="Arial;sans-serif"/>
          <w:b w:val="false"/>
          <w:sz w:val="24"/>
        </w:rPr>
        <w:t>In connection with the Quarterly Report of Candel Therapeutics, Inc. (the “Company”) on Form 10-Q for the period ended March 31, 2023 as filed with the Securities and Exchange Commission on the date hereof (the “Report”), I, Jason A. Amello, certify, pursuant to 18 U.S.C. § 1350, as adopted pursuant to § 906 of the Sarbanes-Oxley Act of 2002, that, to the best of my knowledge:</w:t>
      </w:r>
    </w:p>
    <w:p>
      <w:pPr>
        <w:pStyle w:val="TextBody"/>
        <w:spacing w:before="240" w:after="0"/>
        <w:jc w:val="left"/>
        <w:rPr>
          <w:rFonts w:ascii="Arial;sans-serif" w:hAnsi="Arial;sans-serif"/>
          <w:b w:val="false"/>
          <w:sz w:val="24"/>
        </w:rPr>
      </w:pPr>
      <w:r>
        <w:rPr>
          <w:rFonts w:ascii="Arial;sans-serif" w:hAnsi="Arial;sans-serif"/>
          <w:b w:val="false"/>
          <w:sz w:val="24"/>
        </w:rPr>
        <w:t>(1) The Report fully complies with the requirements of section 13(a) or 15(d) of the Securities Exchange Act of 1934, as amended; and</w:t>
      </w:r>
    </w:p>
    <w:p>
      <w:pPr>
        <w:pStyle w:val="TextBody"/>
        <w:spacing w:before="240" w:after="0"/>
        <w:jc w:val="left"/>
        <w:rPr>
          <w:rFonts w:ascii="Arial;sans-serif" w:hAnsi="Arial;sans-serif"/>
          <w:b w:val="false"/>
          <w:sz w:val="24"/>
        </w:rPr>
      </w:pPr>
      <w:r>
        <w:rPr>
          <w:rFonts w:ascii="Arial;sans-serif" w:hAnsi="Arial;sans-serif"/>
          <w:b w:val="false"/>
          <w:sz w:val="24"/>
        </w:rPr>
        <w:t>(2) The information contained in the Report fairly presents, in all material respects, the financial condition and results of operations of the Company.</w:t>
      </w:r>
    </w:p>
    <w:p>
      <w:pPr>
        <w:pStyle w:val="TextBody"/>
        <w:spacing w:before="0" w:after="0"/>
        <w:jc w:val="left"/>
        <w:rPr/>
      </w:pPr>
      <w:r>
        <w:rPr/>
        <w:t> </w:t>
      </w:r>
    </w:p>
    <w:tbl>
      <w:tblPr>
        <w:tblW w:w="7372" w:type="dxa"/>
        <w:jc w:val="left"/>
        <w:tblInd w:w="0" w:type="dxa"/>
        <w:tblCellMar>
          <w:top w:w="28" w:type="dxa"/>
          <w:left w:w="28" w:type="dxa"/>
          <w:bottom w:w="28" w:type="dxa"/>
          <w:right w:w="28" w:type="dxa"/>
        </w:tblCellMar>
      </w:tblPr>
      <w:tblGrid>
        <w:gridCol w:w="2191"/>
        <w:gridCol w:w="109"/>
        <w:gridCol w:w="451"/>
        <w:gridCol w:w="4621"/>
      </w:tblGrid>
      <w:tr>
        <w:trPr/>
        <w:tc>
          <w:tcPr>
            <w:tcW w:w="2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621" w:type="dxa"/>
            <w:tcBorders/>
            <w:shd w:fill="auto" w:val="clear"/>
            <w:vAlign w:val="center"/>
          </w:tcPr>
          <w:p>
            <w:pPr>
              <w:pStyle w:val="TableContents"/>
              <w:spacing w:before="0" w:after="283"/>
              <w:rPr>
                <w:sz w:val="4"/>
                <w:szCs w:val="4"/>
              </w:rPr>
            </w:pPr>
            <w:r>
              <w:rPr>
                <w:sz w:val="4"/>
                <w:szCs w:val="4"/>
              </w:rPr>
            </w:r>
          </w:p>
        </w:tc>
      </w:tr>
      <w:tr>
        <w:trPr/>
        <w:tc>
          <w:tcPr>
            <w:tcW w:w="219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Date: May 11, 2023</w:t>
            </w:r>
          </w:p>
        </w:tc>
        <w:tc>
          <w:tcPr>
            <w:tcW w:w="109" w:type="dxa"/>
            <w:tcBorders>
              <w:bottom w:val="single" w:sz="6"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45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Arial;sans-serif" w:hAnsi="Arial;sans-serif"/>
                <w:b w:val="false"/>
                <w:sz w:val="24"/>
              </w:rPr>
            </w:pPr>
            <w:r>
              <w:rPr>
                <w:rFonts w:ascii="Arial;sans-serif" w:hAnsi="Arial;sans-serif"/>
                <w:b w:val="false"/>
                <w:sz w:val="24"/>
              </w:rPr>
              <w:t>By:</w:t>
            </w:r>
          </w:p>
        </w:tc>
        <w:tc>
          <w:tcPr>
            <w:tcW w:w="4621" w:type="dxa"/>
            <w:tcBorders>
              <w:bottom w:val="single" w:sz="6" w:space="0" w:color="000000"/>
            </w:tcBorders>
            <w:shd w:fill="auto" w:val="clear"/>
            <w:tcMar>
              <w:top w:w="0" w:type="dxa"/>
              <w:left w:w="0" w:type="dxa"/>
              <w:right w:w="0" w:type="dxa"/>
            </w:tcMar>
            <w:vAlign w:val="center"/>
          </w:tcPr>
          <w:p>
            <w:pPr>
              <w:pStyle w:val="TableContents"/>
              <w:spacing w:before="0" w:after="0"/>
              <w:ind w:left="0" w:right="0" w:hanging="0"/>
              <w:jc w:val="center"/>
              <w:rPr>
                <w:rFonts w:ascii="Arial;sans-serif" w:hAnsi="Arial;sans-serif"/>
                <w:b w:val="false"/>
                <w:sz w:val="24"/>
              </w:rPr>
            </w:pPr>
            <w:r>
              <w:rPr>
                <w:rFonts w:ascii="Arial;sans-serif" w:hAnsi="Arial;sans-serif"/>
                <w:b w:val="false"/>
                <w:sz w:val="24"/>
              </w:rPr>
              <w:t>/s/ Jason A. Amello</w:t>
            </w:r>
          </w:p>
        </w:tc>
      </w:tr>
      <w:tr>
        <w:trPr/>
        <w:tc>
          <w:tcPr>
            <w:tcW w:w="21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51" w:type="dxa"/>
            <w:tcBorders/>
            <w:shd w:fill="auto" w:val="clear"/>
            <w:vAlign w:val="center"/>
          </w:tcPr>
          <w:p>
            <w:pPr>
              <w:pStyle w:val="TableContents"/>
              <w:spacing w:before="0" w:after="283"/>
              <w:ind w:left="0" w:right="0" w:hanging="0"/>
              <w:rPr>
                <w:sz w:val="4"/>
                <w:szCs w:val="4"/>
              </w:rPr>
            </w:pPr>
            <w:r>
              <w:rPr>
                <w:sz w:val="4"/>
                <w:szCs w:val="4"/>
              </w:rPr>
            </w:r>
          </w:p>
        </w:tc>
        <w:tc>
          <w:tcPr>
            <w:tcW w:w="4621" w:type="dxa"/>
            <w:tcBorders/>
            <w:shd w:fill="auto" w:val="cle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Jason A. Amello</w:t>
            </w:r>
          </w:p>
        </w:tc>
      </w:tr>
      <w:tr>
        <w:trPr/>
        <w:tc>
          <w:tcPr>
            <w:tcW w:w="219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451" w:type="dxa"/>
            <w:tcBorders/>
            <w:shd w:fill="auto" w:val="clear"/>
            <w:vAlign w:val="center"/>
          </w:tcPr>
          <w:p>
            <w:pPr>
              <w:pStyle w:val="TableContents"/>
              <w:spacing w:before="0" w:after="283"/>
              <w:ind w:left="0" w:right="0" w:hanging="0"/>
              <w:rPr>
                <w:sz w:val="4"/>
                <w:szCs w:val="4"/>
              </w:rPr>
            </w:pPr>
            <w:r>
              <w:rPr>
                <w:sz w:val="4"/>
                <w:szCs w:val="4"/>
              </w:rPr>
            </w:r>
          </w:p>
        </w:tc>
        <w:tc>
          <w:tcPr>
            <w:tcW w:w="4621" w:type="dxa"/>
            <w:tcBorders/>
            <w:shd w:fill="auto" w:val="clear"/>
            <w:vAlign w:val="center"/>
          </w:tcPr>
          <w:p>
            <w:pPr>
              <w:pStyle w:val="TableContents"/>
              <w:spacing w:before="0" w:after="0"/>
              <w:ind w:left="0" w:right="0" w:hanging="0"/>
              <w:jc w:val="center"/>
              <w:rPr>
                <w:rFonts w:ascii="Arial;sans-serif" w:hAnsi="Arial;sans-serif"/>
                <w:b/>
                <w:sz w:val="24"/>
              </w:rPr>
            </w:pPr>
            <w:r>
              <w:rPr>
                <w:rFonts w:ascii="Arial;sans-serif" w:hAnsi="Arial;sans-serif"/>
                <w:b/>
                <w:sz w:val="24"/>
              </w:rPr>
              <w:t>Chief Financial Officer</w:t>
            </w:r>
          </w:p>
          <w:p>
            <w:pPr>
              <w:pStyle w:val="TableContents"/>
              <w:spacing w:before="0" w:after="0"/>
              <w:ind w:left="0" w:right="0" w:hanging="0"/>
              <w:jc w:val="center"/>
              <w:rPr>
                <w:rFonts w:ascii="Times New Roman" w:hAnsi="Times New Roman"/>
                <w:sz w:val="24"/>
              </w:rPr>
            </w:pPr>
            <w:r>
              <w:rPr>
                <w:rFonts w:ascii="Arial;sans-serif" w:hAnsi="Arial;sans-serif"/>
                <w:b/>
                <w:i/>
                <w:sz w:val="24"/>
              </w:rPr>
              <w:t>(principal financial officer and principal</w:t>
            </w:r>
            <w:r>
              <w:rPr>
                <w:rFonts w:ascii="Times New Roman" w:hAnsi="Times New Roman"/>
                <w:sz w:val="24"/>
              </w:rPr>
              <w:t xml:space="preserve"> </w:t>
            </w:r>
          </w:p>
          <w:p>
            <w:pPr>
              <w:pStyle w:val="TableContents"/>
              <w:spacing w:before="0" w:after="0"/>
              <w:ind w:left="0" w:right="0" w:hanging="0"/>
              <w:jc w:val="center"/>
              <w:rPr>
                <w:rFonts w:ascii="Arial;sans-serif" w:hAnsi="Arial;sans-serif"/>
                <w:b/>
                <w:i/>
                <w:sz w:val="24"/>
              </w:rPr>
            </w:pPr>
            <w:r>
              <w:rPr>
                <w:rFonts w:ascii="Arial;sans-serif" w:hAnsi="Arial;sans-serif"/>
                <w:b/>
                <w:i/>
                <w:sz w:val="24"/>
              </w:rPr>
              <w:t>accounting officer)</w:t>
            </w:r>
          </w:p>
        </w:tc>
      </w:tr>
    </w:tbl>
    <w:p>
      <w:pPr>
        <w:pStyle w:val="TextBody"/>
        <w:spacing w:before="0" w:after="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charset w:val="01"/>
    <w:family w:val="auto"/>
    <w:pitch w:val="default"/>
  </w:font>
  <w:font w:name="Arial">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41387/000119312521229437/d203496dex31.htm" TargetMode="External"/><Relationship Id="rId3" Type="http://schemas.openxmlformats.org/officeDocument/2006/relationships/hyperlink" Target="https://www.sec.gov/Archives/edgar/data/0001841387/000119312521229437/d203496dex32.htm" TargetMode="External"/><Relationship Id="rId4" Type="http://schemas.openxmlformats.org/officeDocument/2006/relationships/hyperlink" Target="https://www.sec.gov/Archives/edgar/data/0001841387/000119312521216891/d120909dex4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72169</Words>
  <CharactersWithSpaces>472777</CharactersWithSpaces>
  <Paragraphs>4346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