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pPr>
      <w:bookmarkStart w:id="0" w:name="ownership.xml.htm"/>
      <w:bookmarkStart w:id="1" w:name="ksownership"/>
      <w:bookmarkEnd w:id="0"/>
      <w:bookmarkEnd w:id="1"/>
      <w: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pPr>
            <w:r>
              <w:rPr>
                <w:rFonts w:ascii="arial;helvetica;sans-serif" w:hAnsi="arial;helvetica;sans-serif"/>
                <w:b/>
                <w:sz w:val="28"/>
              </w:rPr>
              <w:t>UNITED STATES SECURITIES AND EXCHANGE COMMISSION</w:t>
            </w:r>
            <w:r>
              <w:br/>
            </w:r>
            <w:r>
              <w:rPr>
                <w:rFonts w:ascii="arial;helvetica;sans-serif" w:hAnsi="arial;helvetica;sans-serif"/>
                <w:sz w:val="20"/>
              </w:rPr>
              <w:t>Washington, D.C. 20549</w:t>
            </w:r>
            <w:r>
              <w:br/>
              <w:br/>
            </w:r>
            <w:r>
              <w:rPr>
                <w:rFonts w:ascii="arial;helvetica;sans-serif" w:hAnsi="arial;helvetica;sans-serif"/>
                <w:b/>
                <w:sz w:val="28"/>
              </w:rPr>
              <w:t>INITIAL STATEMENT OF BENEFICIAL OWNERSHIP OF SECURITIES</w:t>
            </w:r>
            <w:r>
              <w:br/>
              <w:br/>
            </w:r>
            <w:r>
              <w:rPr>
                <w:rFonts w:ascii="arial;helvetica;sans-serif" w:hAnsi="arial;helvetica;sans-serif"/>
                <w:sz w:val="20"/>
              </w:rPr>
              <w:t>Filed pursuant to Section 16(a) of the Securities Exchange Act of 1934</w:t>
            </w:r>
            <w: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pPr>
            <w:r>
              <w:t> </w:t>
            </w:r>
          </w:p>
          <w:tbl>
            <w:tblPr>
              <w:tblW w:w="5000" w:type="pct"/>
              <w:jc w:val="center"/>
              <w:tblInd w:w="0" w:type="dxa"/>
              <w:tblLayout w:type="fixed"/>
              <w:tblCellMar>
                <w:top w:w="28" w:type="dxa"/>
                <w:left w:w="28" w:type="dxa"/>
                <w:bottom w:w="28" w:type="dxa"/>
                <w:right w:w="28" w:type="dxa"/>
              </w:tblCellMar>
            </w:tblPr>
            <w:tblGrid>
              <w:gridCol w:w="1921"/>
            </w:tblGrid>
            <w:t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pPr>
                  <w:r/>
                </w:p>
              </w:tc>
            </w:tr>
            <w:t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c>
                <w:tcPr>
                  <w:tcW w:w="2941" w:type="dxa"/>
                  <w:tcBorders/>
                  <w:vAlign w:val="center"/>
                </w:tcPr>
                <w:p>
                  <w:pPr>
                    <w:pStyle w:val="TableContents"/>
                    <w:bidi w:val="0"/>
                    <w:spacing w:before="0" w:after="283"/>
                    <w:jc w:val="left"/>
                  </w:pPr>
                  <w:hyperlink r:id="rId2">
                    <w:r>
                      <w:rPr>
                        <w:rStyle w:val="InternetLink"/>
                      </w:rPr>
                      <w:t>Ostrovsky Maria</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CANDEL THERAPEUTICS, INC</w:t>
                  </w:r>
                </w:p>
              </w:tc>
            </w:tr>
            <w:t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 KENDRICK STREET, SUITE 450</w:t>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NEEDHAM</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02494</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2. Date of Event Requiring Statement (Month/Day/Year)</w:t>
            </w:r>
            <w:r>
              <w:br/>
            </w:r>
            <w:r>
              <w:rPr>
                <w:rFonts w:ascii="Times;serif" w:hAnsi="Times;serif"/>
                <w:color w:val="0000FF"/>
                <w:sz w:val="24"/>
                <w:shd w:fill="FFFFFF" w:val="clear"/>
              </w:rPr>
              <w:t>11/03/2026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br/>
            </w:r>
            <w:hyperlink r:id="rId3">
              <w:r>
                <w:rPr>
                  <w:rStyle w:val="InternetLink"/>
                </w:rPr>
                <w:t>Candel Therapeutics, Inc.</w:t>
              </w:r>
            </w:hyperlink>
            <w:r>
              <w:t xml:space="preserve"> [ </w:t>
            </w:r>
            <w:r>
              <w:rPr>
                <w:rFonts w:ascii="Times;serif" w:hAnsi="Times;serif"/>
                <w:color w:val="0000FF"/>
                <w:sz w:val="24"/>
                <w:shd w:fill="FFFFFF" w:val="clear"/>
              </w:rPr>
              <w:t>CADL</w:t>
            </w:r>
            <w:r>
              <w:t xml:space="preserve"> ] </w:t>
              <w:br/>
            </w:r>
            <w:r>
              <w:rPr>
                <w:rFonts w:ascii="arial;helvetica;sans-serif" w:hAnsi="arial;helvetica;sans-serif"/>
                <w:sz w:val="20"/>
              </w:rPr>
              <w:t>Foreign Trading Symbol</w:t>
            </w:r>
          </w:p>
        </w:tc>
      </w:tr>
      <w:tr>
        <w:tc>
          <w:tcPr>
            <w:tcW w:w="3061" w:type="dxa"/>
            <w:vMerge w:val="continue"/>
            <w:tcBorders>
              <w:left w:val="single" w:sz="6" w:space="0" w:color="808080"/>
              <w:bottom w:val="single" w:sz="2" w:space="0" w:color="808080"/>
              <w:right w:val="single" w:sz="6" w:space="0" w:color="808080"/>
            </w:tcBorders>
          </w:tcPr>
          <w:p>
            <w:pPr>
              <w:pStyle w:val="Normal"/>
              <w:bidi w:val="0"/>
              <w:jc w:val="left"/>
            </w:pPr>
            <w:r/>
          </w:p>
        </w:tc>
        <w:tc>
          <w:tcPr>
            <w:tcW w:w="1530" w:type="dxa"/>
            <w:vMerge w:val="continue"/>
            <w:tcBorders>
              <w:left w:val="single" w:sz="2" w:space="0" w:color="808080"/>
              <w:bottom w:val="single" w:sz="2" w:space="0" w:color="808080"/>
              <w:right w:val="single" w:sz="6" w:space="0" w:color="808080"/>
            </w:tcBorders>
          </w:tcPr>
          <w:p>
            <w:pPr>
              <w:pStyle w:val="Normal"/>
              <w:bidi w:val="0"/>
              <w:jc w:val="left"/>
            </w:p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pPr>
            <w:r>
              <w:rPr>
                <w:rFonts w:ascii="arial;helvetica;sans-serif" w:hAnsi="arial;helvetica;sans-serif"/>
                <w:sz w:val="20"/>
              </w:rPr>
              <w:t xml:space="preserve">4. Relationship of Reporting Person(s) to Issuer </w:t>
            </w:r>
            <w: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c>
          <w:tcPr>
            <w:tcW w:w="3061" w:type="dxa"/>
            <w:vMerge w:val="continue"/>
            <w:tcBorders>
              <w:left w:val="single" w:sz="6" w:space="0" w:color="808080"/>
              <w:bottom w:val="single" w:sz="6" w:space="0" w:color="808080"/>
              <w:right w:val="single" w:sz="6" w:space="0" w:color="808080"/>
            </w:tcBorders>
          </w:tcPr>
          <w:p>
            <w:pPr>
              <w:pStyle w:val="Normal"/>
              <w:bidi w:val="0"/>
              <w:jc w:val="left"/>
            </w:pPr>
            <w:r/>
          </w:p>
        </w:tc>
        <w:tc>
          <w:tcPr>
            <w:tcW w:w="1530" w:type="dxa"/>
            <w:vMerge w:val="continue"/>
            <w:tcBorders>
              <w:left w:val="single" w:sz="2" w:space="0" w:color="808080"/>
              <w:bottom w:val="single" w:sz="6" w:space="0" w:color="808080"/>
              <w:right w:val="single" w:sz="6" w:space="0" w:color="808080"/>
            </w:tcBorders>
          </w:tcPr>
          <w:p>
            <w:pPr>
              <w:pStyle w:val="Normal"/>
              <w:bidi w:val="0"/>
              <w:jc w:val="left"/>
            </w:pPr>
            <w:r/>
          </w:p>
        </w:tc>
        <w:tc>
          <w:tcPr>
            <w:tcW w:w="3062" w:type="dxa"/>
            <w:vMerge w:val="continue"/>
            <w:tcBorders>
              <w:left w:val="single" w:sz="2" w:space="0" w:color="808080"/>
              <w:bottom w:val="single" w:sz="6" w:space="0" w:color="808080"/>
              <w:right w:val="single" w:sz="6" w:space="0" w:color="808080"/>
            </w:tcBorders>
          </w:tcPr>
          <w:p>
            <w:pPr>
              <w:pStyle w:val="Normal"/>
              <w:bidi w:val="0"/>
              <w:jc w:val="left"/>
            </w:p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p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pPr>
            <w:r/>
          </w:p>
        </w:tc>
        <w:tc>
          <w:tcPr>
            <w:tcW w:w="1256" w:type="dxa"/>
            <w:vMerge w:val="continue"/>
            <w:tcBorders>
              <w:left w:val="single" w:sz="2" w:space="0" w:color="808080"/>
              <w:bottom w:val="single" w:sz="6" w:space="0" w:color="808080"/>
              <w:right w:val="single" w:sz="6" w:space="0" w:color="808080"/>
            </w:tcBorders>
          </w:tcPr>
          <w:p>
            <w:pPr>
              <w:pStyle w:val="Normal"/>
              <w:bidi w:val="0"/>
              <w:jc w:val="left"/>
            </w:pPr>
            <w:r/>
          </w:p>
        </w:tc>
        <w:tc>
          <w:tcPr>
            <w:tcW w:w="1453" w:type="dxa"/>
            <w:vMerge w:val="continue"/>
            <w:tcBorders>
              <w:left w:val="single" w:sz="2" w:space="0" w:color="808080"/>
              <w:bottom w:val="single" w:sz="6" w:space="0" w:color="808080"/>
              <w:right w:val="single" w:sz="6" w:space="0" w:color="808080"/>
            </w:tcBorders>
          </w:tcPr>
          <w:p>
            <w:pPr>
              <w:pStyle w:val="Normal"/>
              <w:bidi w:val="0"/>
              <w:jc w:val="left"/>
            </w:pPr>
            <w:r/>
          </w:p>
        </w:tc>
      </w:tr>
    </w:tbl>
    <w:tbl>
      <w:tblPr>
        <w:tblW w:w="5000" w:type="pct"/>
        <w:jc w:val="left"/>
        <w:tblInd w:w="0" w:type="dxa"/>
        <w:tblLayout w:type="fixed"/>
        <w:tblCellMar>
          <w:top w:w="28" w:type="dxa"/>
          <w:left w:w="28" w:type="dxa"/>
          <w:bottom w:w="28" w:type="dxa"/>
          <w:right w:w="28" w:type="dxa"/>
        </w:tblCellMar>
      </w:tblPr>
      <w:tblGrid>
        <w:gridCol w:w="10205"/>
      </w:tblGrid>
      <w:t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Charles Schoch, as Attorney-In-Fact for Maria Ostrovsky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11/05/2026</w:t>
            </w:r>
          </w:p>
        </w:tc>
      </w:tr>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80" w:after="283"/>
        <w:jc w:val="right"/>
        <w:rPr>
          <w:rFonts w:ascii="Times New Roman" w:hAnsi="Times New Roman"/>
          <w:b/>
          <w:color w:val="000000"/>
          <w:sz w:val="21"/>
        </w:rPr>
      </w:pPr>
      <w:bookmarkStart w:id="2" w:name="cadl-ex24.htm"/>
      <w:bookmarkStart w:id="3" w:name="kscadlex24"/>
      <w:bookmarkEnd w:id="2"/>
      <w:bookmarkEnd w:id="3"/>
      <w:r>
        <w:rPr>
          <w:rFonts w:ascii="Times New Roman" w:hAnsi="Times New Roman"/>
          <w:b/>
          <w:color w:val="000000"/>
          <w:sz w:val="21"/>
        </w:rPr>
        <w:t>Exhibit 24</w:t>
      </w:r>
      <w:r>
        <w:br w:type="page"/>
      </w:r>
    </w:p>
    <w:p>
      <w:pPr>
        <w:pStyle w:val="TextBody"/>
        <w:bidi w:val="0"/>
        <w:jc w:val="left"/>
      </w:pPr>
      <w:r>
        <w:t> </w:t>
      </w:r>
    </w:p>
    <w:p>
      <w:pPr>
        <w:pStyle w:val="TextBody"/>
        <w:bidi w:val="0"/>
        <w:jc w:val="center"/>
        <w:rPr>
          <w:rFonts w:ascii="Times New Roman" w:hAnsi="Times New Roman"/>
          <w:b/>
          <w:color w:val="000000"/>
          <w:sz w:val="21"/>
        </w:rPr>
      </w:pPr>
      <w:r>
        <w:rPr>
          <w:rFonts w:ascii="Times New Roman" w:hAnsi="Times New Roman"/>
          <w:b/>
          <w:color w:val="000000"/>
          <w:sz w:val="21"/>
        </w:rPr>
        <w:t>LIMITED POWER OF ATTORNEY</w:t>
      </w:r>
    </w:p>
    <w:p>
      <w:pPr>
        <w:pStyle w:val="TextBody"/>
        <w:bidi w:val="0"/>
        <w:jc w:val="center"/>
      </w:pPr>
      <w:r>
        <w:t> </w:t>
      </w:r>
    </w:p>
    <w:p>
      <w:pPr>
        <w:pStyle w:val="TextBody"/>
        <w:bidi w:val="0"/>
        <w:jc w:val="both"/>
        <w:rPr>
          <w:rFonts w:ascii="Times New Roman" w:hAnsi="Times New Roman"/>
          <w:color w:val="000000"/>
          <w:sz w:val="21"/>
        </w:rPr>
      </w:pPr>
      <w:r>
        <w:rPr>
          <w:rFonts w:ascii="Times New Roman" w:hAnsi="Times New Roman"/>
          <w:color w:val="000000"/>
          <w:sz w:val="21"/>
        </w:rPr>
        <w:t>The undersigned hereby constitutes and appoints each of Paul Peter Tak and Charles Schoch the undersigned's true and lawful attorney-in-fact to:</w:t>
      </w:r>
    </w:p>
    <w:p>
      <w:pPr>
        <w:pStyle w:val="TextBody"/>
        <w:bidi w:val="0"/>
        <w:jc w:val="both"/>
        <w:rPr>
          <w:rFonts w:ascii="Times New Roman" w:hAnsi="Times New Roman"/>
          <w:color w:val="000000"/>
          <w:sz w:val="21"/>
        </w:rPr>
      </w:pPr>
      <w:r>
        <w:rPr>
          <w:rFonts w:ascii="Times New Roman" w:hAnsi="Times New Roman"/>
          <w:color w:val="000000"/>
          <w:sz w:val="21"/>
        </w:rPr>
        <w:t>(1) execute for and on behalf of the undersigned, in the undersigned's capacity as officer and/or director of Candel Therapeutics,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pStyle w:val="TextBody"/>
        <w:bidi w:val="0"/>
        <w:jc w:val="both"/>
      </w:pPr>
      <w:r>
        <w:t> </w:t>
      </w:r>
    </w:p>
    <w:p>
      <w:pPr>
        <w:pStyle w:val="TextBody"/>
        <w:bidi w:val="0"/>
        <w:jc w:val="both"/>
        <w:rPr>
          <w:rFonts w:ascii="Times New Roman" w:hAnsi="Times New Roman"/>
          <w:color w:val="000000"/>
          <w:sz w:val="21"/>
        </w:rPr>
      </w:pPr>
      <w:r>
        <w:rPr>
          <w:rFonts w:ascii="Times New Roman" w:hAnsi="Times New Roman"/>
          <w:color w:val="000000"/>
          <w:sz w:val="21"/>
        </w:rPr>
        <w:t>(2) 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pStyle w:val="TextBody"/>
        <w:bidi w:val="0"/>
        <w:jc w:val="both"/>
      </w:pPr>
      <w:r>
        <w:t> </w:t>
      </w:r>
    </w:p>
    <w:p>
      <w:pPr>
        <w:pStyle w:val="TextBody"/>
        <w:bidi w:val="0"/>
        <w:jc w:val="both"/>
        <w:rPr>
          <w:rFonts w:ascii="Times New Roman" w:hAnsi="Times New Roman"/>
          <w:color w:val="000000"/>
          <w:sz w:val="21"/>
        </w:rPr>
      </w:pPr>
      <w:r>
        <w:rPr>
          <w:rFonts w:ascii="Times New Roman" w:hAnsi="Times New Roman"/>
          <w:color w:val="000000"/>
          <w:sz w:val="21"/>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pPr>
      <w:r>
        <w:t> </w:t>
      </w:r>
    </w:p>
    <w:p>
      <w:pPr>
        <w:pStyle w:val="TextBody"/>
        <w:bidi w:val="0"/>
        <w:jc w:val="both"/>
        <w:rPr>
          <w:rFonts w:ascii="Times New Roman" w:hAnsi="Times New Roman"/>
          <w:color w:val="000000"/>
          <w:sz w:val="21"/>
        </w:rPr>
      </w:pPr>
      <w:r>
        <w:rPr>
          <w:rFonts w:ascii="Times New Roman" w:hAnsi="Times New Roman"/>
          <w:color w:val="000000"/>
          <w:sz w:val="21"/>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pStyle w:val="TextBody"/>
        <w:bidi w:val="0"/>
        <w:jc w:val="both"/>
      </w:pPr>
      <w:r>
        <w:t> </w:t>
      </w:r>
    </w:p>
    <w:p>
      <w:pPr>
        <w:pStyle w:val="TextBody"/>
        <w:bidi w:val="0"/>
        <w:jc w:val="both"/>
        <w:rPr>
          <w:rFonts w:ascii="Times New Roman" w:hAnsi="Times New Roman"/>
          <w:color w:val="000000"/>
          <w:sz w:val="21"/>
        </w:rPr>
      </w:pPr>
      <w:r>
        <w:rPr>
          <w:rFonts w:ascii="Times New Roman" w:hAnsi="Times New Roman"/>
          <w:color w:val="000000"/>
          <w:sz w:val="21"/>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pStyle w:val="TextBody"/>
        <w:bidi w:val="0"/>
        <w:jc w:val="both"/>
      </w:pPr>
      <w:r>
        <w:t> </w:t>
      </w:r>
    </w:p>
    <w:p>
      <w:pPr>
        <w:pStyle w:val="TextBody"/>
        <w:bidi w:val="0"/>
        <w:jc w:val="both"/>
        <w:rPr>
          <w:rFonts w:ascii="Times New Roman" w:hAnsi="Times New Roman"/>
          <w:color w:val="000000"/>
          <w:sz w:val="21"/>
        </w:rPr>
      </w:pPr>
      <w:r>
        <w:rPr>
          <w:rFonts w:ascii="Times New Roman" w:hAnsi="Times New Roman"/>
          <w:color w:val="000000"/>
          <w:sz w:val="21"/>
        </w:rPr>
        <w:t>IN WITNESS WHEREOF, the undersigned has caused this Power of Attorney to be executed as of September 29, 2026.</w:t>
      </w:r>
    </w:p>
    <w:p>
      <w:pPr>
        <w:pStyle w:val="TextBody"/>
        <w:bidi w:val="0"/>
        <w:jc w:val="both"/>
      </w:pPr>
      <w:r>
        <w:t> </w:t>
      </w:r>
    </w:p>
    <w:p>
      <w:pPr>
        <w:pStyle w:val="TextBody"/>
        <w:bidi w:val="0"/>
        <w:jc w:val="left"/>
      </w:pPr>
      <w:r>
        <w:t> </w:t>
      </w:r>
    </w:p>
    <w:p>
      <w:pPr>
        <w:pStyle w:val="TextBody"/>
        <w:bidi w:val="0"/>
        <w:jc w:val="left"/>
        <w:rPr>
          <w:rFonts w:ascii="Times New Roman" w:hAnsi="Times New Roman"/>
          <w:color w:val="000000"/>
          <w:sz w:val="21"/>
          <w:u w:val="single"/>
        </w:rPr>
      </w:pPr>
      <w:r>
        <w:rPr>
          <w:rFonts w:ascii="Times New Roman" w:hAnsi="Times New Roman"/>
          <w:color w:val="000000"/>
          <w:sz w:val="21"/>
          <w:u w:val="single"/>
        </w:rPr>
        <w:t xml:space="preserve">/s/ Maria Ostrovsky </w:t>
      </w:r>
    </w:p>
    <w:p>
      <w:pPr>
        <w:pStyle w:val="TextBody"/>
        <w:bidi w:val="0"/>
        <w:jc w:val="left"/>
        <w:rPr>
          <w:rFonts w:ascii="Times New Roman" w:hAnsi="Times New Roman"/>
          <w:color w:val="000000"/>
          <w:sz w:val="21"/>
        </w:rPr>
      </w:pPr>
      <w:r>
        <w:rPr>
          <w:rFonts w:ascii="Times New Roman" w:hAnsi="Times New Roman"/>
          <w:color w:val="000000"/>
          <w:sz w:val="21"/>
        </w:rPr>
        <w:t>Signature</w:t>
      </w:r>
    </w:p>
    <w:p>
      <w:pPr>
        <w:pStyle w:val="TextBody"/>
        <w:bidi w:val="0"/>
        <w:jc w:val="left"/>
      </w:pPr>
      <w:r>
        <w:t> </w:t>
      </w:r>
    </w:p>
    <w:p>
      <w:pPr>
        <w:pStyle w:val="TextBody"/>
        <w:bidi w:val="0"/>
        <w:jc w:val="left"/>
      </w:pPr>
      <w:r>
        <w:t> </w:t>
      </w:r>
    </w:p>
    <w:p>
      <w:pPr>
        <w:pStyle w:val="TextBody"/>
        <w:bidi w:val="0"/>
        <w:jc w:val="left"/>
        <w:rPr>
          <w:rFonts w:ascii="Times New Roman" w:hAnsi="Times New Roman"/>
          <w:color w:val="000000"/>
          <w:sz w:val="21"/>
          <w:u w:val="single"/>
        </w:rPr>
      </w:pPr>
      <w:r>
        <w:rPr>
          <w:rFonts w:ascii="Times New Roman" w:hAnsi="Times New Roman"/>
          <w:color w:val="000000"/>
          <w:sz w:val="21"/>
          <w:u w:val="single"/>
        </w:rPr>
        <w:t xml:space="preserve">Maria Ostrovsky </w:t>
      </w:r>
    </w:p>
    <w:p>
      <w:pPr>
        <w:pStyle w:val="TextBody"/>
        <w:bidi w:val="0"/>
        <w:jc w:val="left"/>
        <w:rPr>
          <w:rFonts w:ascii="Times New Roman" w:hAnsi="Times New Roman"/>
          <w:color w:val="000000"/>
          <w:sz w:val="21"/>
        </w:rPr>
      </w:pPr>
      <w:r>
        <w:rPr>
          <w:rFonts w:ascii="Times New Roman" w:hAnsi="Times New Roman"/>
          <w:color w:val="000000"/>
          <w:sz w:val="21"/>
        </w:rPr>
        <w:t>Print Name</w:t>
      </w:r>
    </w:p>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60227" TargetMode="External"/><Relationship Id="rId3" Type="http://schemas.openxmlformats.org/officeDocument/2006/relationships/hyperlink" Target="http://www.sec.gov/cgi-bin/browse-edgar?action=getcompany&amp;CIK=000184138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1043</Words>
  <Characters>5708</Characters>
  <CharactersWithSpaces>6706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