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24" w:right="80" w:hanging="424"/>
        <w:spacing w:after="0" w:line="262" w:lineRule="auto"/>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56"/>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4001770</wp:posOffset>
            </wp:positionH>
            <wp:positionV relativeFrom="paragraph">
              <wp:posOffset>-5080</wp:posOffset>
            </wp:positionV>
            <wp:extent cx="1134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640" w:type="dxa"/>
            <w:vAlign w:val="bottom"/>
            <w:gridSpan w:val="3"/>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jc w:val="right"/>
              <w:ind w:right="2161"/>
              <w:spacing w:after="0"/>
              <w:rPr>
                <w:sz w:val="20"/>
                <w:szCs w:val="20"/>
                <w:color w:val="auto"/>
              </w:rPr>
            </w:pPr>
            <w:r>
              <w:rPr>
                <w:rFonts w:ascii="Times New Roman" w:cs="Times New Roman" w:eastAsia="Times New Roman" w:hAnsi="Times New Roman"/>
                <w:sz w:val="18"/>
                <w:szCs w:val="18"/>
                <w:b w:val="1"/>
                <w:bCs w:val="1"/>
                <w:color w:val="auto"/>
              </w:rPr>
              <w:t>52-2214851</w:t>
            </w:r>
          </w:p>
        </w:tc>
        <w:tc>
          <w:tcPr>
            <w:tcW w:w="0" w:type="dxa"/>
            <w:vAlign w:val="bottom"/>
          </w:tcPr>
          <w:p>
            <w:pPr>
              <w:spacing w:after="0"/>
              <w:rPr>
                <w:sz w:val="1"/>
                <w:szCs w:val="1"/>
                <w:color w:val="auto"/>
              </w:rPr>
            </w:pPr>
          </w:p>
        </w:tc>
      </w:tr>
      <w:tr>
        <w:trPr>
          <w:trHeight w:val="148"/>
        </w:trPr>
        <w:tc>
          <w:tcPr>
            <w:tcW w:w="4640" w:type="dxa"/>
            <w:vAlign w:val="bottom"/>
            <w:gridSpan w:val="3"/>
          </w:tcPr>
          <w:p>
            <w:pPr>
              <w:jc w:val="center"/>
              <w:ind w:left="83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tcPr>
          <w:p>
            <w:pPr>
              <w:jc w:val="center"/>
              <w:ind w:right="20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64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Pr>
          <w:p>
            <w:pPr>
              <w:jc w:val="center"/>
              <w:ind w:right="20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4640" w:type="dxa"/>
            <w:vAlign w:val="bottom"/>
            <w:gridSpan w:val="3"/>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9"/>
              </w:rPr>
              <w:t>117 Kendrick St, Suite 450</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640" w:type="dxa"/>
            <w:vAlign w:val="bottom"/>
            <w:gridSpan w:val="3"/>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9"/>
              </w:rPr>
              <w:t>Needham, MA</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80" w:type="dxa"/>
            <w:vAlign w:val="bottom"/>
          </w:tcPr>
          <w:p>
            <w:pPr>
              <w:jc w:val="right"/>
              <w:ind w:right="2381"/>
              <w:spacing w:after="0"/>
              <w:rPr>
                <w:sz w:val="20"/>
                <w:szCs w:val="20"/>
                <w:color w:val="auto"/>
              </w:rPr>
            </w:pPr>
            <w:r>
              <w:rPr>
                <w:rFonts w:ascii="Times New Roman" w:cs="Times New Roman" w:eastAsia="Times New Roman" w:hAnsi="Times New Roman"/>
                <w:sz w:val="18"/>
                <w:szCs w:val="18"/>
                <w:b w:val="1"/>
                <w:bCs w:val="1"/>
                <w:color w:val="auto"/>
              </w:rPr>
              <w:t>02494</w:t>
            </w:r>
          </w:p>
        </w:tc>
        <w:tc>
          <w:tcPr>
            <w:tcW w:w="0" w:type="dxa"/>
            <w:vAlign w:val="bottom"/>
          </w:tcPr>
          <w:p>
            <w:pPr>
              <w:spacing w:after="0"/>
              <w:rPr>
                <w:sz w:val="1"/>
                <w:szCs w:val="1"/>
                <w:color w:val="auto"/>
              </w:rPr>
            </w:pPr>
          </w:p>
        </w:tc>
      </w:tr>
      <w:tr>
        <w:trPr>
          <w:trHeight w:val="190"/>
        </w:trPr>
        <w:tc>
          <w:tcPr>
            <w:tcW w:w="464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Pr>
          <w:p>
            <w:pPr>
              <w:jc w:val="center"/>
              <w:ind w:right="20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110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 916-5445</w:t>
            </w:r>
          </w:p>
        </w:tc>
        <w:tc>
          <w:tcPr>
            <w:tcW w:w="0" w:type="dxa"/>
            <w:vAlign w:val="bottom"/>
          </w:tcPr>
          <w:p>
            <w:pPr>
              <w:spacing w:after="0"/>
              <w:rPr>
                <w:sz w:val="1"/>
                <w:szCs w:val="1"/>
                <w:color w:val="auto"/>
              </w:rPr>
            </w:pPr>
          </w:p>
        </w:tc>
      </w:tr>
      <w:tr>
        <w:trPr>
          <w:trHeight w:val="432"/>
        </w:trPr>
        <w:tc>
          <w:tcPr>
            <w:tcW w:w="7740" w:type="dxa"/>
            <w:vAlign w:val="bottom"/>
            <w:gridSpan w:val="6"/>
          </w:tcPr>
          <w:p>
            <w:pPr>
              <w:jc w:val="center"/>
              <w:ind w:left="317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40" w:type="dxa"/>
            <w:vAlign w:val="bottom"/>
            <w:gridSpan w:val="3"/>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2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640" w:type="dxa"/>
            <w:vAlign w:val="bottom"/>
            <w:gridSpan w:val="3"/>
            <w:vMerge w:val="continue"/>
          </w:tcPr>
          <w:p>
            <w:pPr>
              <w:spacing w:after="0"/>
              <w:rPr>
                <w:sz w:val="16"/>
                <w:szCs w:val="16"/>
                <w:color w:val="auto"/>
              </w:rPr>
            </w:pPr>
          </w:p>
        </w:tc>
        <w:tc>
          <w:tcPr>
            <w:tcW w:w="31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jc w:val="center"/>
              <w:ind w:right="702"/>
              <w:spacing w:after="0"/>
              <w:rPr>
                <w:sz w:val="20"/>
                <w:szCs w:val="20"/>
                <w:color w:val="auto"/>
              </w:rPr>
            </w:pPr>
            <w:r>
              <w:rPr>
                <w:rFonts w:ascii="Times New Roman" w:cs="Times New Roman" w:eastAsia="Times New Roman" w:hAnsi="Times New Roman"/>
                <w:sz w:val="18"/>
                <w:szCs w:val="18"/>
                <w:b w:val="1"/>
                <w:bCs w:val="1"/>
                <w:color w:val="auto"/>
              </w:rPr>
              <w:t>CADL</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 w:right="118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4"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4"/>
          </w:cols>
          <w:pgMar w:left="436" w:top="376" w:right="439" w:bottom="95" w:gutter="0" w:footer="0" w:header="0"/>
        </w:sectPr>
      </w:pPr>
    </w:p>
    <w:bookmarkStart w:id="1" w:name="page2"/>
    <w:bookmarkEnd w:id="1"/>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3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2023, based on the closing price of $1.26 for shares of the registrant’s common stock as reported by the Nasdaq Global Market, was approximately $28.2 million. This calculation does not reflect a determination that certain persons are affiliates of the registrant for any other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March 21, 2024 was 29,347,468.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Candel Therapeutics, Inc. is filing this Amendment No. 1 on Form 10-K/A (the “Form 10-K/A”) to the Company’s Annual Report on Form 10-K for the fiscal year ended December 31, 2023 (the “Original Form 10-K”), filed with the Securities and Exchange Commission (the “SEC”) on March 28, 2024, only for the purpose of including the Part III information required under the instructions to Form 10-K and the general rules and regulations under the Securities Exchange Act of 1934, as amended (the “Exchange Act”), which information was previously omitted from the Original Form 10-K in reliance on General Instruction G(3) to Form 10-K, which permits the omitted information to be incorporated in the Original Form 10-K by reference from our definitive proxy statement if such statement is filed no later than 120 days after our fiscal year-end.</w:t>
      </w:r>
    </w:p>
    <w:p>
      <w:pPr>
        <w:spacing w:after="0" w:line="187"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This Form 10-K/A amends and restates only Part III, Items 10, 11, 12, 13, and 14, and amends Part IV, Item 15 of the Original Form 10-K. In addition, this Form 10-K/A deletes the reference on the cover of the Original Form 10-K to the incorporation by reference of portions of our proxy statement into Part III of the Original Form 10-K. No other Items of the Original Form 10-K have been amended or revised in this Form 10-K/A, and all such other Items shall be as set forth in the Original Form 10-K.</w:t>
      </w:r>
    </w:p>
    <w:p>
      <w:pPr>
        <w:spacing w:after="0" w:line="180"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In addition, pursuant to SEC rules, Item 15 of Part IV of the Original Form 10-K is hereby amended solely to include, as Exhibits 31.3 and 31.4, new certifications of our principal executive officer and principal financial officer pursuant to Rule 13a-14(a) under the Exchange Act. Because no financial statements are included in this Form 10-K/A and this Form 10-K/A does not contain or amend any disclosure with respect to Items 307 and 308 of Regulation S-K, paragraphs 3, 4, and 5 of such certifications have been omitted. We are not including new certifications required by Rule 13a-14(b) under the Exchange Act as no financial statements are included in this Form 10-K/A.</w:t>
      </w:r>
    </w:p>
    <w:p>
      <w:pPr>
        <w:spacing w:after="0" w:line="18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addition, no other information has been updated for any subsequent events occurring after March 28, 2024, the date of the filing of the Original Form 10-K. Accordingly, this Form 10-K/A should be read in conjunction with the Original Form 10-K and our other filings made with the SEC subsequent to the filing of the Original Form 10-K. Unless the context otherwise requires, references in this Form 10-K/A to “Candel,” “Candel Therapeutics,” the “Company,” “we,” “our,” or “us” mean Candel Therapeutics, Inc., a Delaware corporation, and its consolidated subsidiaries.</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w:t>
            </w:r>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III</w:t>
            </w:r>
          </w:p>
        </w:tc>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10.</w:t>
            </w:r>
          </w:p>
        </w:tc>
        <w:tc>
          <w:tcPr>
            <w:tcW w:w="41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9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11. Executive Compensation</w:t>
            </w:r>
          </w:p>
        </w:tc>
        <w:tc>
          <w:tcPr>
            <w:tcW w:w="72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12.</w:t>
            </w:r>
          </w:p>
        </w:tc>
        <w:tc>
          <w:tcPr>
            <w:tcW w:w="732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13.</w:t>
            </w:r>
          </w:p>
        </w:tc>
        <w:tc>
          <w:tcPr>
            <w:tcW w:w="548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5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14.</w:t>
            </w:r>
          </w:p>
        </w:tc>
        <w:tc>
          <w:tcPr>
            <w:tcW w:w="904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04"/>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w:t>
            </w:r>
          </w:p>
        </w:tc>
        <w:tc>
          <w:tcPr>
            <w:tcW w:w="2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89"/>
              </w:rPr>
              <w:t>IV</w:t>
            </w:r>
          </w:p>
        </w:tc>
        <w:tc>
          <w:tcPr>
            <w:tcW w:w="40" w:type="dxa"/>
            <w:vAlign w:val="bottom"/>
            <w:tcBorders>
              <w:top w:val="single" w:sz="8" w:color="0000EE"/>
            </w:tcBorders>
            <w:gridSpan w:val="2"/>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1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15.</w:t>
            </w:r>
          </w:p>
        </w:tc>
        <w:tc>
          <w:tcPr>
            <w:tcW w:w="904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Form 10-K/A.</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40" w:type="dxa"/>
            <w:vAlign w:val="bottom"/>
          </w:tcPr>
          <w:p>
            <w:pPr>
              <w:spacing w:after="0"/>
              <w:rPr>
                <w:sz w:val="16"/>
                <w:szCs w:val="16"/>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682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20" w:type="dxa"/>
            <w:vAlign w:val="bottom"/>
            <w:tcBorders>
              <w:top w:val="single" w:sz="8" w:color="auto"/>
            </w:tcBorders>
            <w:shd w:val="clear" w:color="auto" w:fill="CCEEFF"/>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Peter Tak, M.D., Ph.D., FMedSci</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Schoch</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Francesca Barone, M.D., Ph.D.</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Garrett Nichols, M.D., M.S.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Seshu Tyagarajan, Ph.D., RAC</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Technical and Development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B. Manning (2)</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Estuardo Aguilar-Cordova, M.D., inf., Ph.D.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Benz, Jr., M.D. (3)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Renee Gaeta (1)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Nicoletta Loggia, Ph.D., R.Ph. (3)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Martell (1)(3)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J. Nabel, M.D., Ph.D. (3)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Diem Nguyen, Ph.D. M.B.A. (1)(2)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Papa (2)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i w:val="1"/>
          <w:iCs w:val="1"/>
          <w:color w:val="auto"/>
        </w:rPr>
        <w:t>Paul Peter Tak, M.D., Ph.D., FMedSci</w:t>
      </w:r>
      <w:r>
        <w:rPr>
          <w:rFonts w:ascii="Times New Roman" w:cs="Times New Roman" w:eastAsia="Times New Roman" w:hAnsi="Times New Roman"/>
          <w:sz w:val="17"/>
          <w:szCs w:val="17"/>
          <w:color w:val="auto"/>
        </w:rPr>
        <w:t>, has served as President and Chief Executive Officer and as a member of the board of directors of Candel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2020. He received his medical degree cum laude from the Free University in Amsterdam and was trained as an internist, rheumatologist and immunologist at Leiden University Medical Center, where he also received his Ph.D. He has been Clinical Associate Professor of Medicine at the University of California San Diego. Next, he served as Professor of Medicine and founding Chair of the Department of Clinical Immunology and Rheumatology at the Academic Medical Centre/University Medical Center Amsterdam. During this time, he founded Arthrogen b.v., a biotech company focused on gene therapy. He has published over 590 papers in peer-reviewed journals and received numerous awards. He has been elected Honorary Senior Visiting Fellow at the University of Cambridge and Fellow of the Academy of Medical Sciences (U.K.). At GSK plc, formerly known as GlaxoSmithKline, or GSK (NYSE: GSK), he served as Senior Vice President, Chief Immunology Officer, and Global Development Leader from 2011 to 2018. In his role as Global Head of a cluster of Therapy Area Units at GSK (Dermatology, ImmunoInflammation, Infectious Disease, and Oncology), he</w:t>
      </w:r>
    </w:p>
    <w:p>
      <w:pPr>
        <w:sectPr>
          <w:pgSz w:w="11900" w:h="16846" w:orient="portrait"/>
          <w:cols w:equalWidth="0" w:num="1">
            <w:col w:w="11024"/>
          </w:cols>
          <w:pgMar w:left="436" w:top="293" w:right="439" w:bottom="0" w:gutter="0" w:footer="0" w:header="0"/>
        </w:sectPr>
      </w:pPr>
    </w:p>
    <w:bookmarkStart w:id="3" w:name="page4"/>
    <w:bookmarkEnd w:id="3"/>
    <w:p>
      <w:pPr>
        <w:spacing w:after="0" w:line="235" w:lineRule="auto"/>
        <w:rPr>
          <w:sz w:val="20"/>
          <w:szCs w:val="20"/>
          <w:color w:val="auto"/>
        </w:rPr>
      </w:pPr>
      <w:r>
        <w:rPr>
          <w:rFonts w:ascii="Times New Roman" w:cs="Times New Roman" w:eastAsia="Times New Roman" w:hAnsi="Times New Roman"/>
          <w:sz w:val="18"/>
          <w:szCs w:val="18"/>
          <w:color w:val="auto"/>
        </w:rPr>
        <w:t>oversaw the creation of a portfolio of new medicines, including anti-CCL17 antibody, gepotidacin, belimumab sc (approved in 2017 [Benlysta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 mafodotin (approved in 2020 [Blenrep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cabotegravir/rilpivirine (approved in 2021 [Cabenuva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tapinarof (acquired by Dermavant Sciences; approved in 2022 [VTAMAR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He was the Chair of the Scientific Review Board, the governing body accountable for the scientific assessment of GSK’s R&amp;D portfolio. He was also the President and CEO of Tempero Pharmaceuticals, which was integrated into GSK in 2015. From 2018 to 2020, Dr. Tak served as venture partner at Flagship Pioneering and also as President and CEO of Kintai Therapeutics (merged with Senda Biosciences). In addition, he has served as board director of Galvani Bioelectronics, ViiV Healthcare Ltd., and Omega Therapeutics. Currently, he is also on the board of Sitryx Therapeutics (co-founder), Levicept, and Citryll. He is a 2021 PharmaVOICE100 honoree (100 most inspiring people in life sciences). We believe Dr. Tak’s scientific expertise, extensive managerial and operational experience in the biotechnology industry, and familiarity with Candel as our Chief Executive Officer provide him with the appropriate set of skills to serve as a member of our board of directors.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121"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Charles Schoch </w:t>
      </w:r>
      <w:r>
        <w:rPr>
          <w:rFonts w:ascii="Times New Roman" w:cs="Times New Roman" w:eastAsia="Times New Roman" w:hAnsi="Times New Roman"/>
          <w:sz w:val="18"/>
          <w:szCs w:val="18"/>
          <w:color w:val="auto"/>
        </w:rPr>
        <w:t>has served as Candel’s interim Chief Financial Officer, principal financial officer and principal accounting officer, since January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previously served as Candel’s Vice President of Finance and Corporate Controller from March 2023 to January 2024. Mr. Schoch joined Candel in November 2021 as Corporate Controller and has served in various financial reporting and accounting positions of increasing responsibility. Prior to joining Candel, Mr. Schoch was the Corporate Controller at Corbus Pharmaceuticals from September 2020 to November 2021 and previously worked in the Health Industry assurance practice of PricewaterhouseCoopers from September 2013 to August 2020. Mr. Schoch holds an M.B.A. and M.S.A. from Northeastern University and a B.S. in Business Administration with a concentration in Finance from Elon University. Mr. Schoch is a Certified Public Accountant in the Commonwealth of Massachusetts.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Francesca Barone, M.D., Ph.D.</w:t>
      </w:r>
      <w:r>
        <w:rPr>
          <w:rFonts w:ascii="Times New Roman" w:cs="Times New Roman" w:eastAsia="Times New Roman" w:hAnsi="Times New Roman"/>
          <w:sz w:val="18"/>
          <w:szCs w:val="18"/>
          <w:color w:val="auto"/>
        </w:rPr>
        <w:t>, has been Candel’s Chief Scientific Officer since February 2022 and previously served as our Vice President, 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from November 2020 to February 2022. She joined Candel in November 2020 as head of experimental medicine and discovery, overseeing the implementation of biological measures of outcome and biomarker studies in the clinical pipeline, and directing the design of Candel’s novel discovery platform. Before joining Candel, Dr. Barone served as VP and Head of Experimental Medicine at Kintai Therapeutics, Inc, a Flagship Pioneering, Inc. company, from May 2019 through its merger into Senda Biosciences, Inc., in November 2021. Prior to moving to industry, Dr. Barone served as Reader (Associate Professor) in Experimental Rheumatology at the University of Birmingham (UK) from February 2010 until December 2019. During her tenure she also served as Academic Director of Business Engagement for the College of Medical and Dental Sciences and Director of the laboratories for Immuno-phenotyping in the Institute of Translational Medicine. She has published extensively in peer-reviewed journals, was the recipient of two fellowships to support her research program and led efforts to establish collaborative alliances between the University of Birmingham and world leader pharmacology industries. She received her medical degree cum laude from the University of Rome, Sapienza and was trained in the same university as a Rheumatologist. She received her Ph.D. at Kings College, London.</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W. Garrett Nichols, M.D., M.S.</w:t>
      </w:r>
      <w:r>
        <w:rPr>
          <w:rFonts w:ascii="Times New Roman" w:cs="Times New Roman" w:eastAsia="Times New Roman" w:hAnsi="Times New Roman"/>
          <w:sz w:val="18"/>
          <w:szCs w:val="18"/>
          <w:color w:val="auto"/>
        </w:rPr>
        <w:t>, has been Candel’s Chief Medical Officer since September 2022. Dr. Nichols has also served as the Chief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Istari Oncology, Inc. since April 2020. Previously, Dr. Nichols served as the Chief Medical Officer of Chimerix, Inc., from September 2014 until April 2020. From April 2014 until September 2014, Dr. Nichols was Head of Global Development of ViiV Healthcare, LTD. Dr. Nichols served in various positions of increasing responsibility at GSK from December 2008 until April 2014, most recently serving as Vice President of Clinical Development and Medicine Development Leader for Dolutegravir (Tivicay, S/GSK1349572, HIV Integrase Inhibitor). Dr. Nichols received an M.D. from Duke University School of Medicine, an M.S. in Epidemiology and Biostatistics from the University of Washington, and a B.A. from the University of Virginia.</w:t>
      </w:r>
    </w:p>
    <w:p>
      <w:pPr>
        <w:spacing w:after="0" w:line="183" w:lineRule="exact"/>
        <w:rPr>
          <w:sz w:val="20"/>
          <w:szCs w:val="20"/>
          <w:color w:val="auto"/>
        </w:rPr>
      </w:pPr>
    </w:p>
    <w:p>
      <w:pPr>
        <w:ind w:left="120" w:right="40"/>
        <w:spacing w:after="0" w:line="248" w:lineRule="auto"/>
        <w:rPr>
          <w:sz w:val="20"/>
          <w:szCs w:val="20"/>
          <w:color w:val="auto"/>
        </w:rPr>
      </w:pPr>
      <w:r>
        <w:rPr>
          <w:rFonts w:ascii="Times New Roman" w:cs="Times New Roman" w:eastAsia="Times New Roman" w:hAnsi="Times New Roman"/>
          <w:sz w:val="18"/>
          <w:szCs w:val="18"/>
          <w:i w:val="1"/>
          <w:iCs w:val="1"/>
          <w:color w:val="auto"/>
        </w:rPr>
        <w:t>Seshu Tyagarajan, Ph.D., RAC</w:t>
      </w:r>
      <w:r>
        <w:rPr>
          <w:rFonts w:ascii="Times New Roman" w:cs="Times New Roman" w:eastAsia="Times New Roman" w:hAnsi="Times New Roman"/>
          <w:sz w:val="18"/>
          <w:szCs w:val="18"/>
          <w:color w:val="auto"/>
        </w:rPr>
        <w:t>, has been Chief Technical and Development Officer at Candel Therapeutics since April 2022. She brings over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of technical, manufacturing and development experience in biologics and cell and gene therapies (CGT). Before joining Candel, Dr. Tyagarajan served as Executive Director and Global Head, Late Stage CMC Strategy for CGT at Novartis AG, or Novartis (NYSE: NVS), from August 2020 to February 2022. She also served as the Business Leader of Microsoft-NVS AI Partnership at Novartis from August 2019 to March 2021. Prior to that, Dr. Tyagarajan served as Director and Global Program CMC Team Leader for CAR-T at Novartis from June 2014 to July 2020. As a member of the Novartis leadership team, she was responsible for building a CGT pipeline by integrating, development and manufacturing, and for driving clinical and commercial manufacturing strategy for the CAR-T platform. She successfully led several BLAs/MAAs and INDs and was a key contributor to the groundbreaking BLA submission for Kymriah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first ever CAR-T therapy approved by the FDA. Prior to Novartis, Dr. Tyagarajan held roles of increasing responsibility at Merck &amp; Co Inc. (NYSE: MRK), Roche Holding AG (OTCM: RRHBY), Biogen Idec (now Biogen Inc. (Nasdaq: BIIB)), and ImClone, a subsidiary of Eli Lilly and Co. (NYSE: LLY). Dr. Tyagarajan holds a Ph.D. in Chemical and Biochemical Engineering from Rutgers University and an M.S. in Bioengineering from Purdue University.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Paul B. Manning </w:t>
      </w:r>
      <w:r>
        <w:rPr>
          <w:rFonts w:ascii="Times New Roman" w:cs="Times New Roman" w:eastAsia="Times New Roman" w:hAnsi="Times New Roman"/>
          <w:sz w:val="18"/>
          <w:szCs w:val="18"/>
          <w:color w:val="auto"/>
        </w:rPr>
        <w:t>has served as a member of Candel’s board of directors since November 2018. Mr. Manning currently serves as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PBM Capital Group, LLC, or PBM Capital, a private equity investment firm in the business of investing in healthcare and life-science related companies, which he founded in 2010. Mr. Manning is a member of the board of directors of Liquidia Corporation (Nasdaq: LQDA) and Taysha Gene Therapies, Inc. (Nasdaq: TSHA), and he currently serves as Chairman of the board of directors of Verrica Pharmaceuticals Inc. (Nasdaq: VRCA). He previously served on the board of directors of Dova Pharmaceuticals, Inc., a biopharmaceutical company, from September 2016 to November 2019, and AveXis, Inc., a gene therapy company, from April 2014 to May 2018. Mr. Manning received a B.S. in microbiology from the University of Massachusetts. We believe Mr. Manning’s 30 years of managerial and operational experience in the healthcare industry and as an investor in healthcare related companies provides him with the appropriate set of skills to serve as a member of our board of directors.</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Estuardo Aguilar-Cordova, M.D., inf., Ph.D.</w:t>
      </w:r>
      <w:r>
        <w:rPr>
          <w:rFonts w:ascii="Times New Roman" w:cs="Times New Roman" w:eastAsia="Times New Roman" w:hAnsi="Times New Roman"/>
          <w:sz w:val="18"/>
          <w:szCs w:val="18"/>
          <w:color w:val="auto"/>
        </w:rPr>
        <w:t>, is Candel’s Founder, previously served as Candel’s Chief Scientific Officer from September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2022 and as Candel’s Chief Executive Officer from 2002 until September 2020, and has served as a member of Candel’s board of directors since 2003. He has more than 30 years of experience in the fields of biotherapeutics, cancer research and drug development, including serving as principal or co-investigator in more than 25 clinical trials ranging from Phase I to Phase III. Prior to starting Candel, Dr. Aguilar-Cordova held academic positions for nearly two decades. Most recently, he was deputy director of the Harvard Gene Therapy Initiative at Harvard Medical School in Boston and was a faculty member in Pediatrics, Hematology-Oncology at Baylor College of Medicine in Houston. He has served on numerous national oversight committees, including roles as chairman and member of the NIH Recombinant Advisory Committee (RAC), as a consultant to the FDA Biological Response Modifiers Advisory Committee (BRMAC), and as a member of the Vaccine and Related Products Advisory Committee (VRPAC).</w:t>
      </w:r>
    </w:p>
    <w:p>
      <w:pPr>
        <w:spacing w:after="0" w:line="3" w:lineRule="exact"/>
        <w:rPr>
          <w:sz w:val="20"/>
          <w:szCs w:val="20"/>
          <w:color w:val="auto"/>
        </w:rPr>
      </w:pPr>
    </w:p>
    <w:p>
      <w:pPr>
        <w:ind w:left="120" w:right="220"/>
        <w:spacing w:after="0" w:line="252" w:lineRule="auto"/>
        <w:rPr>
          <w:sz w:val="20"/>
          <w:szCs w:val="20"/>
          <w:color w:val="auto"/>
        </w:rPr>
      </w:pPr>
      <w:r>
        <w:rPr>
          <w:rFonts w:ascii="Times New Roman" w:cs="Times New Roman" w:eastAsia="Times New Roman" w:hAnsi="Times New Roman"/>
          <w:sz w:val="18"/>
          <w:szCs w:val="18"/>
          <w:color w:val="auto"/>
        </w:rPr>
        <w:t>Dr. Aguilar-Cordova has also held other appointments including president of the Latin American Gene Therapy Society. Dr. Aguilar-Cordova has published more than 80 peer-reviewed scientific publications and book chapters, is on the editorial board of various professional journals and is an inventor on several patent applications. Dr. Aguilar-Cordova has an undergraduate degree in Biology and Chemistry from California State University, Bakersfield, an M.D. Inf. from the University del Valle de Guatemala and a Ph.D. from the University of California, Davis. We believe Dr. Aguilar-Cordova’s experience and expertise in the fields of hematology and oncology, and his knowledge of Candel as a Founder and former executive officer provide him with the appropriate set of skills to serve as a member of our board of directors.</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Edward J. Benz, Jr., M.D.</w:t>
      </w:r>
      <w:r>
        <w:rPr>
          <w:rFonts w:ascii="Times New Roman" w:cs="Times New Roman" w:eastAsia="Times New Roman" w:hAnsi="Times New Roman"/>
          <w:sz w:val="18"/>
          <w:szCs w:val="18"/>
          <w:color w:val="auto"/>
        </w:rPr>
        <w:t>, has served as a member of Candel’s board of directors since September 2017. Dr. Benz is the President and CEO Emeritus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Dana-Farber Cancer Institute and a member of the Dana-Farber Cancer Institute Board of Directors. Dr. Benz is an expert in blood disorders and is board certified in both hematology and internal medicine. He is an active clinical hematologist and a National Institutes of Health, or NIH, funded researcher with a focus on the molecular basis and genetics around inherited blood disorders. From October 2000 until his retirement in October 2016, Dr. Benz served as President and CEO of Dana-Faber Cancer Institute and the Richard and Susan Smith Professor of Medicine and Professor of Genetics at Harvard Medical School. Prior to his role at Dana-Farber, Dr. Benz served as chairman for the Department of Medicine and Sir William Osler Professor of Medicine at Johns Hopkins University School of Medicine, as well as physician in chief at Johns Hopkins Hospital. Dr. Benz has also served as President of the American Society of Hematology, the Association of American Cancer Institutes, the American Society for Clinical Investigation, the American Clinical and Climatological Society, and the Friends of the National Institute of Nursing Research. Over the course of his career, Dr. Benz has authored more than 300 articles, books, reviews and abstracts and has received numerous awards. Dr. Benz serves on the board of directors of Deciphera Pharmaceuticals, Inc. (Nasdaq: DCPH), and CoRegen, Inc., and he serves on our Research Advisory Board. Dr. Benz previously served on the board of directors of F Star Therapeutics, Inc. (formerly Nasdaq: FSTX) and Renovacor (formerly NYSE: RCOR). We believe Dr. Benz’s experience in the field of hematology and blood disorders provides him with the appropriate set of skills to serve as a member of our board of directors.</w:t>
      </w:r>
    </w:p>
    <w:p>
      <w:pPr>
        <w:spacing w:after="0" w:line="187" w:lineRule="exact"/>
        <w:rPr>
          <w:sz w:val="20"/>
          <w:szCs w:val="20"/>
          <w:color w:val="auto"/>
        </w:rPr>
      </w:pPr>
    </w:p>
    <w:p>
      <w:pPr>
        <w:ind w:left="120" w:right="6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Renee Gaeta </w:t>
      </w:r>
      <w:r>
        <w:rPr>
          <w:rFonts w:ascii="Times New Roman" w:cs="Times New Roman" w:eastAsia="Times New Roman" w:hAnsi="Times New Roman"/>
          <w:sz w:val="17"/>
          <w:szCs w:val="17"/>
          <w:color w:val="auto"/>
        </w:rPr>
        <w:t>has served as a member of Candel’s board of directors since August 2022. Ms. Gaeta also serves as the Chief Financial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Shockwave Medical (NASDAQ: SWAV), a position she has held since February 2024. Prior to that, from July 2021 to February 2024, Ms. Gaeta served as Chief Financial Officer of Eko Devices, Inc., a private company focused on cardiopulmonary digital health solutions, a position she has held since July 2021. Prior to that, from July 2017 to July 2021, Ms. Gaeta was Chief Financial Officer at Establishment Labs Holdings, Inc., a publicly traded global medical device company focused on aesthetic technologies. From August 2014 to June 2017, Ms. Gaeta was Vice President and Corporate Controller at Sientra, Inc., a publicly traded global medical aesthetics company, where she was a member of the executive team and headed the finance</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department. From 2004 to 2014, Ms. Gaeta worked at KPMG, LLP, or KPMG. Ms. Gaeta held various positions at KPMG, most recently as an Advisory Director in the Transactions and Restructuring Group. Ms. Gaeta also served as a director of SeaSpine Holdings Corp (Nasdaq: SPNE) from February 2019 until January 2023, when it was acquired by Orthofix Medical Inc. (Nasdaq: OFIX). Ms. Gaeta received her B.S., cum laude, in Accounting from Loyola Marymount University and is a Certified Public Accountant in the State of California. We believe Ms. Gaeta’s extensive experience and expertise in financial operations, particularly in the medical device industry, provide her with the appropriate set of skills to serve as a member of our board of directors.</w:t>
      </w:r>
    </w:p>
    <w:p>
      <w:pPr>
        <w:spacing w:after="0" w:line="18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Nicoletta Loggia, Ph.D., R.Ph.</w:t>
      </w:r>
      <w:r>
        <w:rPr>
          <w:rFonts w:ascii="Times New Roman" w:cs="Times New Roman" w:eastAsia="Times New Roman" w:hAnsi="Times New Roman"/>
          <w:sz w:val="18"/>
          <w:szCs w:val="18"/>
          <w:color w:val="auto"/>
        </w:rPr>
        <w:t>, has served as a member of Candel’s board of directors since June 2023. Dr. Loggia also serves as chief technical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Orchard Therapeutics plc (Nasdaq: ORTX), a position she has held since September 2021. Prior to that, from 2004 to August 2021, Dr. Loggia served in various positions at Novartis AG (NYSE: NVS), most recently as Global Head of Cell and Gene Therapies from April 2020 to August 2021, as Global Head of Technical Development Biologics and Cell Gene Therapies from January 2019 to April 2020, and as Global Head of Technical Development of Novel Biologic Entities and Early Phase Project Management from 2015 until December 2018. Earlier in her career, Dr. Loggia served as a Formulation Senior and Principal Scientist at Pfizer (NYSE: PFE). Dr. Loggia is also an advisory board member of Sarcura GmbH, a position she has held since May 2022. Dr. Loggia received her master’s degree in Chemistry and Pharmaceutical Technologies, and her Ph.D. in Pharmaceutical Technologies, from the University of Pavia. Dr. Loggia also received her accreditation from the Startup Board Member Academy of the École polytechnique fédérale de Lausanne. We believe Dr. Loggia’s experience and expertise in biopharmaceutical manufacturing and technical operations provides her with the appropriate set of skills to serve as a member of our board of directors.</w:t>
      </w:r>
    </w:p>
    <w:p>
      <w:pPr>
        <w:spacing w:after="0" w:line="18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Christopher Martell </w:t>
      </w:r>
      <w:r>
        <w:rPr>
          <w:rFonts w:ascii="Times New Roman" w:cs="Times New Roman" w:eastAsia="Times New Roman" w:hAnsi="Times New Roman"/>
          <w:sz w:val="18"/>
          <w:szCs w:val="18"/>
          <w:color w:val="auto"/>
        </w:rPr>
        <w:t>has served as a member of Candel’s board of directors since November 2018. Mr. Martell is the manager of GTAM1 2012 ADV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and an investor at Martell Capital. Previously, Mr. Martell was a Partner at PBM Capital in 2018. Prior to joining PBM Capital, Mr. Martell had an 18-year career at J.P. Morgan where he was a managing director in the Healthcare Investment Banking and Mergers and Acquisitions groups. He led the execution of a wide range of transactions including mergers and acquisitions, spin-offs and corporate separations, initial public offerings and equity and debt financings for medical device, life science tool and diagnostic, pharmaceutical and biotechnology companies. Mr. Martell graduated from Yale University with a B.A. in Ethics, Politics and Economics. We believe Mr. Martell’s broad financial and investment banking experience, financial and transactional expertise and acumen in mergers and acquisitions and complex financial transactions provides him with the appropriate set of skills to serve as a member of our board of directors.</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Gary J. Nabel, M.D., Ph.D.</w:t>
      </w:r>
      <w:r>
        <w:rPr>
          <w:rFonts w:ascii="Times New Roman" w:cs="Times New Roman" w:eastAsia="Times New Roman" w:hAnsi="Times New Roman"/>
          <w:sz w:val="18"/>
          <w:szCs w:val="18"/>
          <w:color w:val="auto"/>
        </w:rPr>
        <w:t>, has served as a member of Candel’s board of directors since August 2022. Dr. Nabel, a renowned virologist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immunologist, has served as Chief Innovation Officer of OPKO Health, Inc., or OPKO Health (Nasdaq: OPK), and as a member of its board of directors since May 2022. Dr. Nabel also serves as President and Chief Executive Officer of ModeX Therapeutics, Inc., or ModeX, a wholly-owned subsidiary of OPKO Health, since November 2020 when he co-founded ModeX prior to its merger with OPKO Health. Dr. Nabel previously served as Chief Scientific Officer and Senior Vice President of Sanofi, S.A. from 2012 to November 2020, where he directed the breakthrough laboratory that developed tri-specific products now in early clinical development. He was the founding director of the National Institute of Health’s Vaccine Research Center, working on vaccines and broadly neutralizing antibodies against HIV, influenza, SARS, Ebola, Chikungunya and Epstein-Barr virus. He was previously an investigator at the Howard Hughes Medical Institute at the University of Michigan from 1987 to 1999. In recognition of his expertise at the forefront of virology, immunology, gene therapy and molecular biology, Dr. Nabel was elected to the National Academy of Medicine, is a fellow of the American Association of Physicians and the American Academy of Arts Sciences, and was awarded the Geoffrey Beene Builders of Science Award from Research!America. He has served on the board of Siga Technologies, Inc. (Nasdaq: SIGA) since 2021. Dr. Nabel graduated magna cum laude from Harvard College in 1975 and completed his Ph.D. in 1980 and his M.D. two years later, each from Harvard, followed by a post-doctoral fellowship at the Whitehead Institute. We believe Dr. Nabel’s broad experience in leadership roles and expertise in the pharmaceutical and biotechnology industries provide him with the appropriate set of skills to serve as a member of our board of directors.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Diem Nguyen, Ph.D., M.B.A.</w:t>
      </w:r>
      <w:r>
        <w:rPr>
          <w:rFonts w:ascii="Times New Roman" w:cs="Times New Roman" w:eastAsia="Times New Roman" w:hAnsi="Times New Roman"/>
          <w:sz w:val="18"/>
          <w:szCs w:val="18"/>
          <w:color w:val="auto"/>
        </w:rPr>
        <w:t>, has served as a member of Candel’s board of directors since July 2021. Dr. Nguyen also serves as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SIGA Technologies, Inc. (Nasdaq: SIGA), a position she has held since January 2024. Prior to that, from October 2020 to January 2024, Dr. Nguyen served as the Chief Executive Officer and member of the board of directors of Xalud Therapeutics, Inc., a private biotechnology company, which is majority-owned by PBM Capital. Previously, Dr. Nguyen was the Executive Vice President of PPD, Inc. a leading global clinical research organization providing drug development services, a position she held from April 2018 to April 2020. Since 2008, Dr. Nguyen has held various leadership roles at Pfizer Inc. (NYSE: PFE), last serving as Global President, Americas of Pfizer Essential Health from January 2017 to March 2018. Dr. Nguyen is a director at Verrica Pharmaceuticals Inc. (Nasdaq: VRCA), Vitara Biomedical, Inc. and Children’s Hospital of Philadelphia. She received a B.A. in Chemistry with Specialization in Biochemistry and a Ph.D. in Biochemistry and Molecular Genetics from the University of Virginia, and an M.B.A. in General Management from the University of Virginia’s Darden Graduate School of Business Administration. We believe that Dr. Nguyen’s managerial, commercial and medical experience in the pharmaceutical industry provides her with the appropriate set of skills to serve as a member of our board of directors.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Joseph C. Papa </w:t>
      </w:r>
      <w:r>
        <w:rPr>
          <w:rFonts w:ascii="Times New Roman" w:cs="Times New Roman" w:eastAsia="Times New Roman" w:hAnsi="Times New Roman"/>
          <w:sz w:val="18"/>
          <w:szCs w:val="18"/>
          <w:color w:val="auto"/>
        </w:rPr>
        <w:t>has served as a member of Candel’s board of directors since August 2022. Mr. Papa also serves as the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Emergent BioSolutions (NYSE: EBS), a position he has held since February 2024. Mr. Papa previously served as the interim Chief Executive Officer of Bausch + Lomb Corporation (NYSE: BLCO) from July 2022 to March 2023, and he previously served as chairman of the board of directors and Chief Executive Officer of Bausch + Lomb Corporation from May 2022 to July 2022. Mr. Papa also served as chairman of the board of directors and Chief Executive Officer of Bausch Health Companies Inc. (NYSE: BHC) from May 2016 to May 2022. Mr. Papa has more than 35 years of experience in the pharmaceutical, healthcare and specialty pharmaceutical industries, including 20 years of branded prescription drug experience. He served as the Chief Executive Officer of Perrigo Company plc, or Perrigo, from 2006 to April 2016, where he also served as chairman of the board of directors from 2007 to April 2016. Prior to joining Perrigo, Mr. Papa served from 2004 to 2006 as chairman and Chief Executive Officer of the Pharmaceutical and Technologies Services segment of Cardinal Health, Inc. From 2001 to 2004, he served as President and Chief Operating Officer of Watson Pharmaceuticals, Inc., or Watson. Prior to joining Watson, Mr. Papa held management positions at DuPont Pharmaceuticals, Pharmacia/Searle and Novartis AG. Mr. Papa joined the board of directors of Prometheus Biosciences, Inc. (Nasdaq: RXDX), a publicly traded biopharmaceutical company, in August 2020, and previously served as a director of Smith &amp; Nephew plc (NYSE: SNN), a publicly traded medical device company, from 2008 to April 2018. Mr. Papa holds a B.S. in pharmacy from the University of Connecticut and an M.B.A. from Northwestern University’s Kellogg Graduate School of Management. We believe Mr. Papa’s substantial leadership experience in the pharmaceutical industry provides him with the appropriate set of skills to serve as a member of our board of directors.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equity securities to file reports of holdings and transactions in securities of the Company with the SEC.</w:t>
      </w:r>
    </w:p>
    <w:p>
      <w:pPr>
        <w:spacing w:after="0" w:line="162"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Based solely on a review of Forms 3, 4 and 5 and any amendments thereto filed electronically with the Securities and Exchange Commission with respect to the most recent fiscal year and written representations from the reporting persons, we believe all Section 16(a) filing requirements were satisfied in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The Code of Business Conduct and Ethics applies to all of our employees, officers (including our principal executive officer, principal financial officer, principal accounting officer or controller or persons performing similar functions), agents and representatives, including directors and consultants.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full text of our Code of Business Conduct and Ethics is posted on our website at </w:t>
      </w:r>
      <w:r>
        <w:rPr>
          <w:rFonts w:ascii="Times New Roman" w:cs="Times New Roman" w:eastAsia="Times New Roman" w:hAnsi="Times New Roman"/>
          <w:sz w:val="18"/>
          <w:szCs w:val="18"/>
          <w:i w:val="1"/>
          <w:iCs w:val="1"/>
          <w:color w:val="auto"/>
        </w:rPr>
        <w:t>ir.candeltx.com</w:t>
      </w:r>
      <w:r>
        <w:rPr>
          <w:rFonts w:ascii="Times New Roman" w:cs="Times New Roman" w:eastAsia="Times New Roman" w:hAnsi="Times New Roman"/>
          <w:sz w:val="18"/>
          <w:szCs w:val="18"/>
          <w:color w:val="auto"/>
        </w:rPr>
        <w:t>. We intend to disclose future amendments to certain provisions of our Code of Business Conduct and Ethics on our website. The inclusion of our website address in this Form 10-K/A does not include or incorporate by reference the information on our website into this Form 10-K/A or into the Original Form 10-K, and you should not consider that information a part of this Form 10-K/A or the Original Form 10-K.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light of the SEC’s adoption of final clawback rules in October 2022 and the Nasdaq’s adoption of final listing standards consistent with the SEC rules, we adopted a Compensation Recovery Policy effective as of October 2, 2023. If we are required to prepare an accounting restatement due to material non-compliance with any financial reporting requirements, the Compensation Recovery Policy requires (subject to certain limited exceptions described in the policy and permitted by the final clawback rules) that we recover erroneously awarded compensation received by any current or former executive officer in the three fiscal years prior to the date we were required to restate our financial statements that is in excess of the amount that would have been received based on the restated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Christopher Martell, Renee Gaeta and Diem Nguyen, Ph.D., M.B.A. Mr. Martell is the chair of the audit committee. Our board of directors has determined that all members of our audit committee meet the requirements for financial literacy under the applicable rules and regulations of the SEC and the Nasdaq listing rules and that Ms. Gaeta is an “audit committee financial expert” (within the meaning of applicable SEC regulations). Each of the members of the audit committee is independent pursuant to applicable Nasdaq listing standards.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Director Nominees by Stockholders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our stockholders may recommend nominees to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and amended and restated bylaws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8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payments of dividends;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also authorizes us to indemnify our officers, directors and other agents to the fullest extent permitted under Delaware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permitted by Delaware law, our amended and restated bylaws provide that:</w:t>
      </w:r>
    </w:p>
    <w:p>
      <w:pPr>
        <w:spacing w:after="0" w:line="13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that is provided for in our amended and restated certificate of incorporation and amended and restated bylaws, we have entered into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Original Form 10-K.</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and earned by each individual who served as our principal executive officer at any time during the year ended December 31, 2023 and to our next two most highly compensated executive officers in respect of their service to our company for our year ended December 31, 2023. We refer to these individuals as our named executive officers. Our named executive officers are:</w:t>
      </w:r>
    </w:p>
    <w:p>
      <w:pPr>
        <w:spacing w:after="0" w:line="89" w:lineRule="exact"/>
        <w:rPr>
          <w:sz w:val="20"/>
          <w:szCs w:val="20"/>
          <w:color w:val="auto"/>
        </w:rPr>
      </w:pPr>
    </w:p>
    <w:p>
      <w:pPr>
        <w:ind w:left="1080" w:hanging="5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Peter Tak, M.D., Ph.D., FMedSci, our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Francesca Barone, M.D., Ph.D., our Chief Scientific Officer;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A. Amello, our former Chief Financial Officer, Treasurer and Secretary.*</w:t>
      </w:r>
    </w:p>
    <w:p>
      <w:pPr>
        <w:spacing w:after="0" w:line="130" w:lineRule="exact"/>
        <w:rPr>
          <w:rFonts w:ascii="Times New Roman" w:cs="Times New Roman" w:eastAsia="Times New Roman" w:hAnsi="Times New Roman"/>
          <w:sz w:val="18"/>
          <w:szCs w:val="18"/>
          <w:color w:val="auto"/>
        </w:rPr>
      </w:pPr>
    </w:p>
    <w:p>
      <w:pPr>
        <w:ind w:left="540" w:right="62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Amello resigned as Chief Financial Officer, Treasurer and Secretary and his employment with the Company terminated effective as of January 12,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We evaluate our compensation values and philosophy and compensation plans and arrangements as circumstances require. At a minimum, we review executive compensation annually with input from a compensation consultant. As part of this review process, the board of directors and the compensation committee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and earned by our named executive officers for services rendered to us in all capacities during our years ended December 31, 2023 and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0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4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1100" w:type="dxa"/>
            <w:vAlign w:val="bottom"/>
          </w:tcPr>
          <w:p>
            <w:pPr>
              <w:jc w:val="right"/>
              <w:ind w:right="98"/>
              <w:spacing w:after="0" w:line="160"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Paul Peter Tak, M.D., Ph.D, FMedSci,</w:t>
            </w: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670,000</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176,506</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189,558</w:t>
            </w: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134,000</w:t>
            </w:r>
          </w:p>
        </w:tc>
        <w:tc>
          <w:tcPr>
            <w:tcW w:w="11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314,695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1,484,759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670,000</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334,999</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351,043</w:t>
            </w: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259,625</w:t>
            </w:r>
          </w:p>
        </w:tc>
        <w:tc>
          <w:tcPr>
            <w:tcW w:w="11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229,304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1,844,971</w:t>
            </w:r>
          </w:p>
        </w:tc>
        <w:tc>
          <w:tcPr>
            <w:tcW w:w="0" w:type="dxa"/>
            <w:vAlign w:val="bottom"/>
          </w:tcPr>
          <w:p>
            <w:pPr>
              <w:spacing w:after="0"/>
              <w:rPr>
                <w:sz w:val="1"/>
                <w:szCs w:val="1"/>
                <w:color w:val="auto"/>
              </w:rPr>
            </w:pPr>
          </w:p>
        </w:tc>
      </w:tr>
      <w:tr>
        <w:trPr>
          <w:trHeight w:val="196"/>
        </w:trPr>
        <w:tc>
          <w:tcPr>
            <w:tcW w:w="28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Francesca Barone, M.D., Ph.D. Chief</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Scientific Officer</w:t>
            </w: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413,005</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110,534</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89,577</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80,560</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13,200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706,876</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362,192</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155,400</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233,988</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144,522</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12,200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908,302</w:t>
            </w:r>
          </w:p>
        </w:tc>
        <w:tc>
          <w:tcPr>
            <w:tcW w:w="0" w:type="dxa"/>
            <w:vAlign w:val="bottom"/>
          </w:tcPr>
          <w:p>
            <w:pPr>
              <w:spacing w:after="0"/>
              <w:rPr>
                <w:sz w:val="1"/>
                <w:szCs w:val="1"/>
                <w:color w:val="auto"/>
              </w:rPr>
            </w:pPr>
          </w:p>
        </w:tc>
      </w:tr>
      <w:tr>
        <w:trPr>
          <w:trHeight w:val="196"/>
        </w:trPr>
        <w:tc>
          <w:tcPr>
            <w:tcW w:w="28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Jason A. Amello, Former Chief</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 (4)</w:t>
            </w:r>
          </w:p>
        </w:tc>
        <w:tc>
          <w:tcPr>
            <w:tcW w:w="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466,045</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123,203</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89,577</w:t>
            </w:r>
          </w:p>
        </w:tc>
        <w:tc>
          <w:tcPr>
            <w:tcW w:w="11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13,200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0" w:hanging="424"/>
        <w:spacing w:after="0" w:line="254"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and “Option Awards” columns reflect the aggregate grant date fair value of share-based compensation awarded during the indicated year computed in accordance with the provisions of Financial Accounting Standards Board ASC Topic 718. See Note 11 to our consolidated financial statements in the Original Form 10-K regarding assumptions underlying the valuation of equity awards. The amounts reported in the “Option Awards” column in 2023 include the grant date fair value of performance-based option awards granted to Dr. Tak, assuming probable achievement, which is also maximum achievement.</w:t>
      </w:r>
    </w:p>
    <w:p>
      <w:pPr>
        <w:spacing w:after="0" w:line="3"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annual bonuses earned based upon the achievement of company and individual performance metrics. Amounts reflected are paid in the year subsequent to the performance year.</w:t>
      </w:r>
    </w:p>
    <w:p>
      <w:pPr>
        <w:ind w:left="540" w:right="6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for 2023 consists of the following: (1) 401K employer match and (2) for Dr. Tak only, $301,495 of housing and travel benefits.</w:t>
      </w: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Amello resigned as Chief Financial Officer and his employment with the Company terminated effective as of January 12, 2024.</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and may be adjusted from time to time to realign salaries with market levels after taking into account individual responsibilities, performance, and experience.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2023, the annual base salaries for Dr. Tak, Dr. Barone and Mr. Amello were $670,000, $413,005, and $466,045,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2023, each of the named executive officers was eligible to earn an annual cash bonus based on the achievement of certain corporate and individual performance milestones. The target annual bonuses for each of Dr. Tak, Dr. Barone and Mr. Amello for the fiscal year ended December 31, 2023 were 50%, 40% and 40% of annual base salary, respectively. Mr. Amello did not earn a bonus for fiscal year 2023 as he was not employed at the time bonuses for 2023 were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in the form of stock options or stock awards.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typically grant stock option awards at the start of employment to each executive officer and our other employees. We also grant awards of stock options and restricted stock units on an annual basis for retention purposes. We award our stock options and restricted stock units on the date our board of directors or compensation committee approves the grant. We set the option exercise price equal to the fair market value of our common stock on the date of grant.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(the 401(k) Plan) that provides eligible U.S. employees with an opportunity to save for retirement on a tax advantaged basis. Eligible employees are able to defer eligible compensation subject to applicable annual Code limits. Employees’ pre-tax or Roth contributions are allocated to each participant’s individual account and are then invested in selected investment alternatives according to the participants’ directions. Employees are immediately and fully vested in their contributions. Our 401(k) Plan is intended to be qualified under</w:t>
      </w:r>
    </w:p>
    <w:p>
      <w:pPr>
        <w:spacing w:after="0" w:line="3"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Section 401(a) of the Code with our 401(k) Plan’s related trust intended to be tax exempt under Section 501(a) of the Code. As a tax-qualified retirement plan, contributions to our 401(k) Plan and earnings on those contributions are not taxable to the employees until distributed from our 401(k) Plan.</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our medical, dental and vision insurance plans, in each case on the same basis as all of our other full-time employees.</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believe the perquisites described above are necessary and appropriate to provide a competitive compensation package to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Rule 10b5-1 Sales Plans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98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Employment Arrangements and Severance Agreements with our Named Executive Officers </w:t>
      </w:r>
      <w:r>
        <w:rPr>
          <w:rFonts w:ascii="Times New Roman" w:cs="Times New Roman" w:eastAsia="Times New Roman" w:hAnsi="Times New Roman"/>
          <w:sz w:val="17"/>
          <w:szCs w:val="17"/>
          <w:color w:val="auto"/>
        </w:rPr>
        <w:t>We have entered into employment agreements with each of our named executive officers.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Paul Peter Tak, M.D., Ph.D., FMedSci</w:t>
      </w:r>
    </w:p>
    <w:p>
      <w:pPr>
        <w:spacing w:after="0" w:line="12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Effective September 12, 2020, we entered into an employment agreement with Dr. Tak (the Tak Employment Agreement), for the position of President and Chief Executive Officer. The Tak Employment Agreement provides for an annual base salary and an annual bonus opportunity. Pursuant to the Tak Employment Agreement, Dr. Tak’s annual base salary increased to $670,000 per year effective on the first anniversary of the commencement of his employment because the Company completed an underwritten public offering prior to such date. The Tak Employment Agreement provided for a signing bonus in the gross amount of $170,000, payable in four equal quarterly installments of $42,500 each, commencing on the first payroll date following the commencement of his employment and on each 3-month anniversary of employment following his start date, provided that he remains employed through each date of payment. Pursuant to the Tak Employment Agreement, Dr. Tak is eligible to receive a lump sum payment of $80,000 to assist with relocation to the Greater Boston Area if he relocates in 2022 or thereafter, subject to repayment if Dr. Tak terminates his employment other than for “good reason” or we terminate his employment for “cause” (as such terms are defined in the Tak Employment Agreement) within 12 months of receipt of the relocation assistance payment. Pursuant to the Tak Employment Agreement, we will reimburse Dr. Tak for reasonable costs related to travel to Massachusetts and temporary housing in Massachusetts, not to exceed $20,000, which amount will be grossed up in respect of any related taxes, reasonable legal fees related to obtaining a visa, reasonable fees for independent tax and accounting advice not to exceed $10,000 per year, and reasonable legal fees related to negotiation of his employment agreement, not to exceed $10,000. Dr. Tak is eligible to participate in the employee benefit plans available to our employees, subject to the terms of those plans.</w:t>
      </w:r>
    </w:p>
    <w:p>
      <w:pPr>
        <w:spacing w:after="0" w:line="19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Tak Employment Agreement, in the event that Dr. Tak’s employment is terminated by us without cause or by Dr. Tak for good reason outside of the 3 month period preceding and 12 month period following the first event constituting a change in control (such period, the “change in control period”), subject to the execution and effectiveness of a severance and release of claims agreement within 60 days of such termination, he will be entitled to receive (i) an amount equal to 12 months of base salary plus Dr. Tak’s target bonus for the then-current year, less any payments Dr. Tak receives pursuant to his restrictive covenants agreement with the Company, payable in installments over 12 months commencing within 60 days of termination, and (ii) subject to the Dr. Tak’s timely election to continue COBRA health coverage and copayment of premium amounts at the applicable active employees’ rate, we will continue to pay the share of the premiums that we would have paid to provide health insurance to Dr. Tak until the earlier of (A) 12 months following termination or (B) Dr. Tak’s eligibility for group medical plan benefits under any other employer’s group medical plan. In the event that such termination occurs during the change in control period, Dr. Tak will, subject to the execution and effectiveness of a general severance and release of claims agreement within 60 days of such termination, be entitled to receive (x) a lump sum payment equal to 1.5 times the sum of Dr. Tak’s then-current base salary (or base salary in effect immediately prior to the change in control, if higher), plus his target bonus for the then-current year (or his target bonus in effect immediately prior to the change in control, if higher), less any payments Dr. Tak receives pursuant to his restrictive covenants agreement with the Company, and (y) the benefits set forth in clause (ii) of the preceding sentence but for a period of 18 months. In addition, pursuant to the Tak Employment Agreement, all equity awards held by Dr. Tak that are subject to time-based vesting will fully accelerate as of the earlier of the consummation of a “change in control” of the Company (as defined in the Tak Employment Agreement) or the termination of Dr. Tak’s employment by the Company without cause or by Dr. Tak for good reason. Furthermore, in the event of a change of control or Dr. Tak’s termination without cause or for good reason, Dr. Tak will have no less than 12 months to exercise vested, unexpired stock options.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Francesca Barone, M.D., Ph.D.</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Effective February 3, 2022, we entered into an employment agreement with Dr. Barone (the Barone Employment Agreement), for the position of Chief Scientific Officer. The Barone Employment Agreement provides for an annual base salary and an annual target bonus opportunity. Dr. Barone is eligible to participate in the employee benefit plans available to our employees, subject to the terms of those plans.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the Barone Employment Agreement, in the event that Dr. Barone’s employment is terminated by us without cause or by Dr. Barone for good reason, subject to the execution and effectiveness of a severance and release of claims agreement within 60 days of such termination, she will be entitled to receive (i) an amount equal to nine months of base salary plus Dr. Barone’s target bonus for the then-current year, less any payments Dr. Barone receives pursuant to her restrictive covenants agreement with the Company, payable in installments over 9 months commencing within 60 days of termination, and (ii) subject to Dr. Barone’s timely election to continue COBRA health coverage and copayment of premium amounts at the applicable active employees’ rate, we will continue to pay the share of the premiums that we would have paid to provide health insurance to Dr. Barone until the earlier of (A) nine months following termination, (B) Dr. Barone’s eligibility for group medical plan benefits under any other employer’s group medical plan or (C) the cessation of Dr. Barone’s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Barone for the time period specified above. Pursuant to the Barone Employment Agreement, all equity awards held by Dr. Barone that are subject to time-based vesting will fully accelerate if Dr. Barone’s employment is terminated by the Company without “cause” or by Dr. Barone for “good reason” within one month prior to or 12 months following the consummation of a “change in control” (as such terms are defined in the Barone Employment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Jason A. Amello</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Effective September 21, 2022, we entered into an employment agreement with Mr. Amello (the Amello Employment Agreement), for the position of Chief Financial Officer. The Amello Employment Agreement provided for an annual base salary and an annual target bonus opportunity. Pursuant to the Amello Employment Agreement, Mr. Amello was eligible to participate in the employee benefit plans available to our employees, subject to the terms of those plans.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Pursuant to the Amello Employment Agreement, in the event that Mr. Amello’s employment was terminated by us without cause or by Mr. Amello for good reason, subject to the execution and effectiveness of a severance and release of claims agreement within 60 days of such termination, he would have been entitled to receive (i) an amount equal to nine months of base salary plus Mr. Amello’s target bonus for the then-current year, less any payments Mr. Amello received pursuant to his restrictive covenants agreement with the Company, payable in installments over 9 months commencing within 60 days of termination, and (ii) subject to Mr. Amello’s timely election to continue COBRA health coverage and copayment of premium amounts at the applicable active employees’ rate, we would continue to pay the share of the premiums that we would have paid to provide health insurance to Mr. Amello until the earlier of (A) nine months following termination, (B) Mr. Amello’s eligibility for group medical plan benefits under any other employer’s group medical plan or (C) the cessation of Mr. Amello’s health continuation rights under COBRA; provided, however, that if the Company determined that it could not pay such amounts to the group health plan provider or the COBRA provider (if applicable) without potentially violating applicable law, then the Company should convert such payments to payroll payments directly to Mr. Amello for the time period specified above. Pursuant to the Amello Employment Agreement, all equity awards held by Mr. Amello that are subject to time-based vesting would fully accelerate if Mr. Amello’s employment was terminated by the Company without “cause” or by Mr. Amello for “good reason” within one month prior to or 12 months following the consummation of a “change in control” (as such terms are defined in the Amello Employment Agreement).</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Effective January 12, 2024, Mr. Amello voluntarily resigned as Chief Financial Officer and his employment with Candel terminated. Mr. Amello did not receive any termination benefits as a result of his voluntary resignation. Effective January 12, 2024, we entered into a consulting agreement with</w:t>
      </w: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Mr. Amello (the Amello Consulting Agreement), pursuant to which Mr. Amello agreed to provide consulting services to us as an advisor to our Chief Executive Officer and Interim Chief Financial Officer for up to 12 months. Pursuant to the Amello Consulting Agreement, Mr. Amello’s outstanding stock options continued to vest until March 31, 2024, and such stock options vested as of such date shall remain exercisable for up to 12 months following January 12, 2024, subject to the terms of the Amello Consulting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our named executive officers as of December 31,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Stock Awards(1)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6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8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4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3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Paul Peter Tak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10/10/2020</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1,554,759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222,109</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1.55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10/10/2030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48,125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143,991</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4/28/2023</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60,000(7)</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60,000(8)</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264,759</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Francesca Barone</w:t>
            </w:r>
          </w:p>
        </w:tc>
        <w:tc>
          <w:tcPr>
            <w:tcW w:w="22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12/30/2020</w:t>
            </w:r>
          </w:p>
        </w:tc>
        <w:tc>
          <w:tcPr>
            <w:tcW w:w="180" w:type="dxa"/>
            <w:vAlign w:val="bottom"/>
          </w:tcPr>
          <w:p>
            <w:pPr>
              <w:spacing w:after="0"/>
              <w:rPr>
                <w:sz w:val="17"/>
                <w:szCs w:val="17"/>
                <w:color w:val="auto"/>
              </w:rPr>
            </w:pPr>
          </w:p>
        </w:tc>
        <w:tc>
          <w:tcPr>
            <w:tcW w:w="92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8"/>
                <w:szCs w:val="18"/>
                <w:color w:val="auto"/>
              </w:rPr>
              <w:t>36,616</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12,206</w:t>
            </w:r>
          </w:p>
        </w:tc>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jc w:val="center"/>
              <w:ind w:left="137"/>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73"/>
              <w:spacing w:after="0" w:line="198" w:lineRule="exact"/>
              <w:rPr>
                <w:sz w:val="20"/>
                <w:szCs w:val="20"/>
                <w:color w:val="auto"/>
              </w:rPr>
            </w:pPr>
            <w:r>
              <w:rPr>
                <w:rFonts w:ascii="Times New Roman" w:cs="Times New Roman" w:eastAsia="Times New Roman" w:hAnsi="Times New Roman"/>
                <w:sz w:val="18"/>
                <w:szCs w:val="18"/>
                <w:color w:val="auto"/>
              </w:rPr>
              <w:t>1.55</w:t>
            </w:r>
          </w:p>
        </w:tc>
        <w:tc>
          <w:tcPr>
            <w:tcW w:w="12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12/30/2030</w:t>
            </w: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7"/>
                <w:szCs w:val="17"/>
                <w:color w:val="auto"/>
              </w:rPr>
            </w:pPr>
          </w:p>
        </w:tc>
        <w:tc>
          <w:tcPr>
            <w:tcW w:w="800" w:type="dxa"/>
            <w:vAlign w:val="bottom"/>
            <w:gridSpan w:val="2"/>
          </w:tcPr>
          <w:p>
            <w:pPr>
              <w:ind w:left="4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2/3/2022</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18,333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4.06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2/2/2032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2/28/2022</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16,041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2/28/2032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11/28/2022</w:t>
            </w:r>
          </w:p>
        </w:tc>
        <w:tc>
          <w:tcPr>
            <w:tcW w:w="180" w:type="dxa"/>
            <w:vAlign w:val="bottom"/>
          </w:tcPr>
          <w:p>
            <w:pPr>
              <w:spacing w:after="0"/>
              <w:rPr>
                <w:sz w:val="18"/>
                <w:szCs w:val="18"/>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1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66,794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4/28/2023</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15,000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4/28/2033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11/26/2023</w:t>
            </w:r>
          </w:p>
        </w:tc>
        <w:tc>
          <w:tcPr>
            <w:tcW w:w="180" w:type="dxa"/>
            <w:vAlign w:val="bottom"/>
          </w:tcPr>
          <w:p>
            <w:pPr>
              <w:spacing w:after="0"/>
              <w:rPr>
                <w:sz w:val="20"/>
                <w:szCs w:val="20"/>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1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165,801</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Jason A. Amello (12)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9/21/2022</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71,875</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158,125(13)</w:t>
            </w: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3.21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66,794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4/28/2023</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184,804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8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each of the outstanding option and restricted stock unit, or RSU, awards in the table above was granted pursuant to our 2021 Stock Option and Grant Plan.</w:t>
      </w:r>
    </w:p>
    <w:p>
      <w:pPr>
        <w:ind w:left="540" w:right="2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reflects the value of the applicable equity award, based upon the closing price for the Company’s common stock on December 29, 2023 of $1.47.</w:t>
      </w:r>
    </w:p>
    <w:p>
      <w:pPr>
        <w:ind w:left="540" w:right="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October 10, 2020 pursuant to our 2015 Stock Option Plan (the “2015 Plan”). The shares underlying this option vest as follows: 25% vested upon grant date, 25% vesting on the first anniversary of October 10, 2020, and the remainder vesting thereafter in 36 equal monthly installments, subject to Dr. Tak’s continued service on each such vesting date.</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February 28, 2022. The shares underlying this option vest and become exercisable in forty-eight (48) equal monthly installments following February 28, 2022, subject to the named executive officer’s continued service on each such vesting date.</w:t>
      </w:r>
    </w:p>
    <w:p>
      <w:pPr>
        <w:ind w:left="540" w:right="1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Each RSU represents a contingent right to receive one share of the Issuer’s common stock upon vesting and settlement. 50% of the RSUs vested on November 28, 2023, and the remaining 50% shall vest on November 28, 2024, in each case subject to the named executive officer’s continued service on such vesting date.</w:t>
      </w:r>
    </w:p>
    <w:p>
      <w:pPr>
        <w:spacing w:after="0" w:line="1"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April 28, 2023. The shares underlying this option vest and become exercisable in forty-eight (48) equal monthly installments following April 28, 2023, subject to the named executive officer’s continued service on each such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April 28, 2023. The shares underlying this option vest and become if the average closing market price of the Company’s common stock exceeds $3.00 per share for at least 20 consecutive trading days prior to the expiration of the option.</w:t>
      </w:r>
    </w:p>
    <w:p>
      <w:pPr>
        <w:ind w:left="540" w:right="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April 28, 2023. The shares underlying this option vest and become if the average closing market price of the Company’s common stock exceeds $4.50 per share for at least 20 consecutive trading days prior to the expiration of the option.</w:t>
      </w:r>
    </w:p>
    <w:p>
      <w:pPr>
        <w:jc w:val="both"/>
        <w:ind w:left="540" w:right="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Each RSU represents a contingent right to receive one share of the Issuer’s common stock upon vesting and settlement. 50% of the RSUs vested on June 30, 2024, and the remaining 50% shall vest on December 31, 2024, in each case subject to the named executive officer’s continued service on such vesting date.</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December 30, 2020 pursuant to the 2015 Plan. 25% of the shares underlying this option vested and became exercisable on December 30, 2021, with the remainder vesting in twelve equal quarterly installments thereafter, subject to Dr. Barone’s continued service on each such vesting date.</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February 3, 2022. The shares underlying this option shall vest and become exercisable in forty-eight equal monthly installments over four years following February 3, 2022, subject to Dr. Barone’s continued service on each such vesting date.</w:t>
      </w: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Amello resigned as Chief Financial Officer and his employment with the Company terminated effective as of January 12, 2024.</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September 21, 2022. 25% of the shares underlying this option vested and became exercisable on September 21, 2023. The remaining shares underlying this option vested in thirty-six (36) equal monthly installments following September 21, 2023 until March 31, 2024.</w:t>
      </w:r>
    </w:p>
    <w:p>
      <w:pPr>
        <w:spacing w:after="0" w:line="1" w:lineRule="exact"/>
        <w:rPr>
          <w:rFonts w:ascii="Times New Roman" w:cs="Times New Roman" w:eastAsia="Times New Roman" w:hAnsi="Times New Roman"/>
          <w:sz w:val="18"/>
          <w:szCs w:val="18"/>
          <w:color w:val="auto"/>
        </w:rPr>
      </w:pPr>
    </w:p>
    <w:p>
      <w:pPr>
        <w:ind w:left="540" w:right="240" w:hanging="424"/>
        <w:spacing w:after="0" w:line="26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April 28, 2023. The shares underlying this option vested and became exercisable in forty-eight (48) equal monthly installments following April 28, 2023 until March 31,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received compensation for such service during the year ended December 31, 2023. Other than as set forth in the table and described more fully below, we did not pay any compensation, make any equity awards to, or pay any other compensation to any of the non-employee members of our board of directors in 2023. Dr. Tak, our President and Chief Executive Officer, did not receive any additional compensation for his service as a member of our board of directors. Dr. Tak’s compensation for service as an employee for the year ended December 31, 2023 is presented in “Executive Compensation-Summary Compensation Table.” We reimburse non-employee members of our board of directors for reasonable travel and out-of-pocket expenses incurred in connection with attending board of directors and committee meetings.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 - 2023</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58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580" w:type="dxa"/>
            <w:vAlign w:val="bottom"/>
          </w:tcPr>
          <w:p>
            <w:pPr>
              <w:ind w:left="190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580" w:type="dxa"/>
            <w:vAlign w:val="bottom"/>
          </w:tcPr>
          <w:p>
            <w:pPr>
              <w:ind w:left="190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8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80" w:type="dxa"/>
            <w:vAlign w:val="bottom"/>
          </w:tcPr>
          <w:p>
            <w:pPr>
              <w:ind w:left="188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5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($)(1)(2)</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25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Estuardo Aguilar-Cordova M.D., inf., Ph.D.</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35,000</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25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43,000</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Renee Gaeta</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42,500</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Nicoletta Loggia, Ph.D., R.Ph.</w:t>
            </w:r>
          </w:p>
        </w:tc>
        <w:tc>
          <w:tcPr>
            <w:tcW w:w="25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19,808</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32,949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Martell</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54,000</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J. Nabel, M.D., Ph.D.</w:t>
            </w:r>
          </w:p>
        </w:tc>
        <w:tc>
          <w:tcPr>
            <w:tcW w:w="25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39,000</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Diem Nguyen, Ph.D. M.B.A.</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47,500</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Papa</w:t>
            </w:r>
          </w:p>
        </w:tc>
        <w:tc>
          <w:tcPr>
            <w:tcW w:w="25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45,000</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40" w:right="220" w:hanging="424"/>
        <w:spacing w:after="0" w:line="257"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in 2023. In accordance with SEC rules, these columns reflect the aggregate grant date fair value of the option awards granted during 2023 computed in accordance with Financial Accounting Standard Board ASC Topic 718 for stock-based compensation transactions.</w:t>
      </w:r>
    </w:p>
    <w:p>
      <w:pPr>
        <w:spacing w:after="0" w:line="1"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stock options held by our non-employee directors that were outstanding as of December 31, 2023:</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Unexercised Stock Options</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as of December 31, 2023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Estuardo Aguilar-Cordova M.D., inf., Ph.D.</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Renee Gaeta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Nicoletta Loggia, Ph.D., R.Ph.</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Martell</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J. Nabel, M.D., Ph.D.</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Diem Nguyen, Ph.D. M.B.A.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Papa</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that is designed to enable us to attract and retain, on a long-term basis, highly qualified non-employee directors. The fees paid to independent non-employee directors for service on our board of directors and for service on each committee of our board of directors on which the director is a member are set forth below:</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198"/>
        </w:trPr>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compensation for service as non-executive chair of the board of</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5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each non-employee director elected or appointed to our board of directors will be granted an initial one-time non-qualified stock option to purchase 28,480 shares of our common stock, based on the current fair market value of our common stock, which shall vest in equal monthly installments over three years from the date of grant, subject to continued service through such vesting date(s). In addition, at the end of each year, each non-employee director, other than a director receiving an initial equity award, will be granted a non-qualified stock option to purchase 14,240 shares of our common stock, based on the then fair market value of our common stock, which will vest and become fully exercisable upon the earlier of (i) the first anniversary of the grant date or (ii) our next annual meeting of stockholders, subject to such director’s continued service as a director through such vesting date(s).</w:t>
      </w:r>
    </w:p>
    <w:p>
      <w:pPr>
        <w:sectPr>
          <w:pgSz w:w="11900" w:h="16838" w:orient="portrait"/>
          <w:cols w:equalWidth="0" w:num="1">
            <w:col w:w="11060"/>
          </w:cols>
          <w:pgMar w:left="320" w:top="482" w:right="51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82" w:right="5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relating to our equity compensation plans as of December 31, 2023. As of December 31, 2023, we had two equity compensation plans, our 2021 Stock Option and Incentive Plan and our Employee Stock Purchase Plan, which were approved by our Board of Directors and our stockholders.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0" w:type="dxa"/>
            <w:vAlign w:val="bottom"/>
            <w:gridSpan w:val="3"/>
          </w:tcPr>
          <w:p>
            <w:pPr>
              <w:jc w:val="center"/>
              <w:ind w:left="596"/>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360" w:type="dxa"/>
            <w:vAlign w:val="bottom"/>
            <w:gridSpan w:val="2"/>
            <w:vMerge w:val="restart"/>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7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7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7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860" w:type="dxa"/>
            <w:vAlign w:val="bottom"/>
            <w:gridSpan w:val="2"/>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warrants, and rights (#)</w:t>
            </w:r>
          </w:p>
        </w:tc>
        <w:tc>
          <w:tcPr>
            <w:tcW w:w="7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76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column (a)) (#)</w:t>
            </w:r>
          </w:p>
        </w:tc>
        <w:tc>
          <w:tcPr>
            <w:tcW w:w="0" w:type="dxa"/>
            <w:vAlign w:val="bottom"/>
          </w:tcPr>
          <w:p>
            <w:pPr>
              <w:spacing w:after="0"/>
              <w:rPr>
                <w:sz w:val="1"/>
                <w:szCs w:val="1"/>
                <w:color w:val="auto"/>
              </w:rPr>
            </w:pPr>
          </w:p>
        </w:tc>
      </w:tr>
      <w:tr>
        <w:trPr>
          <w:trHeight w:val="178"/>
        </w:trPr>
        <w:tc>
          <w:tcPr>
            <w:tcW w:w="30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3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stockholders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5,666,621</w:t>
            </w:r>
          </w:p>
        </w:tc>
        <w:tc>
          <w:tcPr>
            <w:tcW w:w="2360" w:type="dxa"/>
            <w:vAlign w:val="bottom"/>
            <w:gridSpan w:val="2"/>
            <w:shd w:val="clear" w:color="auto" w:fill="CCEEFF"/>
          </w:tcPr>
          <w:p>
            <w:pPr>
              <w:jc w:val="center"/>
              <w:ind w:left="1956"/>
              <w:spacing w:after="0"/>
              <w:rPr>
                <w:sz w:val="20"/>
                <w:szCs w:val="20"/>
                <w:color w:val="auto"/>
              </w:rPr>
            </w:pPr>
            <w:r>
              <w:rPr>
                <w:rFonts w:ascii="Times New Roman" w:cs="Times New Roman" w:eastAsia="Times New Roman" w:hAnsi="Times New Roman"/>
                <w:sz w:val="18"/>
                <w:szCs w:val="18"/>
                <w:color w:val="auto"/>
              </w:rPr>
              <w:t>2.47</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20"/>
                <w:szCs w:val="20"/>
                <w:color w:val="auto"/>
              </w:rPr>
            </w:pPr>
          </w:p>
        </w:tc>
        <w:tc>
          <w:tcPr>
            <w:tcW w:w="1620" w:type="dxa"/>
            <w:vAlign w:val="bottom"/>
          </w:tcPr>
          <w:p>
            <w:pPr>
              <w:jc w:val="center"/>
              <w:ind w:left="1244"/>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5,666,621</w:t>
            </w:r>
          </w:p>
        </w:tc>
        <w:tc>
          <w:tcPr>
            <w:tcW w:w="2360" w:type="dxa"/>
            <w:vAlign w:val="bottom"/>
            <w:gridSpan w:val="2"/>
            <w:shd w:val="clear" w:color="auto" w:fill="CCEEFF"/>
          </w:tcPr>
          <w:p>
            <w:pPr>
              <w:jc w:val="center"/>
              <w:ind w:left="1956"/>
              <w:spacing w:after="0"/>
              <w:rPr>
                <w:sz w:val="20"/>
                <w:szCs w:val="20"/>
                <w:color w:val="auto"/>
              </w:rPr>
            </w:pPr>
            <w:r>
              <w:rPr>
                <w:rFonts w:ascii="Times New Roman" w:cs="Times New Roman" w:eastAsia="Times New Roman" w:hAnsi="Times New Roman"/>
                <w:sz w:val="18"/>
                <w:szCs w:val="18"/>
                <w:color w:val="auto"/>
              </w:rPr>
              <w:t>2.47</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outstanding as of April 1, 2024 for:</w:t>
      </w:r>
    </w:p>
    <w:p>
      <w:pPr>
        <w:spacing w:after="0" w:line="131" w:lineRule="exact"/>
        <w:rPr>
          <w:sz w:val="20"/>
          <w:szCs w:val="20"/>
          <w:color w:val="auto"/>
        </w:rPr>
      </w:pPr>
    </w:p>
    <w:p>
      <w:pPr>
        <w:ind w:left="1080" w:right="4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five percent or more of our outstanding common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April 1, 2024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Candel Therapeutics, Inc., 117 Kendrick St, Suite 450, Needham, Massachusetts 02494.</w:t>
      </w:r>
    </w:p>
    <w:p>
      <w:pPr>
        <w:spacing w:after="0" w:line="188"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The percentage of beneficial ownership in the table below is based on 29,347,468 shares of common stock deemed to be outstanding as of April 1, 2024. 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0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Name (1)</w:t>
            </w:r>
          </w:p>
        </w:tc>
        <w:tc>
          <w:tcPr>
            <w:tcW w:w="27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680" w:type="dxa"/>
            <w:vAlign w:val="bottom"/>
            <w:tcBorders>
              <w:top w:val="single" w:sz="8" w:color="auto"/>
            </w:tcBorders>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Laura K. Aguilar (2)</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6,200,755</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Northpond Ventures, LP (3)</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1,685,326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Peter Tak, M.D., Ph.D. FMedSci (4)</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1,849,481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Paul B. Manning (5)</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4,087,556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Estuardo Aguilar-Cordova, M.D., inf., Ph.D. (6)</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6,200,755</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Edward J. Benz, Jr., M.D. (7)</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83,404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Renee Gaeta (8)</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16,613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Nicoletta Loggia, Ph.D., R.Ph. (9)</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8,702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Martell (10)</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765,816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Gary Nabel, MD., Ph.D. (11)</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16,613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Diem Nguyen, Ph.D. M.B.A. (12)</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51,137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Joseph Papa (13)</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54,645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A. Amello (14)</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137,729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Francesca Barone, M.D., Ph.D. (15)</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134,832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Garrett Nichols, M.D., M.S. (16)</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70,918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Charles Schoch (17)</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28,322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Seshu Tyagarajan, Ph.D., RAC (18)</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119,747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 persons) (19)</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13,488,541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3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Candel Therapeutics, Inc., 117 Kendrick St, Suite 450, Needham, MA 02494.</w:t>
      </w:r>
    </w:p>
    <w:p>
      <w:pPr>
        <w:ind w:left="540" w:right="1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1,033,840 shares of common stock, of which 1,001,441 shares of common stock are held solely by Dr. Aguilar, and 32,399 shares of common stock are held jointly with her spouse, Estuardo Aguilar-Cordova, M.D., inf., Ph.D., (ii) 2,013,100 shares held for the benefit of Dr. Aguilar by the Laura K. Aguilar 2020 Irrevocable Trust, and (iii) 3,153,815 shares deemed to be beneficially owned by her spouse, of which 1,064,633 shares of common stock are held solely by her spouse, 2,074,942 shares of common stock are held for the benefit of her spouse by the Estuardo Aguilar-Cordova 2020 Irrevocable Trust, and 14,240 shares of common stock are issuable upon the exercise of options exercisable within 60 days after April 1, 2024. Dr. Aguilar shares voting and investment power over the securities held by her spouse.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the Schedule 13G filed with the SEC on February 14, 2022 by Northpond Ventures, LP (Northpond Fund), Northpond Ventures GP, LLC (Northpond GP LLC), Northpond Ventures II, LP (Northpond Fund II), Northpond Ventures II GP, LLC (Northpond GP II LLC) and Michael P. Rubin (Rubin and, together with Northpond Fund, Northpond GP LLC, Northpond Fund II and Northpond GP II LLC, the Reporting Persons) with respect to the shares of common stock held by Northpond Fund as of December 31, 2021. Northpond GP LLC is the general partner of Northpond Fund. Rubin is the managing member of Northpond GP LLC. As such, Northpond GP LLC and Rubin have shared dispositive and voting power over the shares held by Northpond Fund and may be deemed to have indirect beneficial ownership of the shares held by Northpond Fund.</w:t>
      </w:r>
    </w:p>
    <w:p>
      <w:pPr>
        <w:spacing w:after="0" w:line="2"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95,495 shares of common stock and 1,753,986 shares of common stock issuable upon the exercise of options exercisable within 60 days after April 1, 2024.</w:t>
      </w: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in part on the Schedule 13D filed with the SEC on February 14, 2022 by Paul B. Manning, care of PBM Capital Group, LLC. Consists of (i) 1,681,000 shares of common stock held by Paul and Diane Manning, JTWROS; (ii) 642,406 shares of the Issuer’s common stock held by The Paul B. Manning Revocable Trust dated May 10, 2000; (iii) 642,406 shares of common stock issuable upon the exercise of a warrant within 60 days of December 31, 2021 held by The Paul B. Manning Revocable Trust dated May 10, 2000; (iv) 553,752 shares of the Issuer’s common stock held by BKB Growth Investments, LLC; (v) 553,752 shares of common stock issuable upon the exercise of a warrant within 60 days of December 31, 2021 held by BKB Growth Investments, LLC, and (vi) 14,240 shares of common stock issuable upon the exercise of options exercisable within 60 days after April 1, 2024. Mr. Manning is a co-manager of Tiger Lily Capital, LLC, the manager of BKB, and has shared voting and investment power with respect to the shares held by BKB.</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1,097,032 shares of common stock, of which 1,064,633 shares of common stock are held solely by Dr. Aguilar-Cordova, and</w:t>
      </w:r>
    </w:p>
    <w:p>
      <w:pPr>
        <w:spacing w:after="0" w:line="9" w:lineRule="exact"/>
        <w:rPr>
          <w:rFonts w:ascii="Times New Roman" w:cs="Times New Roman" w:eastAsia="Times New Roman" w:hAnsi="Times New Roman"/>
          <w:sz w:val="18"/>
          <w:szCs w:val="18"/>
          <w:color w:val="auto"/>
        </w:rPr>
      </w:pPr>
    </w:p>
    <w:p>
      <w:pPr>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32,399 shares of common stock are held jointly with his spouse, Laura K. Aguilar, M.D., Ph.D., (ii) 2,074,942 shares of common stock held for the benefit of Dr. Aguilar-Cordova by the Estuardo Aguilar-Cordova 2020 Irrevocable Trust (iii) 14,240 shares of common stock issuable upon the exercise of options exercisable within 60 days after April 1, 2024, and (iv) 3,014,541 shares deemed to be beneficially owned by his spouse, of which 1,001,441 shares of common stock are held solely by his spouse, 2,013,100 shares of common stock are held for the benefit of his spouse by the Laura K. Aguilar 2020 Irrevocable Trust. Dr. Aguilar-Cordova shares voting and investment power over the securities held by his spouse.</w:t>
      </w: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83,404 shares of common stock issuable upon the exercise of options exercisable within 60 days after April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16,613 shares of common stock issuable upon the exercise of options exercisable within 60 days after April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8,702 shares of common stock issuable upon the exercise of options exercisable within 60 days after April 1, 2024.</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46,788 shares of common stock issuable upon the exercise of options exercisable within 60 days after April 1, 2024, (ii) 283,514 shares of common stock held by GTAM1 2012 ADV LLC, of which Mr. Martell serves as Manager, (iii) 283,514 warrants held by GTAM1 2012 Trust, of which Mr. Martell serves as trustee but is not a beneficiary, and (iv) 152,000 shares of common stock held by GTAM1 2012 LLC.</w:t>
      </w:r>
    </w:p>
    <w:p>
      <w:pPr>
        <w:spacing w:after="0" w:line="1" w:lineRule="exact"/>
        <w:rPr>
          <w:rFonts w:ascii="Times New Roman" w:cs="Times New Roman" w:eastAsia="Times New Roman" w:hAnsi="Times New Roman"/>
          <w:sz w:val="18"/>
          <w:szCs w:val="18"/>
          <w:color w:val="auto"/>
        </w:rPr>
      </w:pPr>
    </w:p>
    <w:p>
      <w:pPr>
        <w:ind w:left="5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Martell disclaims beneficial ownership over all of these interests, except for his beneficial ownership in the 46,788 shares of common stock issuable upon the exercise of options exercisable within 60 days after April 1, 2024.</w:t>
      </w:r>
    </w:p>
    <w:p>
      <w:pPr>
        <w:sectPr>
          <w:pgSz w:w="11900" w:h="16838" w:orient="portrait"/>
          <w:cols w:equalWidth="0" w:num="1">
            <w:col w:w="11100"/>
          </w:cols>
          <w:pgMar w:left="320" w:top="482" w:right="479" w:bottom="1440" w:gutter="0" w:footer="0" w:header="0"/>
        </w:sectPr>
      </w:pP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16,613 shares of common stock issuable upon the exercise of options exercisable within 60 days after April 1, 2024.</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 shares of common stock and 41,137 shares of common stock issuable upon the exercise of options exercisable within 60 days after April 1, 2024.</w:t>
      </w:r>
    </w:p>
    <w:p>
      <w:pPr>
        <w:ind w:left="540" w:right="1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38,032 shares of common stock and 16,613 shares of common stock issuable upon the exercise of options exercisable within 60 days after April 1, 2024.</w:t>
      </w:r>
    </w:p>
    <w:p>
      <w:pPr>
        <w:jc w:val="both"/>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30,854 shares of common stock and 106,875 shares of common stock issuable upon the exercise of options exercisable within 60 days after April 1, 2024. Mr. Amello resigned as Chief Financial Officer and his employment with the Company terminated effective as of January 12, 2024.</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28,429 shares of common stock and 106,403 shares of common stock issuable upon the exercise of options exercisable within 60 days after April 1, 2024.</w:t>
      </w:r>
    </w:p>
    <w:p>
      <w:pPr>
        <w:ind w:left="540" w:right="1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17,065 shares of common stock and 53,853 shares of common stock issuable upon the exercise of options exercisable within 60 days after April 1, 2024.</w:t>
      </w:r>
    </w:p>
    <w:p>
      <w:pPr>
        <w:ind w:left="540" w:right="2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 shares of common stock and 26,322 shares of common stock issuable upon the exercise of options exercisable within 60 days after April 1, 2024.</w:t>
      </w:r>
    </w:p>
    <w:p>
      <w:pPr>
        <w:ind w:left="540" w:right="1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32,872 shares of common stock and 86,875 shares of common stock issuable upon the exercise of options exercisable within 60 days after April 1, 2024.</w:t>
      </w:r>
    </w:p>
    <w:p>
      <w:pPr>
        <w:ind w:left="540" w:right="46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9,723,080 shares of common stock, (ii) options to purchase 2,285,789 shares of common stock exercisable within 60 days of April 1, 2024, and (iii) warrants to purchase 1,479,672 shares of common stock exercisable within 60 days of April 1, 2024 held by fourteen executive officers and directors.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Stockholders who want to communicate with members of the Board, including the independent directors, individually or as a group, should address their communications to the Board, the Board members or the Board committee, as the case may be, and send them by mail to c/o Candel Therapeutics, Inc., 117 Kendrick St, Suite 450, Needham, Massachusetts 02494. The Chair of the Audit Committee will forward all such communications directly to such Board members. Any such communications may be made on an anonymous and confidential basis.</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the Company’s legal counsel and a copy of such communication may be retained for a reasonable period of time. The director may discuss the matter with the Company’s legal counsel, with independent advisors, with non-management directors, or with the Company’s management, or may take other action or no action as the director determines in good faith, using reasonable judgment, and applying his or her own discretion.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855-590-2335.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operates pursuant to a charter adopted by our Board of Directors. We believe that the composition and functioning of all of our committees will comply with the applicable requirements of Nasdaq, the Sarbanes-Oxley Act of 2002 and SEC rules and regulations that will be applicable to us. We intend to comply with future requirements to the extent they become applicable to us.</w:t>
      </w:r>
    </w:p>
    <w:p>
      <w:pPr>
        <w:spacing w:after="0" w:line="180"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 xml:space="preserve">The full text of our Audit Committee charter, Compensation Committee charter, and Nominating and Corporate Governance charter are posted on the investor relations portion of our website at </w:t>
      </w:r>
      <w:r>
        <w:rPr>
          <w:rFonts w:ascii="Times New Roman" w:cs="Times New Roman" w:eastAsia="Times New Roman" w:hAnsi="Times New Roman"/>
          <w:sz w:val="17"/>
          <w:szCs w:val="17"/>
          <w:i w:val="1"/>
          <w:iCs w:val="1"/>
          <w:color w:val="auto"/>
        </w:rPr>
        <w:t>www.candeltx.com</w:t>
      </w:r>
      <w:r>
        <w:rPr>
          <w:rFonts w:ascii="Times New Roman" w:cs="Times New Roman" w:eastAsia="Times New Roman" w:hAnsi="Times New Roman"/>
          <w:sz w:val="17"/>
          <w:szCs w:val="17"/>
          <w:color w:val="auto"/>
        </w:rPr>
        <w:t>. We do not incorporate the information contained on, or accessible through, our corporate website into this Form 10-K/A or the Original Form 10-K, and you should not consider it a part of this Form 10-K/A or the Original Form 10-K.</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2022 to which we were or will be a party, in which:</w:t>
      </w:r>
    </w:p>
    <w:p>
      <w:pPr>
        <w:spacing w:after="0" w:line="131" w:lineRule="exact"/>
        <w:rPr>
          <w:sz w:val="20"/>
          <w:szCs w:val="20"/>
          <w:color w:val="auto"/>
        </w:rPr>
      </w:pPr>
    </w:p>
    <w:p>
      <w:pPr>
        <w:ind w:left="1080" w:right="5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$120,000 (or, if less, 1% of the average of our total assets amount at December 31, 2023 and 2022); and</w:t>
      </w:r>
    </w:p>
    <w:p>
      <w:pPr>
        <w:spacing w:after="0" w:line="67"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16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directors are described elsewhere in this Form 10-K/A under “Director Compensation” and “Executive Compensation.” All amounts are in thousands unless otherwise noted.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connection with our Series C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initial public offering in July 2021, except for the amended and restated investors’ rights agreement and the registration rights granted thereunder, as more fully described in our Description of Securities, filed as Exhibit 4.2 to the Original Form 10-K.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See “Item 11 –Executive Compensation – Employment Arrangements and Severance Agreements with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granted stock options to certain of our executive officers and members of our board of directors. See “Item 11 – Executive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and amended and restated bylaws limit or eliminate the personal liability of directors for a breach of their fiduciary duty of care as a director. In addition, we have entered into indemnification agreements with each of our executive officers and the members of our board of directors which may require us to indemnify them. See “Item 11 – Executive Compensation – Limitations on Liability and Indemnification.”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5% or more of our voting securities and their affiliates, each a related party. Prior to our initial public offering in July 2021,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were entitled to vote on a transaction with a related party, the material facts of the related party’s relationship or interest in the transaction were disclosed to the stockholders, who must have approved the transaction in good faith.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in July 2021, our board of directors adopted a written related party transactions policy that provides that such transactions must be approved by our audit committee. This policy became effective on the date on which the registration statement related to our initial public offering was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Affiliations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Some of our directors are affiliated with and serve on the board of directors as representatives of entities which beneficially own or owned 5% or more of our common stock, as indicated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Principal Stockholder</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75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PBM Capital</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independent public accounting firm is KPMG LLP, Boston Massachusetts, PCAOB Auditor ID: 185. The Audit Committee has selected KPMG LLP as our independent registered public accounting firm for the years ended December 31, 2023 and 2022. In addition to retaining KPMG LLP to audit our consolidated financial statements for years ended December 31, 2023 and 2022, we may engage the firm from time to time during the year to perform other services.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aggregate fees billed by KPMG LLP in connection with services rendered during the last two fiscal years.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42"/>
        </w:trPr>
        <w:tc>
          <w:tcPr>
            <w:tcW w:w="6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643,433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588,578</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643,433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588,578</w:t>
            </w:r>
          </w:p>
        </w:tc>
      </w:tr>
    </w:tbl>
    <w:p>
      <w:pPr>
        <w:spacing w:after="0" w:line="225" w:lineRule="exact"/>
        <w:rPr>
          <w:sz w:val="20"/>
          <w:szCs w:val="20"/>
          <w:color w:val="auto"/>
        </w:rPr>
      </w:pPr>
    </w:p>
    <w:p>
      <w:pPr>
        <w:ind w:left="540" w:right="180" w:hanging="424"/>
        <w:spacing w:after="0" w:line="26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SEC registration statements, including the IPO, and services that are normally provided by KPMG LLP, such as comfort letters, in connection with statutory and regulatory filings or engagements.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fiscal years 2023 and 2022, no services other than those discussed above were provided by KPMG LLP.</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requiring pre-approval of all audit and non-audit related services to be performed by the Company’s independent auditor regardless of amount. These services may include audit services, audit-related services, tax services and other related services. KPMG LLP and management are required to periodically report to the Audit Committee regarding the extent of services provided by KPMG LLP in accordance with this pre-approval and the fees for the services performed to date. The Audit Committee may also pre-approve particular services on a case-by-case basis.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annually evaluates the qualifications, performance and independence of the Company’s independent registered public accounting firm. It selected KPMG as the Company’s independent registered public accounting firm for 2023. This selection was subsequently approved by the Board. The Audit Committee has reviewed and discussed with management and with KPMG the Company’s audited consolidated financial statements for the year ended December 31, 2023. In addition, the Audit Committee has discussed with KPMG the matters that independent registered public accounting firms must communicate to audit committees under applicable PCAOB standards.</w:t>
      </w:r>
    </w:p>
    <w:p>
      <w:pPr>
        <w:spacing w:after="0" w:line="18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Audit Committee has also discussed and confirmed with KPMG its independence from the Company and received all written disclosures and correspondence required by the PCAOB Ethics and Independence requirements.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our board of directors that the audited consolidated financial statements for the year ended December 31, 2023 and the related footnotes be included in the Original Form 10-K for the year ended December 31, 2023.</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82"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are included in Item 15 of the Original Form 10-K.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 schedules are included in Item 15 of the Original Form 10-K.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10-K/A.</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-10160</wp:posOffset>
            </wp:positionV>
            <wp:extent cx="6429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53" w:lineRule="exact"/>
        <w:rPr>
          <w:sz w:val="20"/>
          <w:szCs w:val="20"/>
          <w:color w:val="auto"/>
        </w:rPr>
      </w:pPr>
    </w:p>
    <w:p>
      <w:pPr>
        <w:ind w:left="1000" w:hanging="884"/>
        <w:spacing w:after="0" w:line="282" w:lineRule="auto"/>
        <w:tabs>
          <w:tab w:leader="none" w:pos="199"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r>
      <w:hyperlink r:id="rId40">
        <w:r>
          <w:rPr>
            <w:rFonts w:ascii="Times New Roman" w:cs="Times New Roman" w:eastAsia="Times New Roman" w:hAnsi="Times New Roman"/>
            <w:sz w:val="18"/>
            <w:szCs w:val="18"/>
            <w:u w:val="single" w:color="auto"/>
            <w:color w:val="0000EE"/>
          </w:rPr>
          <w:t>Amended and Restated Certificate of Incorporation of Candel Therapeutics, Inc. (incorporated by reference to Exhibit 3.1 to the Registrant’s</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Current Report on Form 8-K filed with the SEC on July 30,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80" w:hanging="884"/>
        <w:spacing w:after="0" w:line="282" w:lineRule="auto"/>
        <w:tabs>
          <w:tab w:leader="none" w:pos="199"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3.2</w:t>
      </w:r>
      <w:hyperlink r:id="rId41">
        <w:r>
          <w:rPr>
            <w:rFonts w:ascii="Times New Roman" w:cs="Times New Roman" w:eastAsia="Times New Roman" w:hAnsi="Times New Roman"/>
            <w:sz w:val="18"/>
            <w:szCs w:val="18"/>
            <w:u w:val="single" w:color="auto"/>
            <w:color w:val="0000EE"/>
          </w:rPr>
          <w:t>Amended and Restated Bylaws of Candel Therapeutics, Inc. (incorporated by reference to Exhibit 3.2 to the Registrant’s Current Report on</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Form 8-K filed with the SEC on July 30,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260" w:hanging="884"/>
        <w:spacing w:after="0" w:line="282" w:lineRule="auto"/>
        <w:tabs>
          <w:tab w:leader="none" w:pos="199"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42">
        <w:r>
          <w:rPr>
            <w:rFonts w:ascii="Times New Roman" w:cs="Times New Roman" w:eastAsia="Times New Roman" w:hAnsi="Times New Roman"/>
            <w:sz w:val="18"/>
            <w:szCs w:val="18"/>
            <w:u w:val="single" w:color="auto"/>
            <w:color w:val="0000EE"/>
          </w:rPr>
          <w:t>Specimen Common Stock Certificate (incorporated by reference to Exhibit 4.1 to the Registrant’s Registration Statement on Form S-1/A</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200" w:hanging="884"/>
        <w:spacing w:after="0" w:line="282" w:lineRule="auto"/>
        <w:tabs>
          <w:tab w:leader="none" w:pos="199"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43">
        <w:r>
          <w:rPr>
            <w:rFonts w:ascii="Times New Roman" w:cs="Times New Roman" w:eastAsia="Times New Roman" w:hAnsi="Times New Roman"/>
            <w:sz w:val="18"/>
            <w:szCs w:val="18"/>
            <w:u w:val="single" w:color="auto"/>
            <w:color w:val="0000EE"/>
          </w:rPr>
          <w:t>Description of Securities (incorporated by reference to Exhibit 4.2 to the Registrant’s Annual Report on Form 10-K filed with the SEC on</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March 29, 2022)</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  4.3</w:t>
      </w:r>
      <w:hyperlink r:id="rId44">
        <w:r>
          <w:rPr>
            <w:rFonts w:ascii="Times New Roman" w:cs="Times New Roman" w:eastAsia="Times New Roman" w:hAnsi="Times New Roman"/>
            <w:sz w:val="18"/>
            <w:szCs w:val="18"/>
            <w:u w:val="single" w:color="auto"/>
            <w:color w:val="0000EE"/>
          </w:rPr>
          <w:t>Investors’ Rights Agreement (incorporated by reference to Exhibit 4.2 to the Registrant’s Registration Statement on Form S-1/A (File</w:t>
        </w:r>
      </w:hyperlink>
    </w:p>
    <w:p>
      <w:pPr>
        <w:spacing w:after="0" w:line="27" w:lineRule="exact"/>
        <w:rPr>
          <w:rFonts w:ascii="Times New Roman" w:cs="Times New Roman" w:eastAsia="Times New Roman" w:hAnsi="Times New Roman"/>
          <w:sz w:val="18"/>
          <w:szCs w:val="18"/>
          <w:u w:val="single" w:color="auto"/>
          <w:color w:val="0000EE"/>
        </w:rPr>
      </w:pPr>
    </w:p>
    <w:p>
      <w:pPr>
        <w:ind w:left="1000"/>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No. 333- 257444) filed with the SEC on June 25, 2021)</w:t>
        </w:r>
      </w:hyperlink>
    </w:p>
    <w:p>
      <w:pPr>
        <w:spacing w:after="0" w:line="99" w:lineRule="exact"/>
        <w:rPr>
          <w:rFonts w:ascii="Times New Roman" w:cs="Times New Roman" w:eastAsia="Times New Roman" w:hAnsi="Times New Roman"/>
          <w:sz w:val="18"/>
          <w:szCs w:val="18"/>
          <w:u w:val="single" w:color="auto"/>
          <w:color w:val="0000EE"/>
        </w:rPr>
      </w:pPr>
    </w:p>
    <w:p>
      <w:pPr>
        <w:ind w:left="1000" w:right="24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45">
        <w:r>
          <w:rPr>
            <w:rFonts w:ascii="Times New Roman" w:cs="Times New Roman" w:eastAsia="Times New Roman" w:hAnsi="Times New Roman"/>
            <w:sz w:val="18"/>
            <w:szCs w:val="18"/>
            <w:u w:val="single" w:color="auto"/>
            <w:color w:val="0000EE"/>
          </w:rPr>
          <w:t>Form of November 2018 Unconditional Warrant to Purchase Common Stock (incorporated by reference to Exhibit 4.3 to the Registrant’s</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Registration Statement on Form S-1/A (File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42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4.5</w:t>
      </w:r>
      <w:hyperlink r:id="rId46">
        <w:r>
          <w:rPr>
            <w:rFonts w:ascii="Times New Roman" w:cs="Times New Roman" w:eastAsia="Times New Roman" w:hAnsi="Times New Roman"/>
            <w:sz w:val="18"/>
            <w:szCs w:val="18"/>
            <w:u w:val="single" w:color="auto"/>
            <w:color w:val="0000EE"/>
          </w:rPr>
          <w:t>Form of November 2018 Conditional Warrant to Purchase Common Stock (incorporated by reference to Exhibit 4.4 to the Registrant’s</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Registration Statement on Form S-1/A (File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4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4.6</w:t>
      </w:r>
      <w:hyperlink r:id="rId47">
        <w:r>
          <w:rPr>
            <w:rFonts w:ascii="Times New Roman" w:cs="Times New Roman" w:eastAsia="Times New Roman" w:hAnsi="Times New Roman"/>
            <w:sz w:val="18"/>
            <w:szCs w:val="18"/>
            <w:u w:val="single" w:color="auto"/>
            <w:color w:val="0000EE"/>
          </w:rPr>
          <w:t>Form of Warrant to Purchase Series A Convertible Preferred Stock (incorporated by reference to Exhibit 4.5 to the Registrant’s Registration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Statement on Form S-1/A (File No. 333- 257444) filed with the SEC on June 25,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40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48">
        <w:r>
          <w:rPr>
            <w:rFonts w:ascii="Times New Roman" w:cs="Times New Roman" w:eastAsia="Times New Roman" w:hAnsi="Times New Roman"/>
            <w:sz w:val="18"/>
            <w:szCs w:val="18"/>
            <w:u w:val="single" w:color="auto"/>
            <w:color w:val="0000EE"/>
          </w:rPr>
          <w:t>2015 Stock Plan, as amended, and forms of award agreements thereunder (incorporated by reference to Exhibit 10.1 to the Registrant’s</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Registration Statement on Form S-1/A (File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72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hyperlink r:id="rId49">
        <w:r>
          <w:rPr>
            <w:rFonts w:ascii="Times New Roman" w:cs="Times New Roman" w:eastAsia="Times New Roman" w:hAnsi="Times New Roman"/>
            <w:sz w:val="18"/>
            <w:szCs w:val="18"/>
            <w:u w:val="single" w:color="auto"/>
            <w:color w:val="0000EE"/>
          </w:rPr>
          <w:t>2021 Stock Option and Incentive Plan and forms of award agreements thereunder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Registrant’s Registration Statement on Form S-1/A (File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12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hyperlink r:id="rId50">
        <w:r>
          <w:rPr>
            <w:rFonts w:ascii="Times New Roman" w:cs="Times New Roman" w:eastAsia="Times New Roman" w:hAnsi="Times New Roman"/>
            <w:sz w:val="18"/>
            <w:szCs w:val="18"/>
            <w:u w:val="single" w:color="auto"/>
            <w:color w:val="0000EE"/>
          </w:rPr>
          <w:t>Senior Executive Cash Incentive Bonus Plan (incorporated by reference to Exhibit 10.3 to the Registrant’s Registration Statement on Form</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S-1/A (File 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240" w:hanging="884"/>
        <w:spacing w:after="0" w:line="282" w:lineRule="auto"/>
        <w:tabs>
          <w:tab w:leader="none" w:pos="199"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hyperlink r:id="rId51">
        <w:r>
          <w:rPr>
            <w:rFonts w:ascii="Times New Roman" w:cs="Times New Roman" w:eastAsia="Times New Roman" w:hAnsi="Times New Roman"/>
            <w:sz w:val="18"/>
            <w:szCs w:val="18"/>
            <w:u w:val="single" w:color="auto"/>
            <w:color w:val="0000EE"/>
          </w:rPr>
          <w:t>Employee Stock Purchase Plan (incorporated by reference to Exhibit 10.4 to the Registrant’s Registration Statement on Form S-1/A (File</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No. 333- 257444) filed with the SEC on July 16, 2021)</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10.5#</w:t>
      </w:r>
      <w:hyperlink r:id="rId52">
        <w:r>
          <w:rPr>
            <w:rFonts w:ascii="Times New Roman" w:cs="Times New Roman" w:eastAsia="Times New Roman" w:hAnsi="Times New Roman"/>
            <w:sz w:val="17"/>
            <w:szCs w:val="17"/>
            <w:u w:val="single" w:color="auto"/>
            <w:color w:val="0000EE"/>
          </w:rPr>
          <w:t>Employment Agreement by and between Advantagene, Inc. d/b/a Candel Therapeutics and Paul Peter Tak, M.D., Ph.D. dated</w:t>
        </w:r>
      </w:hyperlink>
    </w:p>
    <w:p>
      <w:pPr>
        <w:spacing w:after="0" w:line="39" w:lineRule="exact"/>
        <w:rPr>
          <w:rFonts w:ascii="Times New Roman" w:cs="Times New Roman" w:eastAsia="Times New Roman" w:hAnsi="Times New Roman"/>
          <w:sz w:val="18"/>
          <w:szCs w:val="18"/>
          <w:u w:val="single" w:color="auto"/>
          <w:color w:val="0000EE"/>
        </w:rPr>
      </w:pPr>
    </w:p>
    <w:p>
      <w:pPr>
        <w:ind w:left="1000" w:right="220"/>
        <w:spacing w:after="0" w:line="260" w:lineRule="auto"/>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September 12, 2020 (incorporated by reference to Exhibit 10.5.1 to the Registrant’s Registration Statement on Form S-1/A (File No. 333-</w:t>
        </w:r>
      </w:hyperlink>
      <w:hyperlink r:id="rId52">
        <w:r>
          <w:rPr>
            <w:rFonts w:ascii="Times New Roman" w:cs="Times New Roman" w:eastAsia="Times New Roman" w:hAnsi="Times New Roman"/>
            <w:sz w:val="18"/>
            <w:szCs w:val="18"/>
            <w:u w:val="single" w:color="auto"/>
            <w:color w:val="0000EE"/>
          </w:rPr>
          <w:t>257444) filed with the SEC on July 16, 2021)</w:t>
        </w:r>
      </w:hyperlink>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9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Indemnification Agreement (incorporated by reference to Exhibit 10.6 to the Registrant’s Registration Statement on Form S-1/A</w:t>
              </w:r>
            </w:hyperlink>
          </w:p>
        </w:tc>
      </w:tr>
      <w:tr>
        <w:trPr>
          <w:trHeight w:val="196"/>
        </w:trPr>
        <w:tc>
          <w:tcPr>
            <w:tcW w:w="10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(File No. 333- 257444) filed with the SEC on July 16, 2021)</w:t>
              </w:r>
            </w:hyperlink>
          </w:p>
        </w:tc>
      </w:tr>
      <w:tr>
        <w:trPr>
          <w:trHeight w:val="20"/>
        </w:trPr>
        <w:tc>
          <w:tcPr>
            <w:tcW w:w="10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9880" w:type="dxa"/>
            <w:vAlign w:val="bottom"/>
            <w:gridSpan w:val="1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Exclusive License Agreement by and between Advantagene, Inc. and Ventagen, LLC dated March 1, 2014 (incorporated by reference to</w:t>
              </w:r>
            </w:hyperlink>
          </w:p>
        </w:tc>
      </w:tr>
      <w:tr>
        <w:trPr>
          <w:trHeight w:val="196"/>
        </w:trPr>
        <w:tc>
          <w:tcPr>
            <w:tcW w:w="108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Exhibit 10.7 to the Registrant’s Registration Statement on Form S-1/A (File No. 333- 257444) filed with the SEC on July 16, 2021)</w:t>
              </w:r>
            </w:hyperlink>
          </w:p>
        </w:tc>
        <w:tc>
          <w:tcPr>
            <w:tcW w:w="34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9880" w:type="dxa"/>
            <w:vAlign w:val="bottom"/>
            <w:gridSpan w:val="15"/>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Exclusive License Agreement by and between Advantagene, Inc., d/b/a Candel Therapeutics and Periphagen, Inc. dated December 9,</w:t>
              </w:r>
            </w:hyperlink>
          </w:p>
        </w:tc>
      </w:tr>
      <w:tr>
        <w:trPr>
          <w:trHeight w:val="20"/>
        </w:trPr>
        <w:tc>
          <w:tcPr>
            <w:tcW w:w="10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2019 (incorporated by reference to Exhibit 10.8 to the Registrant’s Registration Statement on Form S-1/A (File No. 333- 257444) filed</w:t>
              </w:r>
            </w:hyperlink>
          </w:p>
        </w:tc>
      </w:tr>
      <w:tr>
        <w:trPr>
          <w:trHeight w:val="196"/>
        </w:trPr>
        <w:tc>
          <w:tcPr>
            <w:tcW w:w="1080" w:type="dxa"/>
            <w:vAlign w:val="bottom"/>
          </w:tcPr>
          <w:p>
            <w:pPr>
              <w:spacing w:after="0"/>
              <w:rPr>
                <w:sz w:val="17"/>
                <w:szCs w:val="17"/>
                <w:color w:val="auto"/>
              </w:rPr>
            </w:pPr>
          </w:p>
        </w:tc>
        <w:tc>
          <w:tcPr>
            <w:tcW w:w="2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with the SEC on July 16, 2021)</w:t>
              </w:r>
            </w:hyperlink>
          </w:p>
        </w:tc>
        <w:tc>
          <w:tcPr>
            <w:tcW w:w="7420" w:type="dxa"/>
            <w:vAlign w:val="bottom"/>
            <w:tcBorders>
              <w:top w:val="single" w:sz="8" w:color="0000EE"/>
            </w:tcBorders>
            <w:gridSpan w:val="10"/>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96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Exclusive Patent License Agreement by and between Advantagene, Inc. and Mass General Brigham (formerly known as The Brigham</w:t>
              </w:r>
            </w:hyperlink>
          </w:p>
        </w:tc>
        <w:tc>
          <w:tcPr>
            <w:tcW w:w="20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and Women’s Hospital, Inc.) dated September 15, 2020 (incorporated by reference to Exhibit 10.9 to the Registrant’s Registration</w:t>
              </w:r>
            </w:hyperlink>
          </w:p>
        </w:tc>
      </w:tr>
      <w:tr>
        <w:trPr>
          <w:trHeight w:val="196"/>
        </w:trPr>
        <w:tc>
          <w:tcPr>
            <w:tcW w:w="108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Statement on Form S-1/A (File No. 333- 257444) filed with the SEC on July 16, 2021)</w:t>
              </w:r>
            </w:hyperlink>
          </w:p>
        </w:tc>
        <w:tc>
          <w:tcPr>
            <w:tcW w:w="540" w:type="dxa"/>
            <w:vAlign w:val="bottom"/>
            <w:gridSpan w:val="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9880" w:type="dxa"/>
            <w:vAlign w:val="bottom"/>
            <w:gridSpan w:val="15"/>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Lease of Premises at 117 Kendrick Street, Needham, Massachusetts by and between 117 Kendrick DE, LLC and the Registrant dated as</w:t>
              </w:r>
            </w:hyperlink>
          </w:p>
        </w:tc>
      </w:tr>
      <w:tr>
        <w:trPr>
          <w:trHeight w:val="20"/>
        </w:trPr>
        <w:tc>
          <w:tcPr>
            <w:tcW w:w="108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of February 4, 2019 (incorporated by reference to Exhibit 10.10 to the Registrant’s Registration Statement on Form S-1/A (File No. 333-</w:t>
              </w:r>
            </w:hyperlink>
          </w:p>
        </w:tc>
      </w:tr>
      <w:tr>
        <w:trPr>
          <w:trHeight w:val="196"/>
        </w:trPr>
        <w:tc>
          <w:tcPr>
            <w:tcW w:w="10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257444) filed with the SEC on July 16, 2021)</w:t>
              </w:r>
            </w:hyperlink>
          </w:p>
        </w:tc>
        <w:tc>
          <w:tcPr>
            <w:tcW w:w="654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9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Loan and Security Agreement by and between the Registrant and Silicon Valley Bank, dated February 24, 2022 (incorporated by</w:t>
              </w:r>
            </w:hyperlink>
          </w:p>
        </w:tc>
        <w:tc>
          <w:tcPr>
            <w:tcW w:w="600" w:type="dxa"/>
            <w:vAlign w:val="bottom"/>
            <w:gridSpan w:val="9"/>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reference to Exhibit 10.11 to the Registrant’s Annual Report on Form 10-K filed with the SEC on March 29, 2022)</w:t>
              </w:r>
            </w:hyperlink>
          </w:p>
        </w:tc>
        <w:tc>
          <w:tcPr>
            <w:tcW w:w="1600" w:type="dxa"/>
            <w:vAlign w:val="bottom"/>
            <w:gridSpan w:val="10"/>
          </w:tcPr>
          <w:p>
            <w:pPr>
              <w:spacing w:after="0"/>
              <w:rPr>
                <w:sz w:val="17"/>
                <w:szCs w:val="17"/>
                <w:color w:val="auto"/>
              </w:rPr>
            </w:pPr>
          </w:p>
        </w:tc>
      </w:tr>
    </w:tbl>
    <w:p>
      <w:pPr>
        <w:spacing w:after="0" w:line="117" w:lineRule="exact"/>
        <w:rPr>
          <w:sz w:val="20"/>
          <w:szCs w:val="20"/>
          <w:color w:val="auto"/>
        </w:rPr>
      </w:pPr>
    </w:p>
    <w:p>
      <w:pPr>
        <w:ind w:left="1200" w:right="140" w:hanging="1084"/>
        <w:spacing w:after="0" w:line="282" w:lineRule="auto"/>
        <w:tabs>
          <w:tab w:leader="none" w:pos="197"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60">
        <w:r>
          <w:rPr>
            <w:rFonts w:ascii="Times New Roman" w:cs="Times New Roman" w:eastAsia="Times New Roman" w:hAnsi="Times New Roman"/>
            <w:sz w:val="18"/>
            <w:szCs w:val="18"/>
            <w:u w:val="single" w:color="auto"/>
            <w:color w:val="0000EE"/>
          </w:rPr>
          <w:t>Employment Agreement by and between Candel Therapeutics and Francesca Barone dated February 3, 2022 (incorporated by reference</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to Exhibit 10.12 to the Registrant’s Annual Report on Form 10-K filed with the SEC on March 29, 2022)</w:t>
        </w:r>
      </w:hyperlink>
    </w:p>
    <w:p>
      <w:pPr>
        <w:spacing w:after="0" w:line="53" w:lineRule="exact"/>
        <w:rPr>
          <w:rFonts w:ascii="Times New Roman" w:cs="Times New Roman" w:eastAsia="Times New Roman" w:hAnsi="Times New Roman"/>
          <w:sz w:val="18"/>
          <w:szCs w:val="18"/>
          <w:u w:val="single" w:color="auto"/>
          <w:color w:val="0000EE"/>
        </w:rPr>
      </w:pPr>
    </w:p>
    <w:p>
      <w:pPr>
        <w:ind w:left="1200" w:right="140" w:hanging="1084"/>
        <w:spacing w:after="0" w:line="282" w:lineRule="auto"/>
        <w:tabs>
          <w:tab w:leader="none" w:pos="197"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61">
        <w:r>
          <w:rPr>
            <w:rFonts w:ascii="Times New Roman" w:cs="Times New Roman" w:eastAsia="Times New Roman" w:hAnsi="Times New Roman"/>
            <w:sz w:val="18"/>
            <w:szCs w:val="18"/>
            <w:u w:val="single" w:color="auto"/>
            <w:color w:val="0000EE"/>
          </w:rPr>
          <w:t>Consulting Agreement by and between Candel Therapeutics, Inc. and Susan Stewart dated October 19, 2021 (incorporated by reference</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to Exhibit 10.13 to the Registrant’s Annual Report on Form 10-K filed with the SEC on March 29, 2022)</w:t>
        </w:r>
      </w:hyperlink>
    </w:p>
    <w:p>
      <w:pPr>
        <w:spacing w:after="0" w:line="53" w:lineRule="exact"/>
        <w:rPr>
          <w:rFonts w:ascii="Times New Roman" w:cs="Times New Roman" w:eastAsia="Times New Roman" w:hAnsi="Times New Roman"/>
          <w:sz w:val="18"/>
          <w:szCs w:val="18"/>
          <w:u w:val="single" w:color="auto"/>
          <w:color w:val="0000EE"/>
        </w:rPr>
      </w:pPr>
    </w:p>
    <w:p>
      <w:pPr>
        <w:ind w:left="1200" w:right="140" w:hanging="1084"/>
        <w:spacing w:after="0" w:line="282" w:lineRule="auto"/>
        <w:tabs>
          <w:tab w:leader="none" w:pos="197"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62">
        <w:r>
          <w:rPr>
            <w:rFonts w:ascii="Times New Roman" w:cs="Times New Roman" w:eastAsia="Times New Roman" w:hAnsi="Times New Roman"/>
            <w:sz w:val="18"/>
            <w:szCs w:val="18"/>
            <w:u w:val="single" w:color="auto"/>
            <w:color w:val="0000EE"/>
          </w:rPr>
          <w:t>Employment Agreement by and between Candel Therapeutics and Seshu Tyagarajan dated April 14, 2022 (incorporated by reference to</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Exhibit 10.8 to the Registrant’s Quarterly Report on Form 10-Q filed with the SEC on May 12, 2022)</w:t>
        </w:r>
      </w:hyperlink>
    </w:p>
    <w:p>
      <w:pPr>
        <w:spacing w:after="0" w:line="53" w:lineRule="exact"/>
        <w:rPr>
          <w:rFonts w:ascii="Times New Roman" w:cs="Times New Roman" w:eastAsia="Times New Roman" w:hAnsi="Times New Roman"/>
          <w:sz w:val="18"/>
          <w:szCs w:val="18"/>
          <w:u w:val="single" w:color="auto"/>
          <w:color w:val="0000EE"/>
        </w:rPr>
      </w:pPr>
    </w:p>
    <w:p>
      <w:pPr>
        <w:ind w:left="1200" w:hanging="1084"/>
        <w:spacing w:after="0" w:line="282" w:lineRule="auto"/>
        <w:tabs>
          <w:tab w:leader="none" w:pos="197"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63">
        <w:r>
          <w:rPr>
            <w:rFonts w:ascii="Times New Roman" w:cs="Times New Roman" w:eastAsia="Times New Roman" w:hAnsi="Times New Roman"/>
            <w:sz w:val="18"/>
            <w:szCs w:val="18"/>
            <w:u w:val="single" w:color="auto"/>
            <w:color w:val="0000EE"/>
          </w:rPr>
          <w:t>Employment Agreement by and between Candel Therapeutics and Jason A. Amello dated September 21, 2022 (incorporated by reference</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to Exhibit 10.1 to the Registrant’s Quarterly Report on Form 10-Q filed with the SEC on November 10, 2022)</w:t>
        </w:r>
      </w:hyperlink>
    </w:p>
    <w:p>
      <w:pPr>
        <w:spacing w:after="0" w:line="53" w:lineRule="exact"/>
        <w:rPr>
          <w:rFonts w:ascii="Times New Roman" w:cs="Times New Roman" w:eastAsia="Times New Roman" w:hAnsi="Times New Roman"/>
          <w:sz w:val="18"/>
          <w:szCs w:val="18"/>
          <w:u w:val="single" w:color="auto"/>
          <w:color w:val="0000EE"/>
        </w:rPr>
      </w:pPr>
    </w:p>
    <w:p>
      <w:pPr>
        <w:jc w:val="right"/>
        <w:ind w:left="1200" w:right="400" w:hanging="1084"/>
        <w:spacing w:after="0" w:line="312" w:lineRule="auto"/>
        <w:tabs>
          <w:tab w:leader="none" w:pos="197" w:val="left"/>
        </w:tabs>
        <w:numPr>
          <w:ilvl w:val="0"/>
          <w:numId w:val="1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hyperlink r:id="rId64">
        <w:r>
          <w:rPr>
            <w:rFonts w:ascii="Times New Roman" w:cs="Times New Roman" w:eastAsia="Times New Roman" w:hAnsi="Times New Roman"/>
            <w:sz w:val="17"/>
            <w:szCs w:val="17"/>
            <w:u w:val="single" w:color="auto"/>
            <w:color w:val="0000EE"/>
          </w:rPr>
          <w:t>Master Production Services Agreement by and between Candel Therapeutics and SAFC Carlsbad, Inc., effective November 3, 2022</w:t>
        </w:r>
      </w:hyperlink>
      <w:r>
        <w:rPr>
          <w:rFonts w:ascii="Times New Roman" w:cs="Times New Roman" w:eastAsia="Times New Roman" w:hAnsi="Times New Roman"/>
          <w:sz w:val="17"/>
          <w:szCs w:val="17"/>
          <w:u w:val="single" w:color="auto"/>
          <w:color w:val="0000EE"/>
        </w:rPr>
        <w:t xml:space="preserve"> </w:t>
      </w:r>
      <w:hyperlink r:id="rId64">
        <w:r>
          <w:rPr>
            <w:rFonts w:ascii="Times New Roman" w:cs="Times New Roman" w:eastAsia="Times New Roman" w:hAnsi="Times New Roman"/>
            <w:sz w:val="17"/>
            <w:szCs w:val="17"/>
            <w:u w:val="single" w:color="auto"/>
            <w:color w:val="0000EE"/>
          </w:rPr>
          <w:t>(incorporated by reference to Exhibit 10.16 to the Registrant’s Annual Report on Form 10-K filed with the SEC on March 30, 2023)</w:t>
        </w:r>
      </w:hyperlink>
    </w:p>
    <w:p>
      <w:pPr>
        <w:spacing w:after="0" w:line="31" w:lineRule="exact"/>
        <w:rPr>
          <w:rFonts w:ascii="Times New Roman" w:cs="Times New Roman" w:eastAsia="Times New Roman" w:hAnsi="Times New Roman"/>
          <w:sz w:val="17"/>
          <w:szCs w:val="17"/>
          <w:u w:val="single" w:color="auto"/>
          <w:color w:val="0000EE"/>
        </w:rPr>
      </w:pPr>
    </w:p>
    <w:p>
      <w:pPr>
        <w:ind w:left="1200" w:right="280" w:hanging="1084"/>
        <w:spacing w:after="0" w:line="312" w:lineRule="auto"/>
        <w:tabs>
          <w:tab w:leader="none" w:pos="197" w:val="left"/>
        </w:tabs>
        <w:numPr>
          <w:ilvl w:val="0"/>
          <w:numId w:val="1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hyperlink r:id="rId65">
        <w:r>
          <w:rPr>
            <w:rFonts w:ascii="Times New Roman" w:cs="Times New Roman" w:eastAsia="Times New Roman" w:hAnsi="Times New Roman"/>
            <w:sz w:val="17"/>
            <w:szCs w:val="17"/>
            <w:u w:val="single" w:color="auto"/>
            <w:color w:val="0000EE"/>
          </w:rPr>
          <w:t>Amendment to Exclusive License Agreement by and between Candel Therapeutics, Inc. and Periphagen, Inc. dated June 7, 2023</w:t>
        </w:r>
      </w:hyperlink>
      <w:r>
        <w:rPr>
          <w:rFonts w:ascii="Times New Roman" w:cs="Times New Roman" w:eastAsia="Times New Roman" w:hAnsi="Times New Roman"/>
          <w:sz w:val="17"/>
          <w:szCs w:val="17"/>
          <w:u w:val="single" w:color="auto"/>
          <w:color w:val="0000EE"/>
        </w:rPr>
        <w:t xml:space="preserve"> </w:t>
      </w:r>
      <w:hyperlink r:id="rId65">
        <w:r>
          <w:rPr>
            <w:rFonts w:ascii="Times New Roman" w:cs="Times New Roman" w:eastAsia="Times New Roman" w:hAnsi="Times New Roman"/>
            <w:sz w:val="17"/>
            <w:szCs w:val="17"/>
            <w:u w:val="single" w:color="auto"/>
            <w:color w:val="0000EE"/>
          </w:rPr>
          <w:t>(incorporated by reference to Exhibit 10.1 to the Registrant’s Quarterly Report on Form 10-Q filed with the SEC on August 10, 2023)</w:t>
        </w:r>
      </w:hyperlink>
    </w:p>
    <w:p>
      <w:pPr>
        <w:spacing w:after="0" w:line="19"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9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First Amendment to Loan and Security Agreement by and between Candel Therapeutics, Inc. and Silicon Valley Bank, dated June 14,</w:t>
              </w:r>
            </w:hyperlink>
          </w:p>
        </w:tc>
      </w:tr>
      <w:tr>
        <w:trPr>
          <w:trHeight w:val="196"/>
        </w:trPr>
        <w:tc>
          <w:tcPr>
            <w:tcW w:w="1080" w:type="dxa"/>
            <w:vAlign w:val="bottom"/>
          </w:tcPr>
          <w:p>
            <w:pPr>
              <w:spacing w:after="0"/>
              <w:rPr>
                <w:sz w:val="17"/>
                <w:szCs w:val="17"/>
                <w:color w:val="auto"/>
              </w:rPr>
            </w:pPr>
          </w:p>
        </w:tc>
        <w:tc>
          <w:tcPr>
            <w:tcW w:w="9640" w:type="dxa"/>
            <w:vAlign w:val="bottom"/>
            <w:gridSpan w:val="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2023 (incorporated by reference to Exhibit 10.2 to the Registrant’s Quarterly Report on Form 10-Q filed with the SEC on August 10,</w:t>
              </w:r>
            </w:hyperlink>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2023)</w:t>
              </w:r>
            </w:hyperlink>
          </w:p>
        </w:tc>
        <w:tc>
          <w:tcPr>
            <w:tcW w:w="9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17" w:lineRule="exact"/>
        <w:rPr>
          <w:sz w:val="20"/>
          <w:szCs w:val="20"/>
          <w:color w:val="auto"/>
        </w:rPr>
      </w:pPr>
    </w:p>
    <w:p>
      <w:pPr>
        <w:ind w:left="1200" w:right="220" w:hanging="1084"/>
        <w:spacing w:after="0" w:line="282" w:lineRule="auto"/>
        <w:tabs>
          <w:tab w:leader="none" w:pos="197"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67">
        <w:r>
          <w:rPr>
            <w:rFonts w:ascii="Times New Roman" w:cs="Times New Roman" w:eastAsia="Times New Roman" w:hAnsi="Times New Roman"/>
            <w:sz w:val="18"/>
            <w:szCs w:val="18"/>
            <w:u w:val="single" w:color="auto"/>
            <w:color w:val="0000EE"/>
          </w:rPr>
          <w:t>Consulting by and between Candel Therapeutics, Inc. and Jason A. Amello, dated as of January 12, 2024 (incorporated by reference to</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Exhibit 10.19 to the Registrant’s Annual Report on Form 10-K filed with the SEC on March 28, 2024)</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95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List of Subsidiary (incorporated by reference to Exhibit 21.1 to the Registrant’s Annual Report on Form 10-K filed with the SEC on</w:t>
              </w:r>
            </w:hyperlink>
          </w:p>
        </w:tc>
        <w:tc>
          <w:tcPr>
            <w:tcW w:w="180" w:type="dxa"/>
            <w:vAlign w:val="bottom"/>
            <w:gridSpan w:val="3"/>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March 29, 2022)</w:t>
              </w:r>
            </w:hyperlink>
          </w:p>
        </w:tc>
        <w:tc>
          <w:tcPr>
            <w:tcW w:w="8480" w:type="dxa"/>
            <w:vAlign w:val="bottom"/>
            <w:gridSpan w:val="6"/>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9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Consent of KPMG LLP, Independent Registered Public Accounting Firm (incorporated by reference to Exhibit 23.1 to the Registrant’s</w:t>
              </w:r>
            </w:hyperlink>
          </w:p>
        </w:tc>
      </w:tr>
      <w:tr>
        <w:trPr>
          <w:trHeight w:val="196"/>
        </w:trPr>
        <w:tc>
          <w:tcPr>
            <w:tcW w:w="1080" w:type="dxa"/>
            <w:vAlign w:val="bottom"/>
          </w:tcPr>
          <w:p>
            <w:pPr>
              <w:spacing w:after="0"/>
              <w:rPr>
                <w:sz w:val="17"/>
                <w:szCs w:val="17"/>
                <w:color w:val="auto"/>
              </w:rPr>
            </w:pPr>
          </w:p>
        </w:tc>
        <w:tc>
          <w:tcPr>
            <w:tcW w:w="9700" w:type="dxa"/>
            <w:vAlign w:val="bottom"/>
            <w:gridSpan w:val="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Annual Report on Form 10-K filed with the SEC on March 28, 2024)</w:t>
              </w:r>
            </w:hyperlink>
          </w:p>
        </w:tc>
      </w:tr>
      <w:tr>
        <w:trPr>
          <w:trHeight w:val="20"/>
        </w:trPr>
        <w:tc>
          <w:tcPr>
            <w:tcW w:w="1080" w:type="dxa"/>
            <w:vAlign w:val="bottom"/>
          </w:tcPr>
          <w:p>
            <w:pPr>
              <w:spacing w:after="0" w:line="20" w:lineRule="exact"/>
              <w:rPr>
                <w:sz w:val="1"/>
                <w:szCs w:val="1"/>
                <w:color w:val="auto"/>
              </w:rPr>
            </w:pPr>
          </w:p>
        </w:tc>
        <w:tc>
          <w:tcPr>
            <w:tcW w:w="5000" w:type="dxa"/>
            <w:vAlign w:val="bottom"/>
            <w:gridSpan w:val="2"/>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9700" w:type="dxa"/>
            <w:vAlign w:val="bottom"/>
            <w:gridSpan w:val="7"/>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Power of Attorney (incorporated by reference to Exhibit 24.1 to the Registrant’s Annual Report on Form 10-K filed with the SEC on</w:t>
              </w:r>
            </w:hyperlink>
          </w:p>
        </w:tc>
      </w:tr>
      <w:tr>
        <w:trPr>
          <w:trHeight w:val="196"/>
        </w:trPr>
        <w:tc>
          <w:tcPr>
            <w:tcW w:w="108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March 28, 2024)</w:t>
              </w:r>
            </w:hyperlink>
          </w:p>
        </w:tc>
        <w:tc>
          <w:tcPr>
            <w:tcW w:w="8340" w:type="dxa"/>
            <w:vAlign w:val="bottom"/>
            <w:tcBorders>
              <w:top w:val="single" w:sz="8" w:color="0000EE"/>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9700" w:type="dxa"/>
            <w:vAlign w:val="bottom"/>
            <w:gridSpan w:val="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Adopted Pursuant to Section 302 of the Sarbanes-Oxley Act of 2002 (incorporated by reference to Exhibit 31.1 to the Registrant’s</w:t>
              </w:r>
            </w:hyperlink>
          </w:p>
        </w:tc>
        <w:tc>
          <w:tcPr>
            <w:tcW w:w="24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700" w:type="dxa"/>
            <w:vAlign w:val="bottom"/>
            <w:gridSpan w:val="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Annual Report on Form 10-K filed with the SEC on March 28, 2024)</w:t>
              </w:r>
            </w:hyperlink>
          </w:p>
        </w:tc>
      </w:tr>
      <w:tr>
        <w:trPr>
          <w:trHeight w:val="385"/>
        </w:trPr>
        <w:tc>
          <w:tcPr>
            <w:tcW w:w="1080" w:type="dxa"/>
            <w:vAlign w:val="bottom"/>
          </w:tcPr>
          <w:p>
            <w:pPr>
              <w:spacing w:after="0"/>
              <w:rPr>
                <w:sz w:val="24"/>
                <w:szCs w:val="24"/>
                <w:color w:val="auto"/>
              </w:rPr>
            </w:pPr>
          </w:p>
        </w:tc>
        <w:tc>
          <w:tcPr>
            <w:tcW w:w="5000" w:type="dxa"/>
            <w:vAlign w:val="bottom"/>
            <w:tcBorders>
              <w:top w:val="single" w:sz="8" w:color="0000EE"/>
            </w:tcBorders>
            <w:gridSpan w:val="2"/>
          </w:tcPr>
          <w:p>
            <w:pPr>
              <w:ind w:left="4340"/>
              <w:spacing w:after="0"/>
              <w:rPr>
                <w:sz w:val="20"/>
                <w:szCs w:val="20"/>
                <w:color w:val="auto"/>
              </w:rPr>
            </w:pPr>
            <w:r>
              <w:rPr>
                <w:rFonts w:ascii="Times New Roman" w:cs="Times New Roman" w:eastAsia="Times New Roman" w:hAnsi="Times New Roman"/>
                <w:sz w:val="18"/>
                <w:szCs w:val="18"/>
                <w:color w:val="auto"/>
              </w:rPr>
              <w:t>22</w:t>
            </w: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9900" w:type="dxa"/>
            <w:vAlign w:val="bottom"/>
            <w:gridSpan w:val="10"/>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r>
      <w:tr>
        <w:trPr>
          <w:trHeight w:val="196"/>
        </w:trPr>
        <w:tc>
          <w:tcPr>
            <w:tcW w:w="110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Adopted Pursuant to Section 302 of the Sarbanes-Oxley Act of 2002 (incorporated by reference to Exhibit 31.2 to the Registrant’s</w:t>
              </w:r>
            </w:hyperlink>
          </w:p>
        </w:tc>
        <w:tc>
          <w:tcPr>
            <w:tcW w:w="34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Annual Report on Form 10-K filed with the SEC on March 28, 2024)</w:t>
              </w:r>
            </w:hyperlink>
          </w:p>
        </w:tc>
        <w:tc>
          <w:tcPr>
            <w:tcW w:w="4360" w:type="dxa"/>
            <w:vAlign w:val="bottom"/>
            <w:tcBorders>
              <w:top w:val="single" w:sz="8" w:color="0000EE"/>
            </w:tcBorders>
          </w:tcPr>
          <w:p>
            <w:pPr>
              <w:spacing w:after="0"/>
              <w:rPr>
                <w:sz w:val="17"/>
                <w:szCs w:val="17"/>
                <w:color w:val="auto"/>
              </w:rPr>
            </w:pPr>
          </w:p>
        </w:tc>
        <w:tc>
          <w:tcPr>
            <w:tcW w:w="540" w:type="dxa"/>
            <w:vAlign w:val="bottom"/>
            <w:gridSpan w:val="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31.3*</w:t>
            </w:r>
          </w:p>
        </w:tc>
        <w:tc>
          <w:tcPr>
            <w:tcW w:w="9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26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31.4*</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10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4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9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Certification of Principal Executive Officer and Principal Financial Officer Pursuant to 18 U.S.C. Section 1350, as Adopted Pursuant to</w:t>
              </w:r>
            </w:hyperlink>
          </w:p>
        </w:tc>
        <w:tc>
          <w:tcPr>
            <w:tcW w:w="1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Section 906 of the Sarbanes-Oxley Act of 2002 (incorporated by reference to Exhibit 32.1 to the Registrant’s Annual Report on Form</w:t>
              </w:r>
            </w:hyperlink>
          </w:p>
        </w:tc>
        <w:tc>
          <w:tcPr>
            <w:tcW w:w="28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10-K filed with the SEC on March 28, 2024)</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9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Compensation Recovery Policy (incorporated by reference to Exhibit 97.1 to the Registrant’s Annual Report on Form 10-K filed with the</w:t>
              </w:r>
            </w:hyperlink>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SEC on March 28, 2024).</w:t>
              </w:r>
            </w:hyperlink>
          </w:p>
        </w:tc>
        <w:tc>
          <w:tcPr>
            <w:tcW w:w="8040" w:type="dxa"/>
            <w:vAlign w:val="bottom"/>
            <w:gridSpan w:val="9"/>
          </w:tcPr>
          <w:p>
            <w:pPr>
              <w:spacing w:after="0"/>
              <w:rPr>
                <w:sz w:val="17"/>
                <w:szCs w:val="17"/>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10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left="540" w:right="24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Candel Therapeutics,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April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Peter Tak, M.D., Ph.D., FMedSci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920"/>
          </w:cols>
          <w:pgMar w:left="320" w:top="482" w:right="6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Paul Peter Tak, M.D., Ph.D., FMedSci, certify that:</w:t>
      </w:r>
    </w:p>
    <w:p>
      <w:pPr>
        <w:spacing w:after="0" w:line="225" w:lineRule="exact"/>
        <w:rPr>
          <w:sz w:val="20"/>
          <w:szCs w:val="20"/>
          <w:color w:val="auto"/>
        </w:rPr>
      </w:pPr>
    </w:p>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Candel Therapeutics, Inc.; and</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April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Peter Tak, M.D., Ph.D., FMedSci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Paul Peter Tak, M.D., Ph.D., FMedSci</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024"/>
          </w:cols>
          <w:pgMar w:left="436"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Charles Schoch, certify that:</w:t>
      </w:r>
    </w:p>
    <w:p>
      <w:pPr>
        <w:spacing w:after="0" w:line="225" w:lineRule="exact"/>
        <w:rPr>
          <w:sz w:val="20"/>
          <w:szCs w:val="20"/>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Candel Therapeutics, Inc.; and</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April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Charles Schoch</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Interim Chief Financial Officer (Principal Financial and</w:t>
      </w:r>
    </w:p>
    <w:p>
      <w:pPr>
        <w:spacing w:after="0" w:line="9"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Accounting Officer)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
      <w:numFmt w:val="bullet"/>
      <w:start w:val="1"/>
    </w:lvl>
  </w:abstractNum>
  <w:abstractNum w:abstractNumId="17">
    <w:nsid w:val="333AB105"/>
    <w:multiLevelType w:val="hybridMultilevel"/>
    <w:lvl w:ilvl="0">
      <w:lvlJc w:val="left"/>
      <w:lvlText w:val=" "/>
      <w:numFmt w:val="bullet"/>
      <w:start w:val="1"/>
    </w:lvl>
  </w:abstractNum>
  <w:abstractNum w:abstractNumId="18">
    <w:nsid w:val="721DA317"/>
    <w:multiLevelType w:val="hybridMultilevel"/>
    <w:lvl w:ilvl="0">
      <w:lvlJc w:val="left"/>
      <w:lvlText w:val=" "/>
      <w:numFmt w:val="bullet"/>
      <w:start w:val="1"/>
    </w:lvl>
  </w:abstractNum>
  <w:abstractNum w:abstractNumId="19">
    <w:nsid w:val="2443A858"/>
    <w:multiLevelType w:val="hybridMultilevel"/>
    <w:lvl w:ilvl="0">
      <w:lvlJc w:val="left"/>
      <w:lvlText w:val=" "/>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3" Type="http://schemas.openxmlformats.org/officeDocument/2006/relationships/image" Target="media/image33.png"/><Relationship Id="rId72"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40" Type="http://schemas.openxmlformats.org/officeDocument/2006/relationships/hyperlink" Target="http://www.sec.gov/Archives/edgar/data/1841387/000119312521229437/d203496dex31.htm" TargetMode="External"/><Relationship Id="rId41" Type="http://schemas.openxmlformats.org/officeDocument/2006/relationships/hyperlink" Target="http://www.sec.gov/Archives/edgar/data/1841387/000119312521229437/d203496dex32.htm" TargetMode="External"/><Relationship Id="rId42" Type="http://schemas.openxmlformats.org/officeDocument/2006/relationships/hyperlink" Target="http://www.sec.gov/Archives/edgar/data/1841387/000119312521216891/d120909dex41.htm" TargetMode="External"/><Relationship Id="rId43" Type="http://schemas.openxmlformats.org/officeDocument/2006/relationships/hyperlink" Target="http://www.sec.gov/Archives/edgar/data/1841387/000095017022004857/cadl-ex4_2.htm" TargetMode="External"/><Relationship Id="rId44" Type="http://schemas.openxmlformats.org/officeDocument/2006/relationships/hyperlink" Target="http://www.sec.gov/Archives/edgar/data/1841387/000119312521200639/d120909dex42.htm" TargetMode="External"/><Relationship Id="rId45" Type="http://schemas.openxmlformats.org/officeDocument/2006/relationships/hyperlink" Target="http://www.sec.gov/Archives/edgar/data/1841387/000119312521216891/d120909dex43.htm" TargetMode="External"/><Relationship Id="rId46" Type="http://schemas.openxmlformats.org/officeDocument/2006/relationships/hyperlink" Target="http://www.sec.gov/Archives/edgar/data/1841387/000119312521216891/d120909dex44.htm" TargetMode="External"/><Relationship Id="rId47" Type="http://schemas.openxmlformats.org/officeDocument/2006/relationships/hyperlink" Target="http://www.sec.gov/Archives/edgar/data/1841387/000119312521200639/d120909dex45.htm" TargetMode="External"/><Relationship Id="rId48" Type="http://schemas.openxmlformats.org/officeDocument/2006/relationships/hyperlink" Target="http://www.sec.gov/Archives/edgar/data/1841387/000119312521216891/d120909dex101.htm" TargetMode="External"/><Relationship Id="rId49" Type="http://schemas.openxmlformats.org/officeDocument/2006/relationships/hyperlink" Target="http://www.sec.gov/Archives/edgar/data/1841387/000119312521216891/d120909dex102.htm" TargetMode="External"/><Relationship Id="rId50" Type="http://schemas.openxmlformats.org/officeDocument/2006/relationships/hyperlink" Target="http://www.sec.gov/Archives/edgar/data/1841387/000119312521216891/d120909dex103.htm" TargetMode="External"/><Relationship Id="rId51" Type="http://schemas.openxmlformats.org/officeDocument/2006/relationships/hyperlink" Target="http://www.sec.gov/Archives/edgar/data/1841387/000119312521216891/d120909dex104.htm" TargetMode="External"/><Relationship Id="rId52" Type="http://schemas.openxmlformats.org/officeDocument/2006/relationships/hyperlink" Target="http://www.sec.gov/Archives/edgar/data/1841387/000119312521216891/d120909dex1051.htm" TargetMode="External"/><Relationship Id="rId54" Type="http://schemas.openxmlformats.org/officeDocument/2006/relationships/hyperlink" Target="http://www.sec.gov/Archives/edgar/data/1841387/000119312521216891/d120909dex106.htm" TargetMode="External"/><Relationship Id="rId55" Type="http://schemas.openxmlformats.org/officeDocument/2006/relationships/hyperlink" Target="http://www.sec.gov/Archives/edgar/data/1841387/000119312521216891/d120909dex107.htm" TargetMode="External"/><Relationship Id="rId56" Type="http://schemas.openxmlformats.org/officeDocument/2006/relationships/hyperlink" Target="http://www.sec.gov/Archives/edgar/data/1841387/000119312521200639/d120909dex108.htm" TargetMode="External"/><Relationship Id="rId57" Type="http://schemas.openxmlformats.org/officeDocument/2006/relationships/hyperlink" Target="http://www.sec.gov/Archives/edgar/data/1841387/000119312521216891/d120909dex109.htm" TargetMode="External"/><Relationship Id="rId58" Type="http://schemas.openxmlformats.org/officeDocument/2006/relationships/hyperlink" Target="http://www.sec.gov/Archives/edgar/data/1841387/000119312521216891/d120909dex1010.htm" TargetMode="External"/><Relationship Id="rId59" Type="http://schemas.openxmlformats.org/officeDocument/2006/relationships/hyperlink" Target="http://www.sec.gov/Archives/edgar/data/1841387/000095017022004857/cadl-ex10_11.htm" TargetMode="External"/><Relationship Id="rId60" Type="http://schemas.openxmlformats.org/officeDocument/2006/relationships/hyperlink" Target="http://www.sec.gov/Archives/edgar/data/1841387/000095017022004857/cadl-ex10_12.htm" TargetMode="External"/><Relationship Id="rId61" Type="http://schemas.openxmlformats.org/officeDocument/2006/relationships/hyperlink" Target="http://www.sec.gov/Archives/edgar/data/1841387/000095017022004857/cadl-ex10_13.htm" TargetMode="External"/><Relationship Id="rId62" Type="http://schemas.openxmlformats.org/officeDocument/2006/relationships/hyperlink" Target="http://www.sec.gov/Archives/edgar/data/1841387/000095017022009479/cadl-ex10_8.htm" TargetMode="External"/><Relationship Id="rId63" Type="http://schemas.openxmlformats.org/officeDocument/2006/relationships/hyperlink" Target="http://www.sec.gov/Archives/edgar/data/1841387/000095017022024197/cadl-ex10_1.htm" TargetMode="External"/><Relationship Id="rId64" Type="http://schemas.openxmlformats.org/officeDocument/2006/relationships/hyperlink" Target="http://www.sec.gov/Archives/edgar/data/1841387/000095017023010760/cadl-ex10_16.htm" TargetMode="External"/><Relationship Id="rId65" Type="http://schemas.openxmlformats.org/officeDocument/2006/relationships/hyperlink" Target="http://www.sec.gov/Archives/edgar/data/1841387/000095017023040984/cadl-ex10_1.htm" TargetMode="External"/><Relationship Id="rId66" Type="http://schemas.openxmlformats.org/officeDocument/2006/relationships/hyperlink" Target="http://www.sec.gov/Archives/edgar/data/1841387/000095017023040984/cadl-ex10_2.htm" TargetMode="External"/><Relationship Id="rId67" Type="http://schemas.openxmlformats.org/officeDocument/2006/relationships/hyperlink" Target="http://www.sec.gov/Archives/edgar/data/1841387/000095017024037637/cadl-ex10_19.htm" TargetMode="External"/><Relationship Id="rId68" Type="http://schemas.openxmlformats.org/officeDocument/2006/relationships/hyperlink" Target="http://www.sec.gov/Archives/edgar/data/1841387/000095017022004857/cadl-ex21_1.htm" TargetMode="External"/><Relationship Id="rId69" Type="http://schemas.openxmlformats.org/officeDocument/2006/relationships/hyperlink" Target="http://www.sec.gov/Archives/edgar/data/1841387/000095017024037637/cadl-ex23_1.htm" TargetMode="External"/><Relationship Id="rId70" Type="http://schemas.openxmlformats.org/officeDocument/2006/relationships/hyperlink" Target="http://www.sec.gov/Archives/edgar/data/1841387/000095017024037637/cadl-20231231.htm#signatures" TargetMode="External"/><Relationship Id="rId71" Type="http://schemas.openxmlformats.org/officeDocument/2006/relationships/hyperlink" Target="http://www.sec.gov/Archives/edgar/data/1841387/000095017024037637/cadl-ex31_1.htm" TargetMode="External"/><Relationship Id="rId73" Type="http://schemas.openxmlformats.org/officeDocument/2006/relationships/hyperlink" Target="http://www.sec.gov/Archives/edgar/data/1841387/000095017024037637/cadl-ex31_2.htm" TargetMode="External"/><Relationship Id="rId74" Type="http://schemas.openxmlformats.org/officeDocument/2006/relationships/hyperlink" Target="http://www.sec.gov/Archives/edgar/data/1841387/000095017024037637/cadl-ex32_1.htm" TargetMode="External"/><Relationship Id="rId75" Type="http://schemas.openxmlformats.org/officeDocument/2006/relationships/hyperlink" Target="http://www.sec.gov/Archives/edgar/data/1841387/000095017024037637/cadl-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2024-04-25T06:46:40Z</dcterms:created>
  <dcterms:modified xsi:type="dcterms:W3CDTF">2024-04-25T06:46:40Z</dcterms:modified>
</cp:coreProperties>
</file>