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Tak Paul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CANDEL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Candel Therapeutics, Inc.</w:t>
              </w:r>
            </w:hyperlink>
            <w:r>
              <w:rPr/>
              <w:t xml:space="preserve"> [ </w:t>
            </w:r>
            <w:r>
              <w:rPr>
                <w:rFonts w:ascii="Times;serif" w:hAnsi="Times;serif"/>
                <w:color w:val="0000FF"/>
                <w:sz w:val="24"/>
                <w:shd w:fill="FFFFFF" w:val="clear"/>
              </w:rPr>
              <w:t>CADL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393,566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220,866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11.4997</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59,379</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10.4564</w:t>
            </w: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113,321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1,638,968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on this Form 4 was effected pursuant to a 10b5-1 plan adopted on 3/13/2026 and modified on 6/11/2026.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$11.20 to $12.07,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$9.86 to $11.39,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3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this option vested and became exercisable on October 10, 2020, with another 25% vesting on September 14, 2021, and the remainder vesting in 36 substantially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Schoch, as Attorney-In-Fact for Paul Peter Tak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3905" TargetMode="External"/><Relationship Id="rId5" Type="http://schemas.openxmlformats.org/officeDocument/2006/relationships/hyperlink" Target="http://www.sec.gov/cgi-bin/browse-edgar?action=getcompany&amp;CIK=0001841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4359</Characters>
  <CharactersWithSpaces>5070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