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540" w:hanging="3639"/>
        <w:spacing w:after="0" w:line="320"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2780" w:right="1540" w:hanging="2759"/>
        <w:spacing w:after="0" w:line="328" w:lineRule="auto"/>
        <w:tabs>
          <w:tab w:leader="none" w:pos="487"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0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001-40629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CANDEL THERAPEUTICS,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p>
      <w:pPr>
        <w:spacing w:after="0" w:line="185"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Delaware</w:t>
      </w:r>
    </w:p>
    <w:p>
      <w:pPr>
        <w:spacing w:after="0" w:line="37"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52-2214851</w:t>
      </w:r>
    </w:p>
    <w:p>
      <w:pPr>
        <w:spacing w:after="0" w:line="39"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70" w:lineRule="exact"/>
        <w:rPr>
          <w:sz w:val="24"/>
          <w:szCs w:val="24"/>
          <w:color w:val="auto"/>
        </w:rPr>
      </w:pPr>
    </w:p>
    <w:p>
      <w:pPr>
        <w:sectPr>
          <w:pgSz w:w="11900" w:h="16838" w:orient="portrait"/>
          <w:cols w:equalWidth="0" w:num="2">
            <w:col w:w="7180" w:space="720"/>
            <w:col w:w="3340"/>
          </w:cols>
          <w:pgMar w:left="320" w:top="1230" w:right="339" w:bottom="1440" w:gutter="0" w:footer="0" w:header="0"/>
          <w:type w:val="continuous"/>
        </w:sectPr>
      </w:pPr>
    </w:p>
    <w:p>
      <w:pPr>
        <w:ind w:left="1820"/>
        <w:spacing w:after="0"/>
        <w:rPr>
          <w:sz w:val="20"/>
          <w:szCs w:val="20"/>
          <w:color w:val="auto"/>
        </w:rPr>
      </w:pPr>
      <w:r>
        <w:rPr>
          <w:rFonts w:ascii="Arial" w:cs="Arial" w:eastAsia="Arial" w:hAnsi="Arial"/>
          <w:sz w:val="16"/>
          <w:szCs w:val="16"/>
          <w:b w:val="1"/>
          <w:bCs w:val="1"/>
          <w:color w:val="auto"/>
        </w:rPr>
        <w:t>117 Kendrick St, Suite 450</w:t>
      </w:r>
    </w:p>
    <w:p>
      <w:pPr>
        <w:spacing w:after="0" w:line="21" w:lineRule="exact"/>
        <w:rPr>
          <w:sz w:val="24"/>
          <w:szCs w:val="24"/>
          <w:color w:val="auto"/>
        </w:rPr>
      </w:pPr>
    </w:p>
    <w:p>
      <w:pPr>
        <w:ind w:left="2280"/>
        <w:spacing w:after="0"/>
        <w:tabs>
          <w:tab w:leader="none" w:pos="8180" w:val="left"/>
        </w:tabs>
        <w:rPr>
          <w:sz w:val="20"/>
          <w:szCs w:val="20"/>
          <w:color w:val="auto"/>
        </w:rPr>
      </w:pPr>
      <w:r>
        <w:rPr>
          <w:rFonts w:ascii="Arial" w:cs="Arial" w:eastAsia="Arial" w:hAnsi="Arial"/>
          <w:sz w:val="16"/>
          <w:szCs w:val="16"/>
          <w:b w:val="1"/>
          <w:bCs w:val="1"/>
          <w:color w:val="auto"/>
        </w:rPr>
        <w:t>Needham, MA</w:t>
      </w:r>
      <w:r>
        <w:rPr>
          <w:sz w:val="20"/>
          <w:szCs w:val="20"/>
          <w:color w:val="auto"/>
        </w:rPr>
        <w:tab/>
      </w:r>
      <w:r>
        <w:rPr>
          <w:rFonts w:ascii="Arial" w:cs="Arial" w:eastAsia="Arial" w:hAnsi="Arial"/>
          <w:sz w:val="16"/>
          <w:szCs w:val="16"/>
          <w:b w:val="1"/>
          <w:bCs w:val="1"/>
          <w:color w:val="auto"/>
        </w:rPr>
        <w:t>02494</w:t>
      </w:r>
    </w:p>
    <w:p>
      <w:pPr>
        <w:spacing w:after="0" w:line="23" w:lineRule="exact"/>
        <w:rPr>
          <w:sz w:val="24"/>
          <w:szCs w:val="24"/>
          <w:color w:val="auto"/>
        </w:r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60"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(617) 916-5445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8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CADL</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bl>
    <w:p>
      <w:pPr>
        <w:spacing w:after="0" w:line="55" w:lineRule="exact"/>
        <w:rPr>
          <w:sz w:val="24"/>
          <w:szCs w:val="24"/>
          <w:color w:val="auto"/>
        </w:rPr>
      </w:pPr>
    </w:p>
    <w:p>
      <w:pPr>
        <w:ind w:right="12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right="4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2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9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40" w:type="dxa"/>
            <w:vAlign w:val="bottom"/>
          </w:tcPr>
          <w:p>
            <w:pPr>
              <w:ind w:left="290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0" w:lineRule="exact"/>
        <w:rPr>
          <w:sz w:val="24"/>
          <w:szCs w:val="24"/>
          <w:color w:val="auto"/>
        </w:rPr>
      </w:pPr>
    </w:p>
    <w:p>
      <w:pPr>
        <w:jc w:val="both"/>
        <w:ind w:right="6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200"/>
        <w:spacing w:after="0" w:line="26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6, 2024, the registrant had 29,744,731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7"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This Quarterly Report on Form 10-Q (Form 10-Q), including the section entitled “Management’s Discussion and Analysis of Financial Condition and Results of Operations,”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Form 10-Q may include, but are not limited to, statements about:</w:t>
      </w:r>
    </w:p>
    <w:p>
      <w:pPr>
        <w:spacing w:after="0" w:line="7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the success of preclinical studies and clinical trials of CAN-2409 and CAN-3110 and any other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initiation of any clinical trials of CAN-2409 (international non-proprietary name: aglatimagene besadenovec) and CAN-3110 and any other product candidates;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need to raise additional funding before we can expect to generate any revenues from product sales;</w:t>
      </w:r>
    </w:p>
    <w:p>
      <w:pPr>
        <w:spacing w:after="0" w:line="114" w:lineRule="exact"/>
        <w:rPr>
          <w:rFonts w:ascii="Times New Roman" w:cs="Times New Roman" w:eastAsia="Times New Roman" w:hAnsi="Times New Roman"/>
          <w:sz w:val="17"/>
          <w:szCs w:val="17"/>
          <w:color w:val="auto"/>
        </w:rPr>
      </w:pPr>
    </w:p>
    <w:p>
      <w:pPr>
        <w:ind w:left="1020" w:right="78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conduct successful clinical trials or obtain regulatory approval for CAN-2409 and CAN-3110 or any other product candidates that we may identify or develop;</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of our research to generate and advance additional product candidates;</w:t>
      </w:r>
    </w:p>
    <w:p>
      <w:pPr>
        <w:spacing w:after="0" w:line="114" w:lineRule="exact"/>
        <w:rPr>
          <w:rFonts w:ascii="Times New Roman" w:cs="Times New Roman" w:eastAsia="Times New Roman" w:hAnsi="Times New Roman"/>
          <w:sz w:val="17"/>
          <w:szCs w:val="17"/>
          <w:color w:val="auto"/>
        </w:rPr>
      </w:pPr>
    </w:p>
    <w:p>
      <w:pPr>
        <w:ind w:left="1020" w:right="24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effects of public health crises, outbreaks of an infectious disease or ongoing geopolitical conflicts, including mitigation efforts and economic effects, on any of the foregoing or other aspects of our business operations;</w:t>
      </w:r>
    </w:p>
    <w:p>
      <w:pPr>
        <w:spacing w:after="0" w:line="51" w:lineRule="exact"/>
        <w:rPr>
          <w:rFonts w:ascii="Times New Roman" w:cs="Times New Roman" w:eastAsia="Times New Roman" w:hAnsi="Times New Roman"/>
          <w:sz w:val="17"/>
          <w:szCs w:val="17"/>
          <w:color w:val="auto"/>
        </w:rPr>
      </w:pPr>
    </w:p>
    <w:p>
      <w:pPr>
        <w:ind w:left="1020" w:right="34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 adequate safety or efficacy profile for CAN-2409, CAN-3110 or any other product candidates that we may pursue;</w:t>
      </w:r>
    </w:p>
    <w:p>
      <w:pPr>
        <w:spacing w:after="0" w:line="51" w:lineRule="exact"/>
        <w:rPr>
          <w:rFonts w:ascii="Times New Roman" w:cs="Times New Roman" w:eastAsia="Times New Roman" w:hAnsi="Times New Roman"/>
          <w:sz w:val="17"/>
          <w:szCs w:val="17"/>
          <w:color w:val="auto"/>
        </w:rPr>
      </w:pPr>
    </w:p>
    <w:p>
      <w:pPr>
        <w:ind w:left="1020" w:right="40" w:hanging="503"/>
        <w:spacing w:after="0" w:line="249"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manufacture CAN-2409, CAN-3110 or any other product candidate in conformity with our specifications and the U.S. Food and Drug Administration’s (FDA) requirements and to scale up manufacturing of our product candidates to commercial scale, if approved;</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implementation of our strategic plans for our business, any product candidates we may develop and any companion diagnostics;</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intellectual property position, including the scope of protection we are able to establish and maintain for intellectual property rights covering our product candidates any companion diagnostics;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rate and degree of market acceptance and clinical utility for any product candidates we may develop;</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period we estimate to be funded by our existing financial resources;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benefits with the continued existence of our license agreement with Mass General Brigham (MGB);</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financial performance;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effectively manage our anticipated growth;</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relating to our competitors and our industry, including the impact of government regulation;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other risks and uncertainties, including those discussed in Part II, Item 1A - Risk Factors in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2" w:name="page3"/>
    <w:bookmarkEnd w:id="2"/>
    <w:p>
      <w:pPr>
        <w:ind w:right="40"/>
        <w:spacing w:after="0" w:line="237" w:lineRule="auto"/>
        <w:rPr>
          <w:sz w:val="20"/>
          <w:szCs w:val="20"/>
          <w:color w:val="auto"/>
        </w:rPr>
      </w:pPr>
      <w:r>
        <w:rPr>
          <w:rFonts w:ascii="Arial" w:cs="Arial" w:eastAsia="Arial" w:hAnsi="Arial"/>
          <w:sz w:val="17"/>
          <w:szCs w:val="17"/>
          <w:color w:val="auto"/>
        </w:rPr>
        <w:t>In some cases, forward-looking statements can be identified by terminology such as “will,” “may,” “should,” “could,” “expects,” “intends,” “plans,” “aims,” “anticipates,” “believes,” “estimates,” “predicts,” “potential,” “continue,” or the negative of these terms or other comparable terminology, although not all forward-looking statements contain these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Form 10-Q. If one or more of these risks or uncertainties occur, or if our underlying assumptions prove to be incorrect, actual events or results may vary significantly from those expressed or implied by the forward-looking statements. No forward-looking statement is a promise or a guarantee of future performance.</w:t>
      </w:r>
    </w:p>
    <w:p>
      <w:pPr>
        <w:spacing w:after="0" w:line="7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forward-looking statements in this Form 10-Q represent our views as of the date of this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Form 10-Q.</w:t>
      </w:r>
    </w:p>
    <w:p>
      <w:pPr>
        <w:spacing w:after="0" w:line="6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This Form 10-Q may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have not independently verified the information contained in such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6" w:right="4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SUMMARY OF THE MATERIAL AND OTHER RISKS ASSOCIATED WITH OUR BUSINESS</w:t>
      </w:r>
    </w:p>
    <w:p>
      <w:pPr>
        <w:spacing w:after="0" w:line="14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business is subject to numerous risks and uncertainties, including those described more fully in Part II, Item 1A - Risk Factors in this Form 10-Q. You should carefully consider these risks and uncertainties when investing in our common stock. The principal risks and uncertainties affecting our business include the following:</w:t>
      </w:r>
    </w:p>
    <w:p>
      <w:pPr>
        <w:spacing w:after="0" w:line="67" w:lineRule="exact"/>
        <w:rPr>
          <w:sz w:val="20"/>
          <w:szCs w:val="20"/>
          <w:color w:val="auto"/>
        </w:rPr>
      </w:pPr>
    </w:p>
    <w:p>
      <w:pPr>
        <w:ind w:left="1020" w:right="8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are a biopharmaceutical company with a limited operating history and we have not generated any revenue from product sales. We expect to continue to incur significant expenses and increasing operating losses for at least the next several years and may never achieve or maintain profitability.</w:t>
      </w:r>
    </w:p>
    <w:p>
      <w:pPr>
        <w:spacing w:after="0" w:line="65" w:lineRule="exact"/>
        <w:rPr>
          <w:rFonts w:ascii="Times New Roman" w:cs="Times New Roman" w:eastAsia="Times New Roman" w:hAnsi="Times New Roman"/>
          <w:sz w:val="17"/>
          <w:szCs w:val="17"/>
          <w:color w:val="auto"/>
        </w:rPr>
      </w:pPr>
    </w:p>
    <w:p>
      <w:pPr>
        <w:ind w:left="1020" w:right="26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doubt exists about our ability to continue as a going concern. Our ability to continue as a going concern requires that we obtain sufficient additional funding to finance our operations. If we are unable to raise capital when needed, we would be forced to delay, reduce or eliminate some of our research, clinical trials, product development, or future commercialization efforts.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incurred indebtedness, and we may incur additional indebtedness, which could adversely affect our financial condition.</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business is dependent on the success of CAN-2409, CAN-3110 and any other product candidates that we advance into the clinic. All of our product candidates will require additional development before we may be able to seek regulatory approval for and launch a product commercially.</w:t>
      </w:r>
    </w:p>
    <w:p>
      <w:pPr>
        <w:spacing w:after="0" w:line="65"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51"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51"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51" w:lineRule="exact"/>
        <w:rPr>
          <w:rFonts w:ascii="Times New Roman" w:cs="Times New Roman" w:eastAsia="Times New Roman" w:hAnsi="Times New Roman"/>
          <w:sz w:val="17"/>
          <w:szCs w:val="17"/>
          <w:color w:val="auto"/>
        </w:rPr>
      </w:pPr>
    </w:p>
    <w:p>
      <w:pPr>
        <w:ind w:left="1020" w:right="200" w:hanging="503"/>
        <w:spacing w:after="0" w:line="243"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71" w:lineRule="exact"/>
        <w:rPr>
          <w:rFonts w:ascii="Times New Roman" w:cs="Times New Roman" w:eastAsia="Times New Roman" w:hAnsi="Times New Roman"/>
          <w:sz w:val="17"/>
          <w:szCs w:val="17"/>
          <w:color w:val="auto"/>
        </w:rPr>
      </w:pPr>
    </w:p>
    <w:p>
      <w:pPr>
        <w:ind w:left="1020" w:right="26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FDA’s agreement to a Special Protocol Assessment with respect to the study design of our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65" w:lineRule="exact"/>
        <w:rPr>
          <w:rFonts w:ascii="Times New Roman" w:cs="Times New Roman" w:eastAsia="Times New Roman" w:hAnsi="Times New Roman"/>
          <w:sz w:val="17"/>
          <w:szCs w:val="17"/>
          <w:color w:val="auto"/>
        </w:rPr>
      </w:pPr>
    </w:p>
    <w:p>
      <w:pPr>
        <w:ind w:left="1020" w:right="340" w:hanging="503"/>
        <w:spacing w:after="0" w:line="243"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Some of our product candidates are being and may continue to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7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product candidate manufacturing or formulation may result in additional costs or delay.</w:t>
      </w:r>
    </w:p>
    <w:p>
      <w:pPr>
        <w:spacing w:after="0" w:line="114" w:lineRule="exact"/>
        <w:rPr>
          <w:rFonts w:ascii="Times New Roman" w:cs="Times New Roman" w:eastAsia="Times New Roman" w:hAnsi="Times New Roman"/>
          <w:sz w:val="17"/>
          <w:szCs w:val="17"/>
          <w:color w:val="auto"/>
        </w:rPr>
      </w:pPr>
    </w:p>
    <w:p>
      <w:pPr>
        <w:ind w:left="1020" w:right="34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Any future public health crisis, outbreaks of an infectious disease or ongoing geopolitical conflicts may have adverse effects on our business and operations.</w:t>
      </w:r>
    </w:p>
    <w:p>
      <w:pPr>
        <w:spacing w:after="0" w:line="51" w:lineRule="exact"/>
        <w:rPr>
          <w:rFonts w:ascii="Times New Roman" w:cs="Times New Roman" w:eastAsia="Times New Roman" w:hAnsi="Times New Roman"/>
          <w:sz w:val="17"/>
          <w:szCs w:val="17"/>
          <w:color w:val="auto"/>
        </w:rPr>
      </w:pPr>
    </w:p>
    <w:p>
      <w:pPr>
        <w:ind w:left="1020" w:right="52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65"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65"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transition of our manufacturing operations to a third-party contract manufacturer may result in further delays or expenses, and we may not experience the anticipated operating efficiencies.</w:t>
      </w:r>
    </w:p>
    <w:p>
      <w:pPr>
        <w:spacing w:after="0" w:line="51" w:lineRule="exact"/>
        <w:rPr>
          <w:rFonts w:ascii="Times New Roman" w:cs="Times New Roman" w:eastAsia="Times New Roman" w:hAnsi="Times New Roman"/>
          <w:sz w:val="17"/>
          <w:szCs w:val="17"/>
          <w:color w:val="auto"/>
        </w:rPr>
      </w:pPr>
    </w:p>
    <w:p>
      <w:pPr>
        <w:ind w:left="1020" w:right="14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4" w:name="page5"/>
    <w:bookmarkEnd w:id="4"/>
    <w:p>
      <w:pPr>
        <w:spacing w:after="0" w:line="267" w:lineRule="auto"/>
        <w:rPr>
          <w:sz w:val="20"/>
          <w:szCs w:val="20"/>
          <w:color w:val="auto"/>
        </w:rPr>
      </w:pPr>
      <w:r>
        <w:rPr>
          <w:rFonts w:ascii="Arial" w:cs="Arial" w:eastAsia="Arial" w:hAnsi="Arial"/>
          <w:sz w:val="17"/>
          <w:szCs w:val="17"/>
          <w:color w:val="auto"/>
        </w:rPr>
        <w:t>to our business relationships with our current or any future licensors, we could lose intellectual property rights that are important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856615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340" w:top="1116" w:right="43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NOTE REGARDING COMPANY REFERENCES</w:t>
      </w:r>
    </w:p>
    <w:p>
      <w:pPr>
        <w:spacing w:after="0" w:line="195"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Unless the context otherwise requires, the terms “Candel Therapeutics,” “the Company,” “we,” “us,” and “our” in this Form 10-Q refer to Candel Therapeutics, Inc. and its consolidated subsidiary.</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 REGARDING TRADEMARKS</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own or have rights to various trademarks, service marks and trade names that are used in connection with the operation of our business, including our company name, Candel Therapeutics, our logo, and the names of our CAN-2409™ and CAN-3110™ product candidates. This Form 10-Q may also contain trademarks, service marks and trade names of third parties, which are the property of their respective owners. Our use or display of third parties’ trademarks, service marks, trade names or products in this Form 10-Q is not intended to and does not imply a relationship with, or endorsement or sponsorship by, us. Solely for convenience, the trademarks, service marks and trade names referred to in this Form 10-Q may appear without the ®, TM or SM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71" w:right="47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20"/>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1.</w:t>
            </w: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268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17"/>
                <w:szCs w:val="17"/>
                <w:color w:val="auto"/>
              </w:rPr>
            </w:pPr>
          </w:p>
        </w:tc>
        <w:tc>
          <w:tcPr>
            <w:tcW w:w="6600" w:type="dxa"/>
            <w:vAlign w:val="bottom"/>
            <w:gridSpan w:val="10"/>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17"/>
                <w:szCs w:val="17"/>
                <w:color w:val="auto"/>
              </w:rPr>
            </w:pPr>
          </w:p>
        </w:tc>
        <w:tc>
          <w:tcPr>
            <w:tcW w:w="594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Condensed Consolidated Statements of Operations and Comprehensive Loss (Unaudited)</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0" w:type="dxa"/>
            <w:vAlign w:val="bottom"/>
            <w:tcBorders>
              <w:top w:val="single" w:sz="8" w:color="0000FF"/>
            </w:tcBorders>
            <w:gridSpan w:val="19"/>
          </w:tcPr>
          <w:p>
            <w:pPr>
              <w:spacing w:after="0" w:line="196" w:lineRule="exact"/>
              <w:rPr>
                <w:sz w:val="20"/>
                <w:szCs w:val="20"/>
                <w:color w:val="auto"/>
              </w:rPr>
            </w:pPr>
            <w:r>
              <w:rPr>
                <w:rFonts w:ascii="Arial" w:cs="Arial" w:eastAsia="Arial" w:hAnsi="Arial"/>
                <w:sz w:val="18"/>
                <w:szCs w:val="18"/>
                <w:color w:val="0000FF"/>
              </w:rPr>
              <w:t>Condensed Consolidated Statements of Stockholders’ Equity (Unaudited)</w:t>
            </w:r>
          </w:p>
        </w:tc>
        <w:tc>
          <w:tcPr>
            <w:tcW w:w="21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60" w:type="dxa"/>
            <w:vAlign w:val="bottom"/>
            <w:tcBorders>
              <w:top w:val="single" w:sz="8" w:color="0000FF"/>
            </w:tcBorders>
            <w:gridSpan w:val="17"/>
          </w:tcPr>
          <w:p>
            <w:pPr>
              <w:spacing w:after="0" w:line="196" w:lineRule="exact"/>
              <w:rPr>
                <w:sz w:val="20"/>
                <w:szCs w:val="20"/>
                <w:color w:val="auto"/>
              </w:rPr>
            </w:pPr>
            <w:r>
              <w:rPr>
                <w:rFonts w:ascii="Arial" w:cs="Arial" w:eastAsia="Arial" w:hAnsi="Arial"/>
                <w:sz w:val="18"/>
                <w:szCs w:val="18"/>
                <w:color w:val="0000FF"/>
              </w:rPr>
              <w:t>Condensed Consolidated Statements of Cash Flows (Unaudited)</w:t>
            </w:r>
          </w:p>
        </w:tc>
        <w:tc>
          <w:tcPr>
            <w:tcW w:w="344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Notes to Condensed Consolidated Financial Statements (Unaudited)</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2.</w:t>
            </w: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5"/>
          </w:tcPr>
          <w:p>
            <w:pPr>
              <w:spacing w:after="0"/>
              <w:rPr>
                <w:sz w:val="17"/>
                <w:szCs w:val="17"/>
                <w:color w:val="auto"/>
              </w:rPr>
            </w:pPr>
          </w:p>
        </w:tc>
        <w:tc>
          <w:tcPr>
            <w:tcW w:w="22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9"/>
              </w:rPr>
              <w:t>Controls and Procedures</w:t>
            </w:r>
          </w:p>
        </w:tc>
        <w:tc>
          <w:tcPr>
            <w:tcW w:w="730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8"/>
              </w:rPr>
              <w:t>OTHER INFORMATION</w:t>
            </w:r>
          </w:p>
        </w:tc>
        <w:tc>
          <w:tcPr>
            <w:tcW w:w="736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9"/>
              </w:rPr>
              <w:t>Legal Proceedings</w:t>
            </w:r>
          </w:p>
        </w:tc>
        <w:tc>
          <w:tcPr>
            <w:tcW w:w="780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2.</w:t>
            </w: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4860" w:type="dxa"/>
            <w:vAlign w:val="bottom"/>
            <w:tcBorders>
              <w:bottom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440" w:type="dxa"/>
            <w:vAlign w:val="bottom"/>
            <w:gridSpan w:val="6"/>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9"/>
              </w:rPr>
              <w:t>Defaults Upon Senior Securities</w:t>
            </w:r>
          </w:p>
        </w:tc>
        <w:tc>
          <w:tcPr>
            <w:tcW w:w="674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9"/>
              </w:rPr>
              <w:t>Mine Safety Disclosures</w:t>
            </w:r>
          </w:p>
        </w:tc>
        <w:tc>
          <w:tcPr>
            <w:tcW w:w="736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0000FF"/>
              </w:rPr>
              <w:t>Exhibits</w:t>
            </w:r>
          </w:p>
        </w:tc>
        <w:tc>
          <w:tcPr>
            <w:tcW w:w="790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8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7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272"/>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272"/>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631"/>
              <w:spacing w:after="0"/>
              <w:rPr>
                <w:sz w:val="20"/>
                <w:szCs w:val="20"/>
                <w:color w:val="auto"/>
              </w:rPr>
            </w:pPr>
            <w:r>
              <w:rPr>
                <w:rFonts w:ascii="Arial" w:cs="Arial" w:eastAsia="Arial" w:hAnsi="Arial"/>
                <w:sz w:val="14"/>
                <w:szCs w:val="14"/>
                <w:b w:val="1"/>
                <w:bCs w:val="1"/>
                <w:color w:val="auto"/>
              </w:rPr>
              <w:t>2023</w:t>
            </w:r>
          </w:p>
        </w:tc>
      </w:tr>
      <w:tr>
        <w:trPr>
          <w:trHeight w:val="185"/>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25,713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35,413</w:t>
            </w:r>
          </w:p>
        </w:tc>
      </w:tr>
      <w:tr>
        <w:trPr>
          <w:trHeight w:val="230"/>
        </w:trPr>
        <w:tc>
          <w:tcPr>
            <w:tcW w:w="776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1,423</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1,384</w:t>
            </w:r>
          </w:p>
        </w:tc>
      </w:tr>
      <w:tr>
        <w:trPr>
          <w:trHeight w:val="223"/>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27,136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36,797</w:t>
            </w: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Fixed assets, net</w:t>
            </w:r>
          </w:p>
        </w:tc>
        <w:tc>
          <w:tcPr>
            <w:tcW w:w="24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2,962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3,206</w:t>
            </w: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Lease right of use assets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816</w:t>
            </w: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266</w:t>
            </w:r>
          </w:p>
        </w:tc>
      </w:tr>
      <w:tr>
        <w:trPr>
          <w:trHeight w:val="230"/>
        </w:trPr>
        <w:tc>
          <w:tcPr>
            <w:tcW w:w="77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116</w:t>
            </w:r>
          </w:p>
        </w:tc>
      </w:tr>
      <w:tr>
        <w:trPr>
          <w:trHeight w:val="223"/>
        </w:trPr>
        <w:tc>
          <w:tcPr>
            <w:tcW w:w="7760" w:type="dxa"/>
            <w:vAlign w:val="bottom"/>
          </w:tcPr>
          <w:p>
            <w:pPr>
              <w:ind w:left="78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31,217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41,201</w:t>
            </w:r>
          </w:p>
        </w:tc>
      </w:tr>
      <w:tr>
        <w:trPr>
          <w:trHeight w:val="20"/>
        </w:trPr>
        <w:tc>
          <w:tcPr>
            <w:tcW w:w="7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472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422</w:t>
            </w:r>
          </w:p>
        </w:tc>
      </w:tr>
      <w:tr>
        <w:trPr>
          <w:trHeight w:val="230"/>
        </w:trPr>
        <w:tc>
          <w:tcPr>
            <w:tcW w:w="7760" w:type="dxa"/>
            <w:vAlign w:val="bottom"/>
          </w:tcPr>
          <w:p>
            <w:pPr>
              <w:ind w:left="5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2,772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4,356</w:t>
            </w:r>
          </w:p>
        </w:tc>
      </w:tr>
      <w:tr>
        <w:trPr>
          <w:trHeight w:val="229"/>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Current portion of term loan payable to a bank</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9,767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8,893</w:t>
            </w:r>
          </w:p>
        </w:tc>
      </w:tr>
      <w:tr>
        <w:trPr>
          <w:trHeight w:val="230"/>
        </w:trPr>
        <w:tc>
          <w:tcPr>
            <w:tcW w:w="7760" w:type="dxa"/>
            <w:vAlign w:val="bottom"/>
          </w:tcPr>
          <w:p>
            <w:pPr>
              <w:ind w:left="520"/>
              <w:spacing w:after="0"/>
              <w:rPr>
                <w:sz w:val="20"/>
                <w:szCs w:val="20"/>
                <w:color w:val="auto"/>
              </w:rPr>
            </w:pPr>
            <w:r>
              <w:rPr>
                <w:rFonts w:ascii="Arial" w:cs="Arial" w:eastAsia="Arial" w:hAnsi="Arial"/>
                <w:sz w:val="18"/>
                <w:szCs w:val="18"/>
                <w:color w:val="auto"/>
              </w:rPr>
              <w:t>Current portion of lease liability</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513</w:t>
            </w:r>
          </w:p>
        </w:tc>
      </w:tr>
      <w:tr>
        <w:trPr>
          <w:trHeight w:val="223"/>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13,537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14,184</w:t>
            </w: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Term loan payable to a bank</w:t>
            </w:r>
          </w:p>
        </w:tc>
        <w:tc>
          <w:tcPr>
            <w:tcW w:w="24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9,174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11,632</w:t>
            </w:r>
          </w:p>
        </w:tc>
      </w:tr>
      <w:tr>
        <w:trPr>
          <w:trHeight w:val="229"/>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long-term debt</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781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751</w:t>
            </w: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Lease liability, net of current portion</w:t>
            </w:r>
          </w:p>
        </w:tc>
        <w:tc>
          <w:tcPr>
            <w:tcW w:w="24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973</w:t>
            </w:r>
          </w:p>
        </w:tc>
      </w:tr>
      <w:tr>
        <w:trPr>
          <w:trHeight w:val="230"/>
        </w:trPr>
        <w:tc>
          <w:tcPr>
            <w:tcW w:w="77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Warrant liability</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909</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916</w:t>
            </w:r>
          </w:p>
        </w:tc>
      </w:tr>
      <w:tr>
        <w:trPr>
          <w:trHeight w:val="223"/>
        </w:trPr>
        <w:tc>
          <w:tcPr>
            <w:tcW w:w="7760" w:type="dxa"/>
            <w:vAlign w:val="bottom"/>
          </w:tcPr>
          <w:p>
            <w:pPr>
              <w:ind w:left="78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25,238</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28,456</w:t>
            </w:r>
          </w:p>
        </w:tc>
      </w:tr>
      <w:tr>
        <w:trPr>
          <w:trHeight w:val="223"/>
        </w:trPr>
        <w:tc>
          <w:tcPr>
            <w:tcW w:w="7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Commitments and contingencies (Note 14)</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0"/>
        </w:trPr>
        <w:tc>
          <w:tcPr>
            <w:tcW w:w="7760" w:type="dxa"/>
            <w:vAlign w:val="bottom"/>
          </w:tcPr>
          <w:p>
            <w:pPr>
              <w:ind w:left="28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197"/>
        </w:trPr>
        <w:tc>
          <w:tcPr>
            <w:tcW w:w="7760" w:type="dxa"/>
            <w:vAlign w:val="bottom"/>
            <w:shd w:val="clear" w:color="auto" w:fill="CFF0FC"/>
          </w:tcPr>
          <w:p>
            <w:pPr>
              <w:ind w:left="520"/>
              <w:spacing w:after="0" w:line="197" w:lineRule="exact"/>
              <w:rPr>
                <w:sz w:val="20"/>
                <w:szCs w:val="20"/>
                <w:color w:val="auto"/>
              </w:rPr>
            </w:pPr>
            <w:r>
              <w:rPr>
                <w:rFonts w:ascii="Arial" w:cs="Arial" w:eastAsia="Arial" w:hAnsi="Arial"/>
                <w:sz w:val="18"/>
                <w:szCs w:val="18"/>
                <w:color w:val="auto"/>
              </w:rPr>
              <w:t>Preferred stock, $0.01 par value; 10,000,000 shares authorized at March 31, 2024 and</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7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December 31, 2023; no shares issued or outstanding at March 31, 2024 and December</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35"/>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31, 2023, respectively.</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197"/>
        </w:trPr>
        <w:tc>
          <w:tcPr>
            <w:tcW w:w="7760" w:type="dxa"/>
            <w:vAlign w:val="bottom"/>
          </w:tcPr>
          <w:p>
            <w:pPr>
              <w:ind w:left="520"/>
              <w:spacing w:after="0" w:line="197" w:lineRule="exact"/>
              <w:rPr>
                <w:sz w:val="20"/>
                <w:szCs w:val="20"/>
                <w:color w:val="auto"/>
              </w:rPr>
            </w:pPr>
            <w:r>
              <w:rPr>
                <w:rFonts w:ascii="Arial" w:cs="Arial" w:eastAsia="Arial" w:hAnsi="Arial"/>
                <w:sz w:val="18"/>
                <w:szCs w:val="18"/>
                <w:color w:val="auto"/>
              </w:rPr>
              <w:t>Common stock, $0.01 par value; 150,000,000 shares authorized at March 31, 2024 and</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760" w:type="dxa"/>
            <w:vAlign w:val="bottom"/>
          </w:tcPr>
          <w:p>
            <w:pPr>
              <w:ind w:left="520"/>
              <w:spacing w:after="0" w:line="202" w:lineRule="exact"/>
              <w:rPr>
                <w:sz w:val="20"/>
                <w:szCs w:val="20"/>
                <w:color w:val="auto"/>
              </w:rPr>
            </w:pPr>
            <w:r>
              <w:rPr>
                <w:rFonts w:ascii="Arial" w:cs="Arial" w:eastAsia="Arial" w:hAnsi="Arial"/>
                <w:sz w:val="18"/>
                <w:szCs w:val="18"/>
                <w:color w:val="auto"/>
              </w:rPr>
              <w:t>December 31, 2023; 29,470,076 and 29,213,627 shares issued at March 31, 2024 and</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760" w:type="dxa"/>
            <w:vAlign w:val="bottom"/>
          </w:tcPr>
          <w:p>
            <w:pPr>
              <w:ind w:left="520"/>
              <w:spacing w:after="0" w:line="202" w:lineRule="exact"/>
              <w:rPr>
                <w:sz w:val="20"/>
                <w:szCs w:val="20"/>
                <w:color w:val="auto"/>
              </w:rPr>
            </w:pPr>
            <w:r>
              <w:rPr>
                <w:rFonts w:ascii="Arial" w:cs="Arial" w:eastAsia="Arial" w:hAnsi="Arial"/>
                <w:sz w:val="18"/>
                <w:szCs w:val="18"/>
                <w:color w:val="auto"/>
              </w:rPr>
              <w:t>December 31, 2023, respectively; 29,347,468 and 29,091,019 shares outstanding at</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5"/>
        </w:trPr>
        <w:tc>
          <w:tcPr>
            <w:tcW w:w="7760" w:type="dxa"/>
            <w:vAlign w:val="bottom"/>
          </w:tcPr>
          <w:p>
            <w:pPr>
              <w:ind w:left="520"/>
              <w:spacing w:after="0"/>
              <w:rPr>
                <w:sz w:val="20"/>
                <w:szCs w:val="20"/>
                <w:color w:val="auto"/>
              </w:rPr>
            </w:pPr>
            <w:r>
              <w:rPr>
                <w:rFonts w:ascii="Arial" w:cs="Arial" w:eastAsia="Arial" w:hAnsi="Arial"/>
                <w:sz w:val="18"/>
                <w:szCs w:val="18"/>
                <w:color w:val="auto"/>
              </w:rPr>
              <w:t>March 31, 2024 and December 31, 2023, respectively.</w:t>
            </w:r>
          </w:p>
        </w:tc>
        <w:tc>
          <w:tcPr>
            <w:tcW w:w="240" w:type="dxa"/>
            <w:vAlign w:val="bottom"/>
          </w:tcPr>
          <w:p>
            <w:pPr>
              <w:spacing w:after="0"/>
              <w:rPr>
                <w:sz w:val="20"/>
                <w:szCs w:val="20"/>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290</w:t>
            </w:r>
          </w:p>
        </w:tc>
      </w:tr>
      <w:tr>
        <w:trPr>
          <w:trHeight w:val="230"/>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Treasury stock (at cost)</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(448 )</w:t>
            </w:r>
          </w:p>
        </w:tc>
      </w:tr>
      <w:tr>
        <w:trPr>
          <w:trHeight w:val="230"/>
        </w:trPr>
        <w:tc>
          <w:tcPr>
            <w:tcW w:w="7760" w:type="dxa"/>
            <w:vAlign w:val="bottom"/>
          </w:tcPr>
          <w:p>
            <w:pPr>
              <w:ind w:left="5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151,384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149,931</w:t>
            </w:r>
          </w:p>
        </w:tc>
      </w:tr>
      <w:tr>
        <w:trPr>
          <w:trHeight w:val="229"/>
        </w:trPr>
        <w:tc>
          <w:tcPr>
            <w:tcW w:w="77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(145,249 )</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(137,028 )</w:t>
            </w:r>
          </w:p>
        </w:tc>
      </w:tr>
      <w:tr>
        <w:trPr>
          <w:trHeight w:val="223"/>
        </w:trPr>
        <w:tc>
          <w:tcPr>
            <w:tcW w:w="7760" w:type="dxa"/>
            <w:vAlign w:val="bottom"/>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5,979</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12,745</w:t>
            </w:r>
          </w:p>
        </w:tc>
      </w:tr>
      <w:tr>
        <w:trPr>
          <w:trHeight w:val="263"/>
        </w:trPr>
        <w:tc>
          <w:tcPr>
            <w:tcW w:w="77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31,217</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41,201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-3950970</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-2159635</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-334010</wp:posOffset>
            </wp:positionV>
            <wp:extent cx="102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102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8" w:name="page9"/>
    <w:bookmarkEnd w:id="8"/>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239" w:lineRule="exact"/>
        <w:rPr>
          <w:sz w:val="20"/>
          <w:szCs w:val="20"/>
          <w:color w:val="auto"/>
        </w:rPr>
      </w:pPr>
    </w:p>
    <w:p>
      <w:pPr>
        <w:jc w:val="center"/>
        <w:ind w:left="7620"/>
        <w:spacing w:after="0"/>
        <w:rPr>
          <w:sz w:val="20"/>
          <w:szCs w:val="20"/>
          <w:color w:val="auto"/>
        </w:rPr>
      </w:pPr>
      <w:r>
        <w:rPr>
          <w:rFonts w:ascii="Arial" w:cs="Arial" w:eastAsia="Arial" w:hAnsi="Arial"/>
          <w:sz w:val="16"/>
          <w:szCs w:val="16"/>
          <w:b w:val="1"/>
          <w:bCs w:val="1"/>
          <w:color w:val="auto"/>
        </w:rPr>
        <w:t>THREE MONTHS ENDED</w:t>
      </w:r>
    </w:p>
    <w:p>
      <w:pPr>
        <w:spacing w:after="0" w:line="21" w:lineRule="exact"/>
        <w:rPr>
          <w:sz w:val="20"/>
          <w:szCs w:val="20"/>
          <w:color w:val="auto"/>
        </w:rPr>
      </w:pPr>
    </w:p>
    <w:p>
      <w:pPr>
        <w:jc w:val="center"/>
        <w:ind w:left="76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09"/>
        </w:trPr>
        <w:tc>
          <w:tcPr>
            <w:tcW w:w="77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5"/>
        </w:trPr>
        <w:tc>
          <w:tcPr>
            <w:tcW w:w="776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4,102</w:t>
            </w: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5,469</w:t>
            </w:r>
          </w:p>
        </w:tc>
      </w:tr>
      <w:tr>
        <w:trPr>
          <w:trHeight w:val="216"/>
        </w:trPr>
        <w:tc>
          <w:tcPr>
            <w:tcW w:w="77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3,800</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4,164</w:t>
            </w:r>
          </w:p>
        </w:tc>
      </w:tr>
      <w:tr>
        <w:trPr>
          <w:trHeight w:val="210"/>
        </w:trPr>
        <w:tc>
          <w:tcPr>
            <w:tcW w:w="7760" w:type="dxa"/>
            <w:vAlign w:val="bottom"/>
          </w:tcPr>
          <w:p>
            <w:pPr>
              <w:ind w:left="780"/>
              <w:spacing w:after="0"/>
              <w:rPr>
                <w:sz w:val="20"/>
                <w:szCs w:val="20"/>
                <w:color w:val="auto"/>
              </w:rPr>
            </w:pPr>
            <w:r>
              <w:rPr>
                <w:rFonts w:ascii="Arial" w:cs="Arial" w:eastAsia="Arial" w:hAnsi="Arial"/>
                <w:sz w:val="16"/>
                <w:szCs w:val="16"/>
                <w:b w:val="1"/>
                <w:bCs w:val="1"/>
                <w:color w:val="auto"/>
              </w:rPr>
              <w:t>Total operating expenses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7,902</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9,633</w:t>
            </w:r>
          </w:p>
        </w:tc>
      </w:tr>
      <w:tr>
        <w:trPr>
          <w:trHeight w:val="209"/>
        </w:trPr>
        <w:tc>
          <w:tcPr>
            <w:tcW w:w="77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6"/>
                <w:szCs w:val="16"/>
                <w:b w:val="1"/>
                <w:bCs w:val="1"/>
                <w:color w:val="auto"/>
              </w:rPr>
              <w:t>Loss from operations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(7,902 )</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(9,633 )</w:t>
            </w:r>
          </w:p>
        </w:tc>
      </w:tr>
      <w:tr>
        <w:trPr>
          <w:trHeight w:val="209"/>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Grant income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r>
      <w:tr>
        <w:trPr>
          <w:trHeight w:val="215"/>
        </w:trPr>
        <w:tc>
          <w:tcPr>
            <w:tcW w:w="77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320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711</w:t>
            </w:r>
          </w:p>
        </w:tc>
      </w:tr>
      <w:tr>
        <w:trPr>
          <w:trHeight w:val="217"/>
        </w:trPr>
        <w:tc>
          <w:tcPr>
            <w:tcW w:w="77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(646 )</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(609 )</w:t>
            </w:r>
          </w:p>
        </w:tc>
      </w:tr>
      <w:tr>
        <w:trPr>
          <w:trHeight w:val="215"/>
        </w:trPr>
        <w:tc>
          <w:tcPr>
            <w:tcW w:w="7760" w:type="dxa"/>
            <w:vAlign w:val="bottom"/>
          </w:tcPr>
          <w:p>
            <w:pPr>
              <w:ind w:left="280"/>
              <w:spacing w:after="0"/>
              <w:rPr>
                <w:sz w:val="20"/>
                <w:szCs w:val="20"/>
                <w:color w:val="auto"/>
              </w:rPr>
            </w:pPr>
            <w:r>
              <w:rPr>
                <w:rFonts w:ascii="Arial" w:cs="Arial" w:eastAsia="Arial" w:hAnsi="Arial"/>
                <w:sz w:val="16"/>
                <w:szCs w:val="16"/>
                <w:color w:val="auto"/>
              </w:rPr>
              <w:t>Change in fair value of warrant liability</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724</w:t>
            </w:r>
          </w:p>
        </w:tc>
      </w:tr>
      <w:tr>
        <w:trPr>
          <w:trHeight w:val="210"/>
        </w:trPr>
        <w:tc>
          <w:tcPr>
            <w:tcW w:w="77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6"/>
                <w:szCs w:val="16"/>
                <w:b w:val="1"/>
                <w:bCs w:val="1"/>
                <w:color w:val="auto"/>
              </w:rPr>
              <w:t>Total other income (expense), net</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(319 )</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838</w:t>
            </w:r>
          </w:p>
        </w:tc>
      </w:tr>
      <w:tr>
        <w:trPr>
          <w:trHeight w:val="210"/>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Net loss and comprehensive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(8,221 )</w:t>
            </w: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(8,795 )</w:t>
            </w:r>
          </w:p>
        </w:tc>
      </w:tr>
      <w:tr>
        <w:trPr>
          <w:trHeight w:val="20"/>
        </w:trPr>
        <w:tc>
          <w:tcPr>
            <w:tcW w:w="7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loss per share, basic and diluted</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(0.28 )</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(0.30 )</w:t>
            </w:r>
          </w:p>
        </w:tc>
      </w:tr>
      <w:tr>
        <w:trPr>
          <w:trHeight w:val="196"/>
        </w:trPr>
        <w:tc>
          <w:tcPr>
            <w:tcW w:w="77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Weighted-average common shares outstanding, basic and diluted</w:t>
            </w:r>
          </w:p>
        </w:tc>
        <w:tc>
          <w:tcPr>
            <w:tcW w:w="3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29,197,537</w:t>
            </w: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28,919,810</w:t>
            </w: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-1628140</wp:posOffset>
            </wp:positionV>
            <wp:extent cx="1028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-1336675</wp:posOffset>
            </wp:positionV>
            <wp:extent cx="102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-496570</wp:posOffset>
            </wp:positionV>
            <wp:extent cx="102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102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1028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 w:name="page10"/>
    <w:bookmarkEnd w:id="9"/>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amounts)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0" w:type="dxa"/>
            <w:vAlign w:val="bottom"/>
            <w:gridSpan w:val="7"/>
            <w:vMerge w:val="restart"/>
          </w:tcPr>
          <w:p>
            <w:pPr>
              <w:ind w:left="720"/>
              <w:spacing w:after="0"/>
              <w:rPr>
                <w:sz w:val="20"/>
                <w:szCs w:val="20"/>
                <w:color w:val="auto"/>
              </w:rPr>
            </w:pPr>
            <w:r>
              <w:rPr>
                <w:rFonts w:ascii="Arial" w:cs="Arial" w:eastAsia="Arial" w:hAnsi="Arial"/>
                <w:sz w:val="10"/>
                <w:szCs w:val="10"/>
                <w:b w:val="1"/>
                <w:bCs w:val="1"/>
                <w:color w:val="auto"/>
              </w:rPr>
              <w:t>COMMON STOCK</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60" w:type="dxa"/>
            <w:vAlign w:val="bottom"/>
            <w:gridSpan w:val="7"/>
            <w:vMerge w:val="restart"/>
          </w:tcPr>
          <w:p>
            <w:pPr>
              <w:ind w:left="660"/>
              <w:spacing w:after="0"/>
              <w:rPr>
                <w:sz w:val="20"/>
                <w:szCs w:val="20"/>
                <w:color w:val="auto"/>
              </w:rPr>
            </w:pPr>
            <w:r>
              <w:rPr>
                <w:rFonts w:ascii="Arial" w:cs="Arial" w:eastAsia="Arial" w:hAnsi="Arial"/>
                <w:sz w:val="10"/>
                <w:szCs w:val="10"/>
                <w:b w:val="1"/>
                <w:bCs w:val="1"/>
                <w:color w:val="auto"/>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ADDITIONAL</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tcBorders>
              <w:bottom w:val="single" w:sz="8" w:color="auto"/>
            </w:tcBorders>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tcBorders>
              <w:bottom w:val="single" w:sz="8" w:color="auto"/>
            </w:tcBorders>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164"/>
              <w:spacing w:after="0"/>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44"/>
              <w:spacing w:after="0"/>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40"/>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auto"/>
            </w:tcBorders>
            <w:gridSpan w:val="2"/>
          </w:tcPr>
          <w:p>
            <w:pPr>
              <w:ind w:left="32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6"/>
              </w:rPr>
              <w:t>CAPITAL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DEFICIT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58"/>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b w:val="1"/>
                <w:bCs w:val="1"/>
                <w:color w:val="auto"/>
              </w:rPr>
              <w:t>Balance, December 31, 2023</w:t>
            </w: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2"/>
                <w:szCs w:val="12"/>
                <w:color w:val="auto"/>
              </w:rPr>
              <w:t>29,213,627</w:t>
            </w:r>
          </w:p>
        </w:tc>
        <w:tc>
          <w:tcPr>
            <w:tcW w:w="60" w:type="dxa"/>
            <w:vAlign w:val="bottom"/>
            <w:shd w:val="clear" w:color="auto" w:fill="CFF0FC"/>
          </w:tcPr>
          <w:p>
            <w:pPr>
              <w:spacing w:after="0"/>
              <w:rPr>
                <w:sz w:val="13"/>
                <w:szCs w:val="13"/>
                <w:color w:val="auto"/>
              </w:rPr>
            </w:pPr>
          </w:p>
        </w:tc>
        <w:tc>
          <w:tcPr>
            <w:tcW w:w="320" w:type="dxa"/>
            <w:vAlign w:val="bottom"/>
            <w:gridSpan w:val="3"/>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ind w:right="23"/>
              <w:spacing w:after="0"/>
              <w:rPr>
                <w:sz w:val="20"/>
                <w:szCs w:val="20"/>
                <w:color w:val="auto"/>
              </w:rPr>
            </w:pPr>
            <w:r>
              <w:rPr>
                <w:rFonts w:ascii="Arial" w:cs="Arial" w:eastAsia="Arial" w:hAnsi="Arial"/>
                <w:sz w:val="12"/>
                <w:szCs w:val="12"/>
                <w:color w:val="auto"/>
              </w:rPr>
              <w:t>290</w:t>
            </w:r>
          </w:p>
        </w:tc>
        <w:tc>
          <w:tcPr>
            <w:tcW w:w="40" w:type="dxa"/>
            <w:vAlign w:val="bottom"/>
            <w:shd w:val="clear" w:color="auto" w:fill="CFF0FC"/>
          </w:tcPr>
          <w:p>
            <w:pPr>
              <w:spacing w:after="0"/>
              <w:rPr>
                <w:sz w:val="13"/>
                <w:szCs w:val="13"/>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(122,608 )</w:t>
            </w:r>
          </w:p>
        </w:tc>
        <w:tc>
          <w:tcPr>
            <w:tcW w:w="6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ind w:right="22"/>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(448 )</w:t>
            </w:r>
          </w:p>
        </w:tc>
        <w:tc>
          <w:tcPr>
            <w:tcW w:w="40" w:type="dxa"/>
            <w:vAlign w:val="bottom"/>
            <w:shd w:val="clear" w:color="auto" w:fill="CFF0FC"/>
          </w:tcPr>
          <w:p>
            <w:pPr>
              <w:spacing w:after="0"/>
              <w:rPr>
                <w:sz w:val="13"/>
                <w:szCs w:val="13"/>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45"/>
              <w:spacing w:after="0"/>
              <w:rPr>
                <w:sz w:val="20"/>
                <w:szCs w:val="20"/>
                <w:color w:val="auto"/>
              </w:rPr>
            </w:pPr>
            <w:r>
              <w:rPr>
                <w:rFonts w:ascii="Arial" w:cs="Arial" w:eastAsia="Arial" w:hAnsi="Arial"/>
                <w:sz w:val="12"/>
                <w:szCs w:val="12"/>
                <w:color w:val="auto"/>
              </w:rPr>
              <w:t>149,931</w:t>
            </w:r>
          </w:p>
        </w:tc>
        <w:tc>
          <w:tcPr>
            <w:tcW w:w="20" w:type="dxa"/>
            <w:vAlign w:val="bottom"/>
            <w:shd w:val="clear" w:color="auto" w:fill="CFF0FC"/>
          </w:tcPr>
          <w:p>
            <w:pPr>
              <w:spacing w:after="0"/>
              <w:rPr>
                <w:sz w:val="13"/>
                <w:szCs w:val="13"/>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(137,028 )</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12,745</w:t>
            </w:r>
          </w:p>
        </w:tc>
        <w:tc>
          <w:tcPr>
            <w:tcW w:w="0" w:type="dxa"/>
            <w:vAlign w:val="bottom"/>
          </w:tcPr>
          <w:p>
            <w:pPr>
              <w:spacing w:after="0"/>
              <w:rPr>
                <w:sz w:val="1"/>
                <w:szCs w:val="1"/>
                <w:color w:val="auto"/>
              </w:rPr>
            </w:pPr>
          </w:p>
        </w:tc>
      </w:tr>
      <w:tr>
        <w:trPr>
          <w:trHeight w:val="160"/>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Options exercised</w:t>
            </w:r>
          </w:p>
        </w:tc>
        <w:tc>
          <w:tcPr>
            <w:tcW w:w="1120" w:type="dxa"/>
            <w:vAlign w:val="bottom"/>
          </w:tcPr>
          <w:p>
            <w:pPr>
              <w:jc w:val="right"/>
              <w:ind w:right="24"/>
              <w:spacing w:after="0"/>
              <w:rPr>
                <w:sz w:val="20"/>
                <w:szCs w:val="20"/>
                <w:color w:val="auto"/>
              </w:rPr>
            </w:pPr>
            <w:r>
              <w:rPr>
                <w:rFonts w:ascii="Arial" w:cs="Arial" w:eastAsia="Arial" w:hAnsi="Arial"/>
                <w:sz w:val="12"/>
                <w:szCs w:val="12"/>
                <w:color w:val="auto"/>
              </w:rPr>
              <w:t>146,964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3"/>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45"/>
              <w:spacing w:after="0"/>
              <w:rPr>
                <w:sz w:val="20"/>
                <w:szCs w:val="20"/>
                <w:color w:val="auto"/>
              </w:rPr>
            </w:pPr>
            <w:r>
              <w:rPr>
                <w:rFonts w:ascii="Arial" w:cs="Arial" w:eastAsia="Arial" w:hAnsi="Arial"/>
                <w:sz w:val="12"/>
                <w:szCs w:val="12"/>
                <w:color w:val="auto"/>
              </w:rPr>
              <w:t>225</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226</w:t>
            </w:r>
          </w:p>
        </w:tc>
        <w:tc>
          <w:tcPr>
            <w:tcW w:w="0" w:type="dxa"/>
            <w:vAlign w:val="bottom"/>
          </w:tcPr>
          <w:p>
            <w:pPr>
              <w:spacing w:after="0"/>
              <w:rPr>
                <w:sz w:val="1"/>
                <w:szCs w:val="1"/>
                <w:color w:val="auto"/>
              </w:rPr>
            </w:pPr>
          </w:p>
        </w:tc>
      </w:tr>
      <w:tr>
        <w:trPr>
          <w:trHeight w:val="164"/>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Stock-based compensation</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5"/>
              <w:spacing w:after="0"/>
              <w:rPr>
                <w:sz w:val="20"/>
                <w:szCs w:val="20"/>
                <w:color w:val="auto"/>
              </w:rPr>
            </w:pPr>
            <w:r>
              <w:rPr>
                <w:rFonts w:ascii="Arial" w:cs="Arial" w:eastAsia="Arial" w:hAnsi="Arial"/>
                <w:sz w:val="12"/>
                <w:szCs w:val="12"/>
                <w:color w:val="auto"/>
              </w:rPr>
              <w:t>1,030</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1,030</w:t>
            </w:r>
          </w:p>
        </w:tc>
        <w:tc>
          <w:tcPr>
            <w:tcW w:w="0" w:type="dxa"/>
            <w:vAlign w:val="bottom"/>
          </w:tcPr>
          <w:p>
            <w:pPr>
              <w:spacing w:after="0"/>
              <w:rPr>
                <w:sz w:val="1"/>
                <w:szCs w:val="1"/>
                <w:color w:val="auto"/>
              </w:rPr>
            </w:pPr>
          </w:p>
        </w:tc>
      </w:tr>
      <w:tr>
        <w:trPr>
          <w:trHeight w:val="141"/>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Change in fair value of</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620" w:type="dxa"/>
            <w:vAlign w:val="bottom"/>
            <w:gridSpan w:val="2"/>
          </w:tcPr>
          <w:p>
            <w:pPr>
              <w:ind w:left="120"/>
              <w:spacing w:after="0"/>
              <w:rPr>
                <w:sz w:val="20"/>
                <w:szCs w:val="20"/>
                <w:color w:val="auto"/>
              </w:rPr>
            </w:pPr>
            <w:r>
              <w:rPr>
                <w:rFonts w:ascii="Arial" w:cs="Arial" w:eastAsia="Arial" w:hAnsi="Arial"/>
                <w:sz w:val="12"/>
                <w:szCs w:val="12"/>
                <w:color w:val="auto"/>
              </w:rPr>
              <w:t>NC Ohio Trust Warrants</w:t>
            </w: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45"/>
              <w:spacing w:after="0"/>
              <w:rPr>
                <w:sz w:val="20"/>
                <w:szCs w:val="20"/>
                <w:color w:val="auto"/>
              </w:rPr>
            </w:pPr>
            <w:r>
              <w:rPr>
                <w:rFonts w:ascii="Arial" w:cs="Arial" w:eastAsia="Arial" w:hAnsi="Arial"/>
                <w:sz w:val="12"/>
                <w:szCs w:val="12"/>
                <w:color w:val="auto"/>
              </w:rPr>
              <w:t>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Sale of common stock,</w:t>
            </w:r>
          </w:p>
        </w:tc>
        <w:tc>
          <w:tcPr>
            <w:tcW w:w="1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net of issuance costs</w:t>
            </w: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2"/>
                <w:szCs w:val="12"/>
                <w:color w:val="auto"/>
              </w:rPr>
              <w:t>109,485</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23"/>
              <w:spacing w:after="0"/>
              <w:rPr>
                <w:sz w:val="20"/>
                <w:szCs w:val="20"/>
                <w:color w:val="auto"/>
              </w:rPr>
            </w:pPr>
            <w:r>
              <w:rPr>
                <w:rFonts w:ascii="Arial" w:cs="Arial" w:eastAsia="Arial" w:hAnsi="Arial"/>
                <w:sz w:val="12"/>
                <w:szCs w:val="12"/>
                <w:color w:val="auto"/>
              </w:rPr>
              <w:t>1</w:t>
            </w: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5"/>
              <w:spacing w:after="0"/>
              <w:rPr>
                <w:sz w:val="20"/>
                <w:szCs w:val="20"/>
                <w:color w:val="auto"/>
              </w:rPr>
            </w:pPr>
            <w:r>
              <w:rPr>
                <w:rFonts w:ascii="Arial" w:cs="Arial" w:eastAsia="Arial" w:hAnsi="Arial"/>
                <w:sz w:val="12"/>
                <w:szCs w:val="12"/>
                <w:color w:val="auto"/>
              </w:rPr>
              <w:t>185</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60"/>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Net loss</w:t>
            </w:r>
          </w:p>
        </w:tc>
        <w:tc>
          <w:tcPr>
            <w:tcW w:w="11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(8,221 )</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(8,221 )</w:t>
            </w:r>
          </w:p>
        </w:tc>
        <w:tc>
          <w:tcPr>
            <w:tcW w:w="0" w:type="dxa"/>
            <w:vAlign w:val="bottom"/>
          </w:tcPr>
          <w:p>
            <w:pPr>
              <w:spacing w:after="0"/>
              <w:rPr>
                <w:sz w:val="1"/>
                <w:szCs w:val="1"/>
                <w:color w:val="auto"/>
              </w:rPr>
            </w:pPr>
          </w:p>
        </w:tc>
      </w:tr>
      <w:tr>
        <w:trPr>
          <w:trHeight w:val="198"/>
        </w:trPr>
        <w:tc>
          <w:tcPr>
            <w:tcW w:w="2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2"/>
                <w:szCs w:val="12"/>
                <w:b w:val="1"/>
                <w:bCs w:val="1"/>
                <w:color w:val="auto"/>
              </w:rPr>
              <w:t>Balance, March 31, 2024</w:t>
            </w:r>
          </w:p>
        </w:tc>
        <w:tc>
          <w:tcPr>
            <w:tcW w:w="112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2"/>
                <w:szCs w:val="12"/>
                <w:color w:val="auto"/>
              </w:rPr>
              <w:t>29,470,076</w:t>
            </w:r>
          </w:p>
        </w:tc>
        <w:tc>
          <w:tcPr>
            <w:tcW w:w="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gridSpan w:val="2"/>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2"/>
                <w:szCs w:val="12"/>
                <w:color w:val="auto"/>
              </w:rPr>
              <w:t>292</w:t>
            </w:r>
          </w:p>
        </w:tc>
        <w:tc>
          <w:tcPr>
            <w:tcW w:w="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gridSpan w:val="2"/>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(122,608 )</w:t>
            </w:r>
          </w:p>
        </w:tc>
        <w:tc>
          <w:tcPr>
            <w:tcW w:w="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gridSpan w:val="2"/>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(448 )</w:t>
            </w:r>
          </w:p>
        </w:tc>
        <w:tc>
          <w:tcPr>
            <w:tcW w:w="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2"/>
                <w:szCs w:val="12"/>
                <w:color w:val="auto"/>
              </w:rPr>
              <w:t>151,384</w:t>
            </w: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gridSpan w:val="2"/>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(145,249 )</w:t>
            </w:r>
          </w:p>
        </w:tc>
        <w:tc>
          <w:tcPr>
            <w:tcW w:w="120" w:type="dxa"/>
            <w:vAlign w:val="bottom"/>
            <w:tcBorders>
              <w:bottom w:val="single" w:sz="8" w:color="CFF0FC"/>
            </w:tcBorders>
            <w:gridSpan w:val="2"/>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2"/>
                <w:szCs w:val="12"/>
                <w:color w:val="auto"/>
              </w:rPr>
              <w:t>5,979</w:t>
            </w:r>
          </w:p>
        </w:tc>
        <w:tc>
          <w:tcPr>
            <w:tcW w:w="0" w:type="dxa"/>
            <w:vAlign w:val="bottom"/>
          </w:tcPr>
          <w:p>
            <w:pPr>
              <w:spacing w:after="0"/>
              <w:rPr>
                <w:sz w:val="1"/>
                <w:szCs w:val="1"/>
                <w:color w:val="auto"/>
              </w:rPr>
            </w:pPr>
          </w:p>
        </w:tc>
      </w:tr>
      <w:tr>
        <w:trPr>
          <w:trHeight w:val="353"/>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5"/>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6"/>
            <w:vMerge w:val="restart"/>
          </w:tcPr>
          <w:p>
            <w:pPr>
              <w:jc w:val="right"/>
              <w:ind w:right="743"/>
              <w:spacing w:after="0"/>
              <w:rPr>
                <w:sz w:val="20"/>
                <w:szCs w:val="20"/>
                <w:color w:val="auto"/>
              </w:rPr>
            </w:pPr>
            <w:r>
              <w:rPr>
                <w:rFonts w:ascii="Arial" w:cs="Arial" w:eastAsia="Arial" w:hAnsi="Arial"/>
                <w:sz w:val="10"/>
                <w:szCs w:val="10"/>
                <w:b w:val="1"/>
                <w:bCs w:val="1"/>
                <w:color w:val="auto"/>
              </w:rPr>
              <w:t>TREASURY STOCK</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5"/>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6"/>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PAID-IN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184"/>
              <w:spacing w:after="0"/>
              <w:rPr>
                <w:sz w:val="20"/>
                <w:szCs w:val="20"/>
                <w:color w:val="auto"/>
              </w:rPr>
            </w:pPr>
            <w:r>
              <w:rPr>
                <w:rFonts w:ascii="Arial" w:cs="Arial" w:eastAsia="Arial" w:hAnsi="Arial"/>
                <w:sz w:val="10"/>
                <w:szCs w:val="10"/>
                <w:b w:val="1"/>
                <w:bCs w:val="1"/>
                <w:color w:val="auto"/>
                <w:w w:val="97"/>
              </w:rPr>
              <w:t>ACCUMULATED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44"/>
              <w:spacing w:after="0"/>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40"/>
        </w:trPr>
        <w:tc>
          <w:tcPr>
            <w:tcW w:w="2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65"/>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05"/>
              <w:spacing w:after="0"/>
              <w:rPr>
                <w:sz w:val="20"/>
                <w:szCs w:val="20"/>
                <w:color w:val="auto"/>
              </w:rPr>
            </w:pPr>
            <w:r>
              <w:rPr>
                <w:rFonts w:ascii="Arial" w:cs="Arial" w:eastAsia="Arial" w:hAnsi="Arial"/>
                <w:sz w:val="10"/>
                <w:szCs w:val="10"/>
                <w:b w:val="1"/>
                <w:bCs w:val="1"/>
                <w:color w:val="auto"/>
                <w:w w:val="96"/>
              </w:rPr>
              <w:t>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rPr>
              <w:t>DEFICIT</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64"/>
              <w:spacing w:after="0"/>
              <w:rPr>
                <w:sz w:val="20"/>
                <w:szCs w:val="20"/>
                <w:color w:val="auto"/>
              </w:rPr>
            </w:pPr>
            <w:r>
              <w:rPr>
                <w:rFonts w:ascii="Arial" w:cs="Arial" w:eastAsia="Arial" w:hAnsi="Arial"/>
                <w:sz w:val="10"/>
                <w:szCs w:val="10"/>
                <w:b w:val="1"/>
                <w:bCs w:val="1"/>
                <w:color w:val="auto"/>
                <w:w w:val="96"/>
              </w:rPr>
              <w:t>EQUITY</w:t>
            </w:r>
          </w:p>
        </w:tc>
        <w:tc>
          <w:tcPr>
            <w:tcW w:w="0" w:type="dxa"/>
            <w:vAlign w:val="bottom"/>
          </w:tcPr>
          <w:p>
            <w:pPr>
              <w:spacing w:after="0"/>
              <w:rPr>
                <w:sz w:val="1"/>
                <w:szCs w:val="1"/>
                <w:color w:val="auto"/>
              </w:rPr>
            </w:pPr>
          </w:p>
        </w:tc>
      </w:tr>
      <w:tr>
        <w:trPr>
          <w:trHeight w:val="158"/>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b w:val="1"/>
                <w:bCs w:val="1"/>
                <w:color w:val="auto"/>
              </w:rPr>
              <w:t>Balance, December 31, 2022</w:t>
            </w:r>
          </w:p>
        </w:tc>
        <w:tc>
          <w:tcPr>
            <w:tcW w:w="1120" w:type="dxa"/>
            <w:vAlign w:val="bottom"/>
            <w:shd w:val="clear" w:color="auto" w:fill="CFF0FC"/>
          </w:tcPr>
          <w:p>
            <w:pPr>
              <w:jc w:val="right"/>
              <w:ind w:right="84"/>
              <w:spacing w:after="0"/>
              <w:rPr>
                <w:sz w:val="20"/>
                <w:szCs w:val="20"/>
                <w:color w:val="auto"/>
              </w:rPr>
            </w:pPr>
            <w:r>
              <w:rPr>
                <w:rFonts w:ascii="Arial" w:cs="Arial" w:eastAsia="Arial" w:hAnsi="Arial"/>
                <w:sz w:val="12"/>
                <w:szCs w:val="12"/>
                <w:color w:val="auto"/>
              </w:rPr>
              <w:t>29,042,418</w:t>
            </w:r>
          </w:p>
        </w:tc>
        <w:tc>
          <w:tcPr>
            <w:tcW w:w="60" w:type="dxa"/>
            <w:vAlign w:val="bottom"/>
            <w:shd w:val="clear" w:color="auto" w:fill="CFF0FC"/>
          </w:tcPr>
          <w:p>
            <w:pPr>
              <w:spacing w:after="0"/>
              <w:rPr>
                <w:sz w:val="13"/>
                <w:szCs w:val="13"/>
                <w:color w:val="auto"/>
              </w:rPr>
            </w:pPr>
          </w:p>
        </w:tc>
        <w:tc>
          <w:tcPr>
            <w:tcW w:w="320" w:type="dxa"/>
            <w:vAlign w:val="bottom"/>
            <w:gridSpan w:val="3"/>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ind w:right="83"/>
              <w:spacing w:after="0"/>
              <w:rPr>
                <w:sz w:val="20"/>
                <w:szCs w:val="20"/>
                <w:color w:val="auto"/>
              </w:rPr>
            </w:pPr>
            <w:r>
              <w:rPr>
                <w:rFonts w:ascii="Arial" w:cs="Arial" w:eastAsia="Arial" w:hAnsi="Arial"/>
                <w:sz w:val="12"/>
                <w:szCs w:val="12"/>
                <w:color w:val="auto"/>
              </w:rPr>
              <w:t>290</w:t>
            </w:r>
          </w:p>
        </w:tc>
        <w:tc>
          <w:tcPr>
            <w:tcW w:w="40" w:type="dxa"/>
            <w:vAlign w:val="bottom"/>
            <w:shd w:val="clear" w:color="auto" w:fill="CFF0FC"/>
          </w:tcPr>
          <w:p>
            <w:pPr>
              <w:spacing w:after="0"/>
              <w:rPr>
                <w:sz w:val="13"/>
                <w:szCs w:val="13"/>
                <w:color w:val="auto"/>
              </w:rPr>
            </w:pPr>
          </w:p>
        </w:tc>
        <w:tc>
          <w:tcPr>
            <w:tcW w:w="1220" w:type="dxa"/>
            <w:vAlign w:val="bottom"/>
            <w:gridSpan w:val="3"/>
            <w:shd w:val="clear" w:color="auto" w:fill="CFF0FC"/>
          </w:tcPr>
          <w:p>
            <w:pPr>
              <w:jc w:val="right"/>
              <w:ind w:right="5"/>
              <w:spacing w:after="0"/>
              <w:rPr>
                <w:sz w:val="20"/>
                <w:szCs w:val="20"/>
                <w:color w:val="auto"/>
              </w:rPr>
            </w:pPr>
            <w:r>
              <w:rPr>
                <w:rFonts w:ascii="Arial" w:cs="Arial" w:eastAsia="Arial" w:hAnsi="Arial"/>
                <w:sz w:val="12"/>
                <w:szCs w:val="12"/>
                <w:color w:val="auto"/>
              </w:rPr>
              <w:t>(122,608 )</w:t>
            </w:r>
          </w:p>
        </w:tc>
        <w:tc>
          <w:tcPr>
            <w:tcW w:w="6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ind w:right="3"/>
              <w:spacing w:after="0"/>
              <w:rPr>
                <w:sz w:val="20"/>
                <w:szCs w:val="20"/>
                <w:color w:val="auto"/>
              </w:rPr>
            </w:pPr>
            <w:r>
              <w:rPr>
                <w:rFonts w:ascii="Arial" w:cs="Arial" w:eastAsia="Arial" w:hAnsi="Arial"/>
                <w:sz w:val="12"/>
                <w:szCs w:val="12"/>
                <w:color w:val="auto"/>
              </w:rPr>
              <w:t>(448 )</w:t>
            </w:r>
          </w:p>
        </w:tc>
        <w:tc>
          <w:tcPr>
            <w:tcW w:w="40" w:type="dxa"/>
            <w:vAlign w:val="bottom"/>
            <w:shd w:val="clear" w:color="auto" w:fill="CFF0FC"/>
          </w:tcPr>
          <w:p>
            <w:pPr>
              <w:spacing w:after="0"/>
              <w:rPr>
                <w:sz w:val="13"/>
                <w:szCs w:val="13"/>
                <w:color w:val="auto"/>
              </w:rPr>
            </w:pPr>
          </w:p>
        </w:tc>
        <w:tc>
          <w:tcPr>
            <w:tcW w:w="220" w:type="dxa"/>
            <w:vAlign w:val="bottom"/>
            <w:gridSpan w:val="3"/>
            <w:shd w:val="clear" w:color="auto" w:fill="CFF0FC"/>
          </w:tcPr>
          <w:p>
            <w:pPr>
              <w:jc w:val="right"/>
              <w:ind w:right="22"/>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65"/>
              <w:spacing w:after="0"/>
              <w:rPr>
                <w:sz w:val="20"/>
                <w:szCs w:val="20"/>
                <w:color w:val="auto"/>
              </w:rPr>
            </w:pPr>
            <w:r>
              <w:rPr>
                <w:rFonts w:ascii="Arial" w:cs="Arial" w:eastAsia="Arial" w:hAnsi="Arial"/>
                <w:sz w:val="12"/>
                <w:szCs w:val="12"/>
                <w:color w:val="auto"/>
              </w:rPr>
              <w:t>146,961</w:t>
            </w:r>
          </w:p>
        </w:tc>
        <w:tc>
          <w:tcPr>
            <w:tcW w:w="20" w:type="dxa"/>
            <w:vAlign w:val="bottom"/>
            <w:shd w:val="clear" w:color="auto" w:fill="CFF0FC"/>
          </w:tcPr>
          <w:p>
            <w:pPr>
              <w:spacing w:after="0"/>
              <w:rPr>
                <w:sz w:val="13"/>
                <w:szCs w:val="13"/>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(99,089 )</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64"/>
              <w:spacing w:after="0"/>
              <w:rPr>
                <w:sz w:val="20"/>
                <w:szCs w:val="20"/>
                <w:color w:val="auto"/>
              </w:rPr>
            </w:pPr>
            <w:r>
              <w:rPr>
                <w:rFonts w:ascii="Arial" w:cs="Arial" w:eastAsia="Arial" w:hAnsi="Arial"/>
                <w:sz w:val="12"/>
                <w:szCs w:val="12"/>
                <w:color w:val="auto"/>
              </w:rPr>
              <w:t>47,714</w:t>
            </w:r>
          </w:p>
        </w:tc>
        <w:tc>
          <w:tcPr>
            <w:tcW w:w="0" w:type="dxa"/>
            <w:vAlign w:val="bottom"/>
          </w:tcPr>
          <w:p>
            <w:pPr>
              <w:spacing w:after="0"/>
              <w:rPr>
                <w:sz w:val="1"/>
                <w:szCs w:val="1"/>
                <w:color w:val="auto"/>
              </w:rPr>
            </w:pPr>
          </w:p>
        </w:tc>
      </w:tr>
      <w:tr>
        <w:trPr>
          <w:trHeight w:val="160"/>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Stock-based compensation</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65"/>
              <w:spacing w:after="0"/>
              <w:rPr>
                <w:sz w:val="20"/>
                <w:szCs w:val="20"/>
                <w:color w:val="auto"/>
              </w:rPr>
            </w:pPr>
            <w:r>
              <w:rPr>
                <w:rFonts w:ascii="Arial" w:cs="Arial" w:eastAsia="Arial" w:hAnsi="Arial"/>
                <w:sz w:val="12"/>
                <w:szCs w:val="12"/>
                <w:color w:val="auto"/>
              </w:rPr>
              <w:t>798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798</w:t>
            </w:r>
          </w:p>
        </w:tc>
        <w:tc>
          <w:tcPr>
            <w:tcW w:w="0" w:type="dxa"/>
            <w:vAlign w:val="bottom"/>
          </w:tcPr>
          <w:p>
            <w:pPr>
              <w:spacing w:after="0"/>
              <w:rPr>
                <w:sz w:val="1"/>
                <w:szCs w:val="1"/>
                <w:color w:val="auto"/>
              </w:rPr>
            </w:pPr>
          </w:p>
        </w:tc>
      </w:tr>
      <w:tr>
        <w:trPr>
          <w:trHeight w:val="143"/>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Change in fair value of</w:t>
            </w:r>
          </w:p>
        </w:tc>
        <w:tc>
          <w:tcPr>
            <w:tcW w:w="1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NC Ohio Trust Warrants</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5"/>
              <w:spacing w:after="0"/>
              <w:rPr>
                <w:sz w:val="20"/>
                <w:szCs w:val="20"/>
                <w:color w:val="auto"/>
              </w:rPr>
            </w:pPr>
            <w:r>
              <w:rPr>
                <w:rFonts w:ascii="Arial" w:cs="Arial" w:eastAsia="Arial" w:hAnsi="Arial"/>
                <w:sz w:val="12"/>
                <w:szCs w:val="12"/>
                <w:color w:val="auto"/>
              </w:rPr>
              <w:t>(65 )</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4"/>
              <w:spacing w:after="0"/>
              <w:rPr>
                <w:sz w:val="20"/>
                <w:szCs w:val="20"/>
                <w:color w:val="auto"/>
              </w:rPr>
            </w:pPr>
            <w:r>
              <w:rPr>
                <w:rFonts w:ascii="Arial" w:cs="Arial" w:eastAsia="Arial" w:hAnsi="Arial"/>
                <w:sz w:val="12"/>
                <w:szCs w:val="12"/>
                <w:color w:val="auto"/>
              </w:rPr>
              <w:t>(65 )</w:t>
            </w:r>
          </w:p>
        </w:tc>
        <w:tc>
          <w:tcPr>
            <w:tcW w:w="0" w:type="dxa"/>
            <w:vAlign w:val="bottom"/>
          </w:tcPr>
          <w:p>
            <w:pPr>
              <w:spacing w:after="0"/>
              <w:rPr>
                <w:sz w:val="1"/>
                <w:szCs w:val="1"/>
                <w:color w:val="auto"/>
              </w:rPr>
            </w:pPr>
          </w:p>
        </w:tc>
      </w:tr>
      <w:tr>
        <w:trPr>
          <w:trHeight w:val="160"/>
        </w:trPr>
        <w:tc>
          <w:tcPr>
            <w:tcW w:w="2540" w:type="dxa"/>
            <w:vAlign w:val="bottom"/>
          </w:tcPr>
          <w:p>
            <w:pPr>
              <w:ind w:left="20"/>
              <w:spacing w:after="0"/>
              <w:rPr>
                <w:sz w:val="20"/>
                <w:szCs w:val="20"/>
                <w:color w:val="auto"/>
              </w:rPr>
            </w:pPr>
            <w:r>
              <w:rPr>
                <w:rFonts w:ascii="Arial" w:cs="Arial" w:eastAsia="Arial" w:hAnsi="Arial"/>
                <w:sz w:val="12"/>
                <w:szCs w:val="12"/>
                <w:color w:val="auto"/>
              </w:rPr>
              <w:t>Net loss</w:t>
            </w: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5"/>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(8,795 )</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(8,795 )</w:t>
            </w:r>
          </w:p>
        </w:tc>
        <w:tc>
          <w:tcPr>
            <w:tcW w:w="0" w:type="dxa"/>
            <w:vAlign w:val="bottom"/>
          </w:tcPr>
          <w:p>
            <w:pPr>
              <w:spacing w:after="0"/>
              <w:rPr>
                <w:sz w:val="1"/>
                <w:szCs w:val="1"/>
                <w:color w:val="auto"/>
              </w:rPr>
            </w:pPr>
          </w:p>
        </w:tc>
      </w:tr>
      <w:tr>
        <w:trPr>
          <w:trHeight w:val="198"/>
        </w:trPr>
        <w:tc>
          <w:tcPr>
            <w:tcW w:w="2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b w:val="1"/>
                <w:bCs w:val="1"/>
                <w:color w:val="auto"/>
              </w:rPr>
              <w:t>Balance, March 31, 2023</w:t>
            </w:r>
          </w:p>
        </w:tc>
        <w:tc>
          <w:tcPr>
            <w:tcW w:w="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2"/>
                <w:szCs w:val="12"/>
                <w:color w:val="auto"/>
              </w:rPr>
              <w:t>29,042,418</w:t>
            </w: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gridSpan w:val="2"/>
            <w:shd w:val="clear" w:color="auto" w:fill="CFF0FC"/>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2"/>
                <w:szCs w:val="12"/>
                <w:color w:val="auto"/>
              </w:rPr>
              <w:t>290</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gridSpan w:val="2"/>
            <w:shd w:val="clear" w:color="auto" w:fill="CFF0FC"/>
          </w:tcPr>
          <w:p>
            <w:pPr>
              <w:jc w:val="right"/>
              <w:ind w:right="5"/>
              <w:spacing w:after="0"/>
              <w:rPr>
                <w:sz w:val="20"/>
                <w:szCs w:val="20"/>
                <w:color w:val="auto"/>
              </w:rPr>
            </w:pPr>
            <w:r>
              <w:rPr>
                <w:rFonts w:ascii="Arial" w:cs="Arial" w:eastAsia="Arial" w:hAnsi="Arial"/>
                <w:sz w:val="12"/>
                <w:szCs w:val="12"/>
                <w:color w:val="auto"/>
              </w:rPr>
              <w:t>(122,608 )</w:t>
            </w: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gridSpan w:val="2"/>
            <w:shd w:val="clear" w:color="auto" w:fill="CFF0FC"/>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2"/>
                <w:szCs w:val="12"/>
                <w:color w:val="auto"/>
              </w:rPr>
              <w:t>(448 )</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gridSpan w:val="2"/>
            <w:shd w:val="clear" w:color="auto" w:fill="CFF0FC"/>
          </w:tcPr>
          <w:p>
            <w:pPr>
              <w:jc w:val="right"/>
              <w:ind w:right="2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2"/>
                <w:szCs w:val="12"/>
                <w:color w:val="auto"/>
              </w:rPr>
              <w:t>147,694</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2"/>
                <w:szCs w:val="12"/>
                <w:color w:val="auto"/>
              </w:rPr>
              <w:t>(107,884 )</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2"/>
                <w:szCs w:val="12"/>
                <w:color w:val="auto"/>
              </w:rPr>
              <w:t>39,652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-1088390</wp:posOffset>
            </wp:positionV>
            <wp:extent cx="7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-1071245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-1088390</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-1071245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-1088390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-1071245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-1088390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-1071245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-1088390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-1071245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-1088390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-1071245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-25400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-8255</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-25400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-25400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-25400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0" w:name="page11"/>
    <w:bookmarkEnd w:id="10"/>
    <w:p>
      <w:pPr>
        <w:ind w:left="426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jc w:val="center"/>
        <w:ind w:right="40"/>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6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2023</w:t>
            </w: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9"/>
        </w:trPr>
        <w:tc>
          <w:tcPr>
            <w:tcW w:w="7760" w:type="dxa"/>
            <w:vAlign w:val="bottom"/>
          </w:tcPr>
          <w:p>
            <w:pPr>
              <w:ind w:left="28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(8,221 )</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(8,795 )</w:t>
            </w:r>
          </w:p>
        </w:tc>
      </w:tr>
      <w:tr>
        <w:trPr>
          <w:trHeight w:val="230"/>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9"/>
        </w:trPr>
        <w:tc>
          <w:tcPr>
            <w:tcW w:w="7760" w:type="dxa"/>
            <w:vAlign w:val="bottom"/>
          </w:tcPr>
          <w:p>
            <w:pPr>
              <w:ind w:left="780"/>
              <w:spacing w:after="0"/>
              <w:rPr>
                <w:sz w:val="20"/>
                <w:szCs w:val="20"/>
                <w:color w:val="auto"/>
              </w:rPr>
            </w:pPr>
            <w:r>
              <w:rPr>
                <w:rFonts w:ascii="Arial" w:cs="Arial" w:eastAsia="Arial" w:hAnsi="Arial"/>
                <w:sz w:val="18"/>
                <w:szCs w:val="18"/>
                <w:color w:val="auto"/>
              </w:rPr>
              <w:t>Depreciation expense</w:t>
            </w: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230</w:t>
            </w:r>
          </w:p>
        </w:tc>
      </w:tr>
      <w:tr>
        <w:trPr>
          <w:trHeight w:val="229"/>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Loss on the sale of fixed assets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74</w:t>
            </w: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Non-cash stock compensation expense</w:t>
            </w: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1,043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733</w:t>
            </w:r>
          </w:p>
        </w:tc>
      </w:tr>
      <w:tr>
        <w:trPr>
          <w:trHeight w:val="229"/>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Non-cash lease expense</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57</w:t>
            </w: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Non-cash interest expense</w:t>
            </w: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26</w:t>
            </w:r>
          </w:p>
        </w:tc>
      </w:tr>
      <w:tr>
        <w:trPr>
          <w:trHeight w:val="229"/>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Change in fair value of warrant liability</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(724 )</w:t>
            </w:r>
          </w:p>
        </w:tc>
      </w:tr>
      <w:tr>
        <w:trPr>
          <w:trHeight w:val="229"/>
        </w:trPr>
        <w:tc>
          <w:tcPr>
            <w:tcW w:w="7760" w:type="dxa"/>
            <w:vAlign w:val="bottom"/>
          </w:tcPr>
          <w:p>
            <w:pPr>
              <w:ind w:left="780"/>
              <w:spacing w:after="0"/>
              <w:rPr>
                <w:sz w:val="20"/>
                <w:szCs w:val="20"/>
                <w:color w:val="auto"/>
              </w:rPr>
            </w:pPr>
            <w:r>
              <w:rPr>
                <w:rFonts w:ascii="Arial" w:cs="Arial" w:eastAsia="Arial" w:hAnsi="Arial"/>
                <w:sz w:val="18"/>
                <w:szCs w:val="18"/>
                <w:color w:val="auto"/>
              </w:rPr>
              <w:t>Accretion of debt discount</w:t>
            </w: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75</w:t>
            </w:r>
          </w:p>
        </w:tc>
      </w:tr>
      <w:tr>
        <w:trPr>
          <w:trHeight w:val="230"/>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9"/>
        </w:trPr>
        <w:tc>
          <w:tcPr>
            <w:tcW w:w="7760" w:type="dxa"/>
            <w:vAlign w:val="bottom"/>
          </w:tcPr>
          <w:p>
            <w:pPr>
              <w:ind w:left="78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(730 )</w:t>
            </w:r>
          </w:p>
        </w:tc>
      </w:tr>
      <w:tr>
        <w:trPr>
          <w:trHeight w:val="229"/>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149</w:t>
            </w:r>
          </w:p>
        </w:tc>
      </w:tr>
      <w:tr>
        <w:trPr>
          <w:trHeight w:val="229"/>
        </w:trPr>
        <w:tc>
          <w:tcPr>
            <w:tcW w:w="77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Accrued expenses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(1,584 )</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(1,790 )</w:t>
            </w: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Deferred income</w:t>
            </w: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77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Lease liability</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(123 )</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(112 )</w:t>
            </w:r>
          </w:p>
        </w:tc>
      </w:tr>
      <w:tr>
        <w:trPr>
          <w:trHeight w:val="223"/>
        </w:trPr>
        <w:tc>
          <w:tcPr>
            <w:tcW w:w="7760" w:type="dxa"/>
            <w:vAlign w:val="bottom"/>
          </w:tcPr>
          <w:p>
            <w:pPr>
              <w:ind w:left="28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(8,438 )</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(10,819 )</w:t>
            </w: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Purchase of fixed assets</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(138 )</w:t>
            </w:r>
          </w:p>
        </w:tc>
      </w:tr>
      <w:tr>
        <w:trPr>
          <w:trHeight w:val="230"/>
        </w:trPr>
        <w:tc>
          <w:tcPr>
            <w:tcW w:w="776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Proceeds from the sale of fixed assets</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157</w:t>
            </w:r>
          </w:p>
        </w:tc>
      </w:tr>
      <w:tr>
        <w:trPr>
          <w:trHeight w:val="223"/>
        </w:trPr>
        <w:tc>
          <w:tcPr>
            <w:tcW w:w="7760" w:type="dxa"/>
            <w:vAlign w:val="bottom"/>
          </w:tcPr>
          <w:p>
            <w:pPr>
              <w:ind w:left="280"/>
              <w:spacing w:after="0"/>
              <w:rPr>
                <w:sz w:val="20"/>
                <w:szCs w:val="20"/>
                <w:color w:val="auto"/>
              </w:rPr>
            </w:pPr>
            <w:r>
              <w:rPr>
                <w:rFonts w:ascii="Arial" w:cs="Arial" w:eastAsia="Arial" w:hAnsi="Arial"/>
                <w:sz w:val="18"/>
                <w:szCs w:val="18"/>
                <w:color w:val="auto"/>
              </w:rPr>
              <w:t>Net cash (used in) provided by investing activities</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(7 )</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w:t>
            </w: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Proceeds from option exercises</w:t>
            </w: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197"/>
        </w:trPr>
        <w:tc>
          <w:tcPr>
            <w:tcW w:w="7760" w:type="dxa"/>
            <w:vAlign w:val="bottom"/>
            <w:shd w:val="clear" w:color="auto" w:fill="CFF0FC"/>
          </w:tcPr>
          <w:p>
            <w:pPr>
              <w:ind w:left="780"/>
              <w:spacing w:after="0" w:line="197" w:lineRule="exact"/>
              <w:rPr>
                <w:sz w:val="20"/>
                <w:szCs w:val="20"/>
                <w:color w:val="auto"/>
              </w:rPr>
            </w:pPr>
            <w:r>
              <w:rPr>
                <w:rFonts w:ascii="Arial" w:cs="Arial" w:eastAsia="Arial" w:hAnsi="Arial"/>
                <w:sz w:val="18"/>
                <w:szCs w:val="18"/>
                <w:color w:val="auto"/>
              </w:rPr>
              <w:t>Proceeds from sale of common stock,</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35"/>
        </w:trPr>
        <w:tc>
          <w:tcPr>
            <w:tcW w:w="7760" w:type="dxa"/>
            <w:vAlign w:val="bottom"/>
            <w:shd w:val="clear" w:color="auto" w:fill="CFF0FC"/>
          </w:tcPr>
          <w:p>
            <w:pPr>
              <w:ind w:left="920"/>
              <w:spacing w:after="0"/>
              <w:rPr>
                <w:sz w:val="20"/>
                <w:szCs w:val="20"/>
                <w:color w:val="auto"/>
              </w:rPr>
            </w:pPr>
            <w:r>
              <w:rPr>
                <w:rFonts w:ascii="Arial" w:cs="Arial" w:eastAsia="Arial" w:hAnsi="Arial"/>
                <w:sz w:val="18"/>
                <w:szCs w:val="18"/>
                <w:color w:val="auto"/>
              </w:rPr>
              <w:t>net of issuance costs</w:t>
            </w:r>
          </w:p>
        </w:tc>
        <w:tc>
          <w:tcPr>
            <w:tcW w:w="96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780"/>
              <w:spacing w:after="0"/>
              <w:rPr>
                <w:sz w:val="20"/>
                <w:szCs w:val="20"/>
                <w:color w:val="auto"/>
              </w:rPr>
            </w:pPr>
            <w:r>
              <w:rPr>
                <w:rFonts w:ascii="Arial" w:cs="Arial" w:eastAsia="Arial" w:hAnsi="Arial"/>
                <w:sz w:val="18"/>
                <w:szCs w:val="18"/>
                <w:color w:val="auto"/>
              </w:rPr>
              <w:t>Principal payments on term loan</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(1,667 )</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(1,255 )</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decrease in cash</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(9,700 )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(10,800 )</w:t>
            </w:r>
          </w:p>
        </w:tc>
      </w:tr>
      <w:tr>
        <w:trPr>
          <w:trHeight w:val="229"/>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35,679</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70,324</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Pr>
          <w:p>
            <w:pPr>
              <w:jc w:val="right"/>
              <w:ind w:right="754"/>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25,979</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b w:val="1"/>
                <w:bCs w:val="1"/>
                <w:color w:val="auto"/>
              </w:rPr>
              <w:t>59,524</w:t>
            </w:r>
          </w:p>
        </w:tc>
      </w:tr>
      <w:tr>
        <w:trPr>
          <w:trHeight w:val="20"/>
        </w:trPr>
        <w:tc>
          <w:tcPr>
            <w:tcW w:w="7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30"/>
        </w:trPr>
        <w:tc>
          <w:tcPr>
            <w:tcW w:w="7760" w:type="dxa"/>
            <w:vAlign w:val="bottom"/>
          </w:tcPr>
          <w:p>
            <w:pPr>
              <w:ind w:left="780"/>
              <w:spacing w:after="0"/>
              <w:rPr>
                <w:sz w:val="20"/>
                <w:szCs w:val="20"/>
                <w:color w:val="auto"/>
              </w:rPr>
            </w:pPr>
            <w:r>
              <w:rPr>
                <w:rFonts w:ascii="Arial" w:cs="Arial" w:eastAsia="Arial" w:hAnsi="Arial"/>
                <w:sz w:val="18"/>
                <w:szCs w:val="18"/>
                <w:color w:val="auto"/>
              </w:rPr>
              <w:t>Cash paid for interest</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549</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500</w:t>
            </w:r>
          </w:p>
        </w:tc>
      </w:tr>
      <w:tr>
        <w:trPr>
          <w:trHeight w:val="230"/>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non-cash information:</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9"/>
        </w:trPr>
        <w:tc>
          <w:tcPr>
            <w:tcW w:w="7760" w:type="dxa"/>
            <w:vAlign w:val="bottom"/>
          </w:tcPr>
          <w:p>
            <w:pPr>
              <w:ind w:left="780"/>
              <w:spacing w:after="0"/>
              <w:rPr>
                <w:sz w:val="20"/>
                <w:szCs w:val="20"/>
                <w:color w:val="auto"/>
              </w:rPr>
            </w:pPr>
            <w:r>
              <w:rPr>
                <w:rFonts w:ascii="Arial" w:cs="Arial" w:eastAsia="Arial" w:hAnsi="Arial"/>
                <w:sz w:val="18"/>
                <w:szCs w:val="18"/>
                <w:color w:val="auto"/>
              </w:rPr>
              <w:t>Capital expenditures in accounts payable and accrued expenses</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-2696845</wp:posOffset>
            </wp:positionV>
            <wp:extent cx="102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-2096770</wp:posOffset>
            </wp:positionV>
            <wp:extent cx="1028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-1068070</wp:posOffset>
            </wp:positionV>
            <wp:extent cx="1028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-768350</wp:posOffset>
            </wp:positionV>
            <wp:extent cx="102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1" w:name="page12"/>
    <w:bookmarkEnd w:id="11"/>
    <w:p>
      <w:pPr>
        <w:ind w:left="430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Candel Therapeutics, Inc., formerly known as Advantagene, Inc. (the Company), is a clinical stage biopharmaceutical company that was incorporated in Delaware in June 2003. On November 30, 2020, the Company changed its name to Candel Therapeutics, Inc. The Company is focused on developing off-the-shelf viral immunotherapies that elicit an individualized, systemic anti-tumor immune response to help patients fight cancer. The Company’s engineered viruses are designed to induce immunogenic cell death through direct viral-mediated cytotoxicity in cancer cells, thus releasing tumor neo-antigens and creating a pro-inflammatory microenvironment at the site of injection. This is intended to lead to in-situ vaccination against the injected tumor and uninjected distant metastases. The Company has established two off-the-shelf viral immunotherapy platforms and its two product candidates, CAN-2409 and CAN-3110, are in clinical trials for a number of tumor types. Additionally, the Company and the University of Pennsylvania (UPenn) are collaborating to study the impact of novel viral immunotherapies based on Candel's propriety enLIGHTEN™ Discovery Platform, a systematic, iterative herpes simplex virus based platform leveraging human biology and advanced analytics, to strengthen the effects of UPenn's investigational CAR-T cell therapies in solid tumors.</w:t>
      </w:r>
    </w:p>
    <w:p>
      <w:pPr>
        <w:spacing w:after="0" w:line="76"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Since inception, the Company has funded its operations primarily with proceeds from the sale of its convertible notes and capital stock and from debt borrowings. The Company has incurred recurring losses since its inception, including a net loss of $8.2 million and $8.8 million for the three months ended March 31, 2024 and 2023, respectively. In addition, as of March 31, 2024, the Company had an accumulated deficit of $145.2 million. The Company expects to continue to generate operating losses and negative cash flows from operations for the foreseeable future.</w:t>
      </w:r>
    </w:p>
    <w:p>
      <w:pPr>
        <w:spacing w:after="0" w:line="6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On August 5, 2022, the Company filed a shelf registration statement on Form S-3 (as amended to date, the Shelf) with the U.S. Securities and Exchange Commission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March 31, 2024, the Company has sold and issued 109,485 shares of common stock under the ATM Program, with total net proceeds of $0.2 million. Subsequent to March 31, 2024, no additional sales have been made under the ATM Program.</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Company’s cash and cash equivalents were $25.7 million as of March 31, 2024. In accordance with the Financial Accounting Standards Board (FASB) Accounting Standards Codification (ASC), 205-40, Presentation of Financial Statements - Going Concern, management is required to assess the Company’s ability to continue as a going concern for the one-year look forward period following the date that the condensed consolidated financial statements are issued. The Company expects to continue to generate operating losses and negative cash flows from operations. Based on these conditions, the Company has determined that substantial doubt exists regarding its ability to continue as a going concern for the one-year period following the date these condensed consolidated financial statements are issued. To sustain its future operations beyond such one-year period, the Company will require additional funding. The Company expects to finance its cash needs through a combination of public or private equity or debt financings, government grants, and other sources, which may include collaborations, strategic alliances and licensing arrangements with third parties. There is no assurance that the Company will be successful in obtaining sufficient funding on acceptable terms, if at all, and the Company could be forced to delay, reduce, or eliminate some or all of its research, clinical trials, product development or future commercialization efforts, which could materially adversely affect its business prospects or its ability to continue as a going concern.</w:t>
      </w:r>
    </w:p>
    <w:p>
      <w:pPr>
        <w:spacing w:after="0" w:line="73"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accompanying condensed consolidated financial statements do not include any adjustments that might result from the outcome of this uncertainty. Accordingly, the condensed consolidated financial statements have been prepared on a basis that assumes the Company will continue as a going concern and that contemplates the realization of assets and satisfaction of liabilities and commitments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accompanying condensed consolidated financial statements have been prepared in accordance with accounting standards set by the FASB.</w:t>
      </w:r>
      <w:r>
        <w:rPr>
          <w:rFonts w:ascii="Arial" w:cs="Arial" w:eastAsia="Arial" w:hAnsi="Arial"/>
          <w:sz w:val="18"/>
          <w:szCs w:val="18"/>
          <w:color w:val="auto"/>
        </w:rPr>
        <w:t xml:space="preserve"> </w:t>
      </w:r>
      <w:r>
        <w:rPr>
          <w:rFonts w:ascii="Arial" w:cs="Arial" w:eastAsia="Arial" w:hAnsi="Arial"/>
          <w:sz w:val="17"/>
          <w:szCs w:val="17"/>
          <w:color w:val="auto"/>
        </w:rPr>
        <w:t>The FASB sets generally accepted accounting principles (GAAP) that the Company follows to ensure its financial condition, results of operations, and cash flows are consistently reported. References to GAAP issued by the FASB in these notes to the financial statements are to the FASB ASC.</w:t>
      </w:r>
    </w:p>
    <w:p>
      <w:pPr>
        <w:ind w:right="1280"/>
        <w:spacing w:after="0" w:line="371" w:lineRule="auto"/>
        <w:rPr>
          <w:sz w:val="20"/>
          <w:szCs w:val="20"/>
          <w:color w:val="auto"/>
        </w:rPr>
      </w:pPr>
      <w:r>
        <w:rPr>
          <w:rFonts w:ascii="Arial" w:cs="Arial" w:eastAsia="Arial" w:hAnsi="Arial"/>
          <w:sz w:val="18"/>
          <w:szCs w:val="18"/>
          <w:color w:val="auto"/>
        </w:rPr>
        <w:t xml:space="preserve">The Company has reclassified certain amounts relating to its prior period results to conform to its current period presentation. </w:t>
      </w:r>
      <w:r>
        <w:rPr>
          <w:rFonts w:ascii="Arial" w:cs="Arial" w:eastAsia="Arial" w:hAnsi="Arial"/>
          <w:sz w:val="18"/>
          <w:szCs w:val="18"/>
          <w:b w:val="1"/>
          <w:bCs w:val="1"/>
          <w:i w:val="1"/>
          <w:iCs w:val="1"/>
          <w:color w:val="auto"/>
        </w:rPr>
        <w:t>Principles of Consolidation</w:t>
      </w:r>
    </w:p>
    <w:p>
      <w:pPr>
        <w:ind w:right="660"/>
        <w:spacing w:after="0" w:line="267" w:lineRule="auto"/>
        <w:rPr>
          <w:sz w:val="20"/>
          <w:szCs w:val="20"/>
          <w:color w:val="auto"/>
        </w:rPr>
      </w:pPr>
      <w:r>
        <w:rPr>
          <w:rFonts w:ascii="Arial" w:cs="Arial" w:eastAsia="Arial" w:hAnsi="Arial"/>
          <w:sz w:val="17"/>
          <w:szCs w:val="17"/>
          <w:color w:val="auto"/>
        </w:rPr>
        <w:t>The condensed consolidated financial statements include the accounts of Candel Therapeutics, Inc. and its wholly owned subsidiary Candel Therapeutics Securities Corporation. All intercompany transactions and balances have been eliminated.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 maker, the Company's chief executive officer, views the Company's operations and manages its business as a single operating segment. The Company only operates in the United States.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9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is (i)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98"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accompanying condensed consolidated balance sheet as of March 31, 2024, the condensed consolidated statements of operations for the three months ended March 31, 2024 and 2023, the condensed consolidated statements of stockholders’ equity for the three months ended March 31,</w:t>
      </w:r>
    </w:p>
    <w:p>
      <w:pPr>
        <w:spacing w:after="0" w:line="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2024 and 2023, the condensed consolidated statements of cash flows for the three months ended March 31, 2024 and 2023, and the related interim disclosures are unaudited. These condensed consolidated financial statements include all adjustments necessary, consisting of only normal recurring adjustments, to fairly state the financial position and the results of the Company’s operations and cash flows for interim periods in accordance with U.S. GAAP. Interim period results are not necessarily indicative of results of operations or cash flows for a full year or any subsequent interim period. The accompanying condensed consolidated financial statements should be read in conjunction with the Company’s audited consolidated financial statements and notes thereto for the year ended December 31, 2023 included in the Company’s Annual Report on Form 10-K on file with the SEC.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preparation of the Company’s condensed consolidated financial statements in conformity with GAAP requires management to make estimates</w:t>
      </w:r>
      <w:r>
        <w:rPr>
          <w:rFonts w:ascii="Arial" w:cs="Arial" w:eastAsia="Arial" w:hAnsi="Arial"/>
          <w:sz w:val="18"/>
          <w:szCs w:val="18"/>
          <w:color w:val="auto"/>
        </w:rPr>
        <w:t xml:space="preserve"> </w:t>
      </w:r>
      <w:r>
        <w:rPr>
          <w:rFonts w:ascii="Arial" w:cs="Arial" w:eastAsia="Arial" w:hAnsi="Arial"/>
          <w:sz w:val="17"/>
          <w:szCs w:val="17"/>
          <w:color w:val="auto"/>
        </w:rPr>
        <w:t>and assumptions that affect the reported amounts of assets, liabilities, and related disclosure of contingent assets and liabilities at the date of the financial statements and reported amounts of revenue and expenses during the reporting period. On an ongoing basis, the Company’s management evaluates its estimates, which include but are not limited to management’s judgments of accrued expenses, valuation of stock-based option awards, valuations of warrants, and income taxes. Actual results could differ from those estimates.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98" w:lineRule="exact"/>
        <w:rPr>
          <w:sz w:val="20"/>
          <w:szCs w:val="20"/>
          <w:color w:val="auto"/>
        </w:rPr>
      </w:pPr>
    </w:p>
    <w:p>
      <w:pPr>
        <w:ind w:right="460"/>
        <w:spacing w:after="0" w:line="267" w:lineRule="auto"/>
        <w:rPr>
          <w:sz w:val="20"/>
          <w:szCs w:val="20"/>
          <w:color w:val="auto"/>
        </w:rPr>
      </w:pPr>
      <w:r>
        <w:rPr>
          <w:rFonts w:ascii="Arial" w:cs="Arial" w:eastAsia="Arial" w:hAnsi="Arial"/>
          <w:sz w:val="17"/>
          <w:szCs w:val="17"/>
          <w:color w:val="auto"/>
        </w:rPr>
        <w:t>The Company had $0.3 million of restricted cash as of both March 31, 2024 and December 31, 2023, which represents cash held as a security deposit under the terms of the Company’s Needham, Massachusetts facility lease.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8"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October 2023, the FASB issued ASU 2023-06, Disclosure Improvements: Codification Amendments in Response to the SEC's Disclosure Update and Simplification Initiative, which modifies the disclosure or presentation requirements related to a variety of FASB Accounting Standard Codification topics. The effective date for each amendment will be the date on which the SEC's removal of that related disclosure from Regulation S-X or Regulation S-K is effective, with early adoption prohibited. If by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3" w:name="page14"/>
    <w:bookmarkEnd w:id="13"/>
    <w:p>
      <w:pPr>
        <w:ind w:right="120"/>
        <w:spacing w:after="0" w:line="249" w:lineRule="auto"/>
        <w:rPr>
          <w:sz w:val="20"/>
          <w:szCs w:val="20"/>
          <w:color w:val="auto"/>
        </w:rPr>
      </w:pPr>
      <w:r>
        <w:rPr>
          <w:rFonts w:ascii="Arial" w:cs="Arial" w:eastAsia="Arial" w:hAnsi="Arial"/>
          <w:sz w:val="17"/>
          <w:szCs w:val="17"/>
          <w:color w:val="auto"/>
        </w:rPr>
        <w:t>June 30, 2027, the SEC has not removed the applicable requirement from Regulation S-X or Regulation S-K, the pending content of the associated amendment will be removed from the Codification and will not become effective for any entities. The Company is currently evaluating the potential impact that ASU 2023-06 may have on its condensed consolidated financial statements and related disclosures.</w:t>
      </w:r>
    </w:p>
    <w:p>
      <w:pPr>
        <w:spacing w:after="0" w:line="6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November 2023, the FASB issued ASU 2023-07, Segment Reporting: Improvements to Reportable Segment Disclosures, which amends guidance in ASC 280, Segment Reporting The amendments in this ASU expand segment disclosure requirements, including new segment disclosure requirements for entities with a single reportable segment, among other disclosure requirements. The ASU’s amendments are effective for public business entities for annual periods beginning after December 15, 2023. Early adoption is permitted. The Company is currently evaluating the potential impact that the adoption of ASU 2023-07 may have on its condensed consolidated financial statements and related disclosures.</w:t>
      </w:r>
    </w:p>
    <w:p>
      <w:pPr>
        <w:spacing w:after="0" w:line="7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December 2023, the FASB issued ASU 2023-09, Improvements to Income Tax Disclosures, which amends the guidance in ASC 740, Income Taxes. The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ASU’s amendments are effective for public business entities for annual periods beginning after December 15, 2024. Early adoption is permitted. Adoption can be either prospectively or retrospectively applied, and the Company will adopt this ASU on a prospective basis. The Company is currently evaluating the potential impact that ASU 2023-09 may have on its condensed consolidated financial statements and related disclosures.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0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AS OF</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5"/>
        </w:trPr>
        <w:tc>
          <w:tcPr>
            <w:tcW w:w="58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56"/>
              <w:spacing w:after="0"/>
              <w:rPr>
                <w:sz w:val="20"/>
                <w:szCs w:val="20"/>
                <w:color w:val="auto"/>
              </w:rPr>
            </w:pPr>
            <w:r>
              <w:rPr>
                <w:rFonts w:ascii="Arial" w:cs="Arial" w:eastAsia="Arial" w:hAnsi="Arial"/>
                <w:sz w:val="14"/>
                <w:szCs w:val="14"/>
                <w:b w:val="1"/>
                <w:bCs w:val="1"/>
                <w:color w:val="auto"/>
              </w:rPr>
              <w:t>MARCH 31, 2024 USING:</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58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TOTAL</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Warrant liability</w:t>
            </w: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909</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909</w:t>
            </w:r>
          </w:p>
        </w:tc>
      </w:tr>
      <w:tr>
        <w:trPr>
          <w:trHeight w:val="263"/>
        </w:trPr>
        <w:tc>
          <w:tcPr>
            <w:tcW w:w="5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702"/>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909</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909</w:t>
            </w:r>
          </w:p>
        </w:tc>
      </w:tr>
      <w:tr>
        <w:trPr>
          <w:trHeight w:val="349"/>
        </w:trPr>
        <w:tc>
          <w:tcPr>
            <w:tcW w:w="5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AS OF</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58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56"/>
              <w:spacing w:after="0"/>
              <w:rPr>
                <w:sz w:val="20"/>
                <w:szCs w:val="20"/>
                <w:color w:val="auto"/>
              </w:rPr>
            </w:pPr>
            <w:r>
              <w:rPr>
                <w:rFonts w:ascii="Arial" w:cs="Arial" w:eastAsia="Arial" w:hAnsi="Arial"/>
                <w:sz w:val="14"/>
                <w:szCs w:val="14"/>
                <w:b w:val="1"/>
                <w:bCs w:val="1"/>
                <w:color w:val="auto"/>
              </w:rPr>
              <w:t>DECEMBER 31, 2023 USING:</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58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TOTAL</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5820" w:type="dxa"/>
            <w:vAlign w:val="bottom"/>
          </w:tcPr>
          <w:p>
            <w:pPr>
              <w:ind w:left="280"/>
              <w:spacing w:after="0"/>
              <w:rPr>
                <w:sz w:val="20"/>
                <w:szCs w:val="20"/>
                <w:color w:val="auto"/>
              </w:rPr>
            </w:pPr>
            <w:r>
              <w:rPr>
                <w:rFonts w:ascii="Arial" w:cs="Arial" w:eastAsia="Arial" w:hAnsi="Arial"/>
                <w:sz w:val="18"/>
                <w:szCs w:val="18"/>
                <w:color w:val="auto"/>
              </w:rPr>
              <w:t>Warrant liability</w:t>
            </w: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916</w:t>
            </w:r>
          </w:p>
        </w:tc>
      </w:tr>
      <w:tr>
        <w:trPr>
          <w:trHeight w:val="263"/>
        </w:trPr>
        <w:tc>
          <w:tcPr>
            <w:tcW w:w="5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702"/>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916</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-984885</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-967740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-984885</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-967740</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-984885</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-967740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provides a roll forward of the aggregate fair values of the Company’s warrant liability, for which fair value is determined by Level 3 inputs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center"/>
              <w:ind w:right="379"/>
              <w:spacing w:after="0"/>
              <w:rPr>
                <w:sz w:val="20"/>
                <w:szCs w:val="20"/>
                <w:color w:val="auto"/>
              </w:rPr>
            </w:pPr>
            <w:r>
              <w:rPr>
                <w:rFonts w:ascii="Arial" w:cs="Arial" w:eastAsia="Arial" w:hAnsi="Arial"/>
                <w:sz w:val="14"/>
                <w:szCs w:val="14"/>
                <w:b w:val="1"/>
                <w:bCs w:val="1"/>
                <w:color w:val="auto"/>
              </w:rPr>
              <w:t>SERIES B</w:t>
            </w:r>
          </w:p>
        </w:tc>
      </w:tr>
      <w:tr>
        <w:trPr>
          <w:trHeight w:val="162"/>
        </w:trPr>
        <w:tc>
          <w:tcPr>
            <w:tcW w:w="40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jc w:val="center"/>
              <w:ind w:right="379"/>
              <w:spacing w:after="0"/>
              <w:rPr>
                <w:sz w:val="20"/>
                <w:szCs w:val="20"/>
                <w:color w:val="auto"/>
              </w:rPr>
            </w:pPr>
            <w:r>
              <w:rPr>
                <w:rFonts w:ascii="Arial" w:cs="Arial" w:eastAsia="Arial" w:hAnsi="Arial"/>
                <w:sz w:val="14"/>
                <w:szCs w:val="14"/>
                <w:b w:val="1"/>
                <w:bCs w:val="1"/>
                <w:color w:val="auto"/>
              </w:rPr>
              <w:t>WARRANT</w:t>
            </w:r>
          </w:p>
        </w:tc>
      </w:tr>
      <w:tr>
        <w:trPr>
          <w:trHeight w:val="185"/>
        </w:trPr>
        <w:tc>
          <w:tcPr>
            <w:tcW w:w="40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rPr>
              <w:t>LIABILITY</w:t>
            </w:r>
          </w:p>
        </w:tc>
      </w:tr>
      <w:tr>
        <w:trPr>
          <w:trHeight w:val="22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2023</w:t>
            </w:r>
          </w:p>
        </w:tc>
        <w:tc>
          <w:tcPr>
            <w:tcW w:w="5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916</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5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r>
      <w:tr>
        <w:trPr>
          <w:trHeight w:val="26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March 31, 2024</w:t>
            </w:r>
          </w:p>
        </w:tc>
        <w:tc>
          <w:tcPr>
            <w:tcW w:w="5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909</w:t>
            </w:r>
          </w:p>
        </w:tc>
      </w:tr>
      <w:tr>
        <w:trPr>
          <w:trHeight w:val="862"/>
        </w:trPr>
        <w:tc>
          <w:tcPr>
            <w:tcW w:w="4040" w:type="dxa"/>
            <w:vAlign w:val="bottom"/>
            <w:tcBorders>
              <w:top w:val="single" w:sz="8" w:color="CFF0FC"/>
            </w:tcBorders>
          </w:tcPr>
          <w:p>
            <w:pPr>
              <w:spacing w:after="0"/>
              <w:rPr>
                <w:sz w:val="24"/>
                <w:szCs w:val="24"/>
                <w:color w:val="auto"/>
              </w:rPr>
            </w:pPr>
          </w:p>
        </w:tc>
        <w:tc>
          <w:tcPr>
            <w:tcW w:w="5220" w:type="dxa"/>
            <w:vAlign w:val="bottom"/>
            <w:tcBorders>
              <w:top w:val="single" w:sz="8" w:color="CFF0FC"/>
            </w:tcBorders>
          </w:tcPr>
          <w:p>
            <w:pPr>
              <w:jc w:val="right"/>
              <w:ind w:right="3490"/>
              <w:spacing w:after="0"/>
              <w:rPr>
                <w:sz w:val="20"/>
                <w:szCs w:val="20"/>
                <w:color w:val="auto"/>
              </w:rPr>
            </w:pPr>
            <w:r>
              <w:rPr>
                <w:rFonts w:ascii="Arial" w:cs="Arial" w:eastAsia="Arial" w:hAnsi="Arial"/>
                <w:sz w:val="18"/>
                <w:szCs w:val="18"/>
                <w:color w:val="auto"/>
              </w:rPr>
              <w:t>7</w:t>
            </w:r>
          </w:p>
        </w:tc>
        <w:tc>
          <w:tcPr>
            <w:tcW w:w="3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r>
      <w:tr>
        <w:trPr>
          <w:trHeight w:val="745"/>
        </w:trPr>
        <w:tc>
          <w:tcPr>
            <w:tcW w:w="40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Fixed Assets,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Fixed assets, net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2023</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1,213</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1,209</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26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730</w:t>
            </w: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159</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Networking and computer equipment</w:t>
            </w:r>
          </w:p>
        </w:tc>
        <w:tc>
          <w:tcPr>
            <w:tcW w:w="26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88</w:t>
            </w:r>
          </w:p>
        </w:tc>
      </w:tr>
      <w:tr>
        <w:trPr>
          <w:trHeight w:val="23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3,109</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3,109</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fixed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5,302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5,295</w:t>
            </w:r>
          </w:p>
        </w:tc>
      </w:tr>
      <w:tr>
        <w:trPr>
          <w:trHeight w:val="23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(2,340 )</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(2,089 )</w:t>
            </w:r>
          </w:p>
        </w:tc>
      </w:tr>
      <w:tr>
        <w:trPr>
          <w:trHeight w:val="223"/>
        </w:trPr>
        <w:tc>
          <w:tcPr>
            <w:tcW w:w="7720" w:type="dxa"/>
            <w:vAlign w:val="bottom"/>
          </w:tcPr>
          <w:p>
            <w:pPr>
              <w:ind w:left="280"/>
              <w:spacing w:after="0"/>
              <w:rPr>
                <w:sz w:val="20"/>
                <w:szCs w:val="20"/>
                <w:color w:val="auto"/>
              </w:rPr>
            </w:pPr>
            <w:r>
              <w:rPr>
                <w:rFonts w:ascii="Arial" w:cs="Arial" w:eastAsia="Arial" w:hAnsi="Arial"/>
                <w:sz w:val="18"/>
                <w:szCs w:val="18"/>
                <w:b w:val="1"/>
                <w:bCs w:val="1"/>
                <w:color w:val="auto"/>
              </w:rPr>
              <w:t>Fixed assets,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2,962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3,206</w:t>
            </w: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-479425</wp:posOffset>
            </wp:positionV>
            <wp:extent cx="1111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-179070</wp:posOffset>
            </wp:positionV>
            <wp:extent cx="1111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$0.3 million and $0.2 million for the three months ended March 31, 2024 and 2023,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416"/>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2023</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employee related expenses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1,192</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2,017</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Third-party research and development expenses</w:t>
            </w:r>
          </w:p>
        </w:tc>
        <w:tc>
          <w:tcPr>
            <w:tcW w:w="260" w:type="dxa"/>
            <w:vAlign w:val="bottom"/>
          </w:tcPr>
          <w:p>
            <w:pPr>
              <w:spacing w:after="0"/>
              <w:rPr>
                <w:sz w:val="19"/>
                <w:szCs w:val="19"/>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749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1,811</w:t>
            </w:r>
          </w:p>
        </w:tc>
      </w:tr>
      <w:tr>
        <w:trPr>
          <w:trHeight w:val="22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Professional fees and other</w:t>
            </w:r>
          </w:p>
        </w:tc>
        <w:tc>
          <w:tcPr>
            <w:tcW w:w="2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831</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528</w:t>
            </w:r>
          </w:p>
        </w:tc>
      </w:tr>
      <w:tr>
        <w:trPr>
          <w:trHeight w:val="223"/>
        </w:trPr>
        <w:tc>
          <w:tcPr>
            <w:tcW w:w="77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2,772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4,356</w:t>
            </w: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-179705</wp:posOffset>
            </wp:positionV>
            <wp:extent cx="1111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On February 24, 2022, the Company entered into a four-year loan and security agreement (the Loan Agreement) with Silicon Valley Bank (SVB) pursuant to which SVB has agreed to provide term loans to the Company in an aggregate principal amount of up to $25.0 million. The Company borrowed $20.0 million upon entering into the Loan Agreement. The Company could have borrowed up to an additional aggregate principal amount not to exceed $5.0 million, at any time on or prior to December 31, 2022, upon achievement of all of the following milestones, inclusively: (a) positive phase 2 clinical activity data from the Company’s CAN-2409 NSCLC clinical trial, (b) dosing of its first patient in its phase 3 CAN-2409 high-grade glioma clinical trial, and (c) receipt on or prior to December 31, 2022, of net cash proceeds in an amount equal to at least $75.0 million from the issuance and sale of equity securities to investors acceptable to SVB. The Company did not borrow any of the additional aggregate principal amount on or prior to December 31, 2022. The term loan is secured by substantially all of the Company’s properties, rights and assets, except for its intellectual property, which is subject to a negative pledge under the Loan Agreement.</w:t>
      </w:r>
    </w:p>
    <w:p>
      <w:pPr>
        <w:spacing w:after="0" w:line="79"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The Company is required to make monthly interest payments, and commencing on February 1, 2024, 24 consecutive installments of principal plus monthly payments of accrued interest. The term loans mature on January 1, 2026. Upon repayment in full of the term loans, the Company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repayment.</w:t>
      </w:r>
    </w:p>
    <w:p>
      <w:pPr>
        <w:spacing w:after="0" w:line="7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During each of the three months ended March 31, 2024 and 2023, the Company recorded interest expense relating to the Loan Agreement of $0.6 million. The weighted average effective interest rate as of March 31, 2024 was 11.40%.</w:t>
      </w:r>
    </w:p>
    <w:p>
      <w:pPr>
        <w:spacing w:after="0" w:line="51" w:lineRule="exact"/>
        <w:rPr>
          <w:sz w:val="20"/>
          <w:szCs w:val="20"/>
          <w:color w:val="auto"/>
        </w:rPr>
      </w:pPr>
    </w:p>
    <w:p>
      <w:pPr>
        <w:jc w:val="both"/>
        <w:ind w:right="40"/>
        <w:spacing w:after="0" w:line="249" w:lineRule="auto"/>
        <w:rPr>
          <w:sz w:val="20"/>
          <w:szCs w:val="20"/>
          <w:color w:val="auto"/>
        </w:rPr>
      </w:pPr>
      <w:r>
        <w:rPr>
          <w:rFonts w:ascii="Arial" w:cs="Arial" w:eastAsia="Arial" w:hAnsi="Arial"/>
          <w:sz w:val="17"/>
          <w:szCs w:val="17"/>
          <w:color w:val="auto"/>
        </w:rPr>
        <w:t>The Company incurred $89,000 of debt issuance costs and will incur a $0.9 million final payment fee, which were recorded as debt discount and are being amortized over the term of the Loan Agreement. The scheduled principal payments and net carrying amount of the term loan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5"/>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 (remaining nine months)</w:t>
            </w:r>
          </w:p>
        </w:tc>
        <w:tc>
          <w:tcPr>
            <w:tcW w:w="1380" w:type="dxa"/>
            <w:vAlign w:val="bottom"/>
            <w:shd w:val="clear" w:color="auto" w:fill="CFF0FC"/>
          </w:tcPr>
          <w:p>
            <w:pPr>
              <w:jc w:val="right"/>
              <w:ind w:right="119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FF0FC"/>
          </w:tcPr>
          <w:p>
            <w:pPr>
              <w:spacing w:after="0"/>
              <w:rPr>
                <w:sz w:val="19"/>
                <w:szCs w:val="19"/>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2025</w:t>
            </w:r>
          </w:p>
        </w:tc>
        <w:tc>
          <w:tcPr>
            <w:tcW w:w="13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r>
      <w:tr>
        <w:trPr>
          <w:trHeight w:val="229"/>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13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00" w:type="dxa"/>
            <w:vAlign w:val="bottom"/>
          </w:tcPr>
          <w:p>
            <w:pPr>
              <w:ind w:left="280"/>
              <w:spacing w:after="0"/>
              <w:rPr>
                <w:sz w:val="20"/>
                <w:szCs w:val="20"/>
                <w:color w:val="auto"/>
              </w:rPr>
            </w:pPr>
            <w:r>
              <w:rPr>
                <w:rFonts w:ascii="Arial" w:cs="Arial" w:eastAsia="Arial" w:hAnsi="Arial"/>
                <w:sz w:val="18"/>
                <w:szCs w:val="18"/>
                <w:color w:val="auto"/>
              </w:rPr>
              <w:t>Total principal</w:t>
            </w:r>
          </w:p>
        </w:tc>
        <w:tc>
          <w:tcPr>
            <w:tcW w:w="13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18,333</w:t>
            </w:r>
          </w:p>
        </w:tc>
        <w:tc>
          <w:tcPr>
            <w:tcW w:w="100" w:type="dxa"/>
            <w:vAlign w:val="bottom"/>
          </w:tcPr>
          <w:p>
            <w:pPr>
              <w:spacing w:after="0"/>
              <w:rPr>
                <w:sz w:val="19"/>
                <w:szCs w:val="19"/>
                <w:color w:val="auto"/>
              </w:rPr>
            </w:pPr>
          </w:p>
        </w:tc>
      </w:tr>
      <w:tr>
        <w:trPr>
          <w:trHeight w:val="22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Final payment fee</w:t>
            </w:r>
          </w:p>
        </w:tc>
        <w:tc>
          <w:tcPr>
            <w:tcW w:w="138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FF0FC"/>
          </w:tcPr>
          <w:p>
            <w:pPr>
              <w:spacing w:after="0"/>
              <w:rPr>
                <w:sz w:val="19"/>
                <w:szCs w:val="19"/>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Less: debt discount</w:t>
            </w:r>
          </w:p>
        </w:tc>
        <w:tc>
          <w:tcPr>
            <w:tcW w:w="1380" w:type="dxa"/>
            <w:vAlign w:val="bottom"/>
          </w:tcPr>
          <w:p>
            <w:pPr>
              <w:spacing w:after="0"/>
              <w:rPr>
                <w:sz w:val="19"/>
                <w:szCs w:val="19"/>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(989 )</w:t>
            </w:r>
          </w:p>
        </w:tc>
      </w:tr>
      <w:tr>
        <w:trPr>
          <w:trHeight w:val="230"/>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Accretion of debt discount</w:t>
            </w:r>
          </w:p>
        </w:tc>
        <w:tc>
          <w:tcPr>
            <w:tcW w:w="13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13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18,941</w:t>
            </w:r>
          </w:p>
        </w:tc>
        <w:tc>
          <w:tcPr>
            <w:tcW w:w="100" w:type="dxa"/>
            <w:vAlign w:val="bottom"/>
          </w:tcPr>
          <w:p>
            <w:pPr>
              <w:spacing w:after="0"/>
              <w:rPr>
                <w:sz w:val="19"/>
                <w:szCs w:val="19"/>
                <w:color w:val="auto"/>
              </w:rPr>
            </w:pPr>
          </w:p>
        </w:tc>
      </w:tr>
      <w:tr>
        <w:trPr>
          <w:trHeight w:val="230"/>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current portion</w:t>
            </w:r>
          </w:p>
        </w:tc>
        <w:tc>
          <w:tcPr>
            <w:tcW w:w="138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(9,767 )</w:t>
            </w:r>
          </w:p>
        </w:tc>
      </w:tr>
      <w:tr>
        <w:trPr>
          <w:trHeight w:val="223"/>
        </w:trPr>
        <w:tc>
          <w:tcPr>
            <w:tcW w:w="79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Long-term portion</w:t>
            </w:r>
          </w:p>
        </w:tc>
        <w:tc>
          <w:tcPr>
            <w:tcW w:w="1380" w:type="dxa"/>
            <w:vAlign w:val="bottom"/>
            <w:tcBorders>
              <w:top w:val="single" w:sz="8" w:color="auto"/>
              <w:bottom w:val="single" w:sz="8" w:color="auto"/>
            </w:tcBorders>
          </w:tcPr>
          <w:p>
            <w:pPr>
              <w:jc w:val="right"/>
              <w:ind w:right="119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9,174</w:t>
            </w:r>
          </w:p>
        </w:tc>
        <w:tc>
          <w:tcPr>
            <w:tcW w:w="100" w:type="dxa"/>
            <w:vAlign w:val="bottom"/>
            <w:tcBorders>
              <w:top w:val="single" w:sz="8" w:color="CFF0FC"/>
            </w:tcBorders>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the Company's term loan approximates fair value.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Long-Term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Periphagen Note</w:t>
      </w:r>
    </w:p>
    <w:p>
      <w:pPr>
        <w:spacing w:after="0" w:line="10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7"/>
          <w:szCs w:val="17"/>
          <w:color w:val="auto"/>
        </w:rPr>
        <w:t>December 9, 2019, the Company entered into a series of asset purchase agreements with Periphagen, Inc. (Periphagen), a biopharmaceutical</w:t>
      </w:r>
      <w:r>
        <w:rPr>
          <w:rFonts w:ascii="Arial" w:cs="Arial" w:eastAsia="Arial" w:hAnsi="Arial"/>
          <w:sz w:val="18"/>
          <w:szCs w:val="18"/>
          <w:color w:val="auto"/>
        </w:rPr>
        <w:t xml:space="preserve"> </w:t>
      </w:r>
      <w:r>
        <w:rPr>
          <w:rFonts w:ascii="Arial" w:cs="Arial" w:eastAsia="Arial" w:hAnsi="Arial"/>
          <w:sz w:val="17"/>
          <w:szCs w:val="17"/>
          <w:color w:val="auto"/>
        </w:rPr>
        <w:t>company focused on the development of gene therapy vectors. Under the terms of the asset purchase agreements, the Company assumed a $1.0 million promissory note bearing a contractual interest rate of 2% compounded annually, with the outstanding balance and accrued interest due upon maturity in November 2027, with no interim installments due. The estimated market rate for the Company for an unsecured loan with a maturity in November 2027 was determined to be 15.83% as of December 9, 2019. Although the Company does not have a public credit rating, management estimates a CCC credit rating based on the Company’s financial position and stage of development. Using the commensurate rate for a CCC rated company and based on the amount due at maturity, the present value of the future cash outflow was determined to be $0.4 million at the transaction date. As of March 31, 2024, the carrying value of the note is $0.8 million. The carrying value of the note approximates fair value. Upon maturity, the Company will pay Periphagen $1.4 million for the outstanding balance and accrued interest due.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Lease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On February 4, 2019, the Company signed a lease agreement for its corporate headquarters at 117 Kendrick Street in Needham, Massachusetts.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The facility consists of a 15,197 square foot property which houses the corporate, clinical, laboratory and manufacturing operations for the Company.</w:t>
      </w:r>
    </w:p>
    <w:p>
      <w:pPr>
        <w:spacing w:after="0"/>
        <w:rPr>
          <w:sz w:val="20"/>
          <w:szCs w:val="20"/>
          <w:color w:val="auto"/>
        </w:rPr>
      </w:pPr>
      <w:r>
        <w:rPr>
          <w:rFonts w:ascii="Arial" w:cs="Arial" w:eastAsia="Arial" w:hAnsi="Arial"/>
          <w:sz w:val="17"/>
          <w:szCs w:val="17"/>
          <w:color w:val="auto"/>
        </w:rPr>
        <w:t>The lease term ends on August 31, 2026.</w:t>
      </w:r>
    </w:p>
    <w:p>
      <w:pPr>
        <w:spacing w:after="0" w:line="86"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For each of the three months ended March 31, 2024 and 2023, the Company recorded $0.1 million of operating lease cost and for the three months ended March 31, 2024 and 2023, the Company has recorded $38,000 and $49,000, respectively, of variable lease cost. The total lease expense for each of the three months ended March 31, 2024 and 2023 was $0.1 million.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Cash paid for amounts included in the lease liability for each of the three months ended March 31, 2024 and 2023 was $0.1 million.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00" w:type="dxa"/>
            <w:vAlign w:val="bottom"/>
            <w:gridSpan w:val="4"/>
          </w:tcPr>
          <w:p>
            <w:pPr>
              <w:jc w:val="center"/>
              <w:ind w:left="621"/>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2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left="621"/>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1200" w:type="dxa"/>
            <w:vAlign w:val="bottom"/>
          </w:tcPr>
          <w:p>
            <w:pPr>
              <w:spacing w:after="0"/>
              <w:rPr>
                <w:sz w:val="15"/>
                <w:szCs w:val="15"/>
                <w:color w:val="auto"/>
              </w:rPr>
            </w:pPr>
          </w:p>
        </w:tc>
        <w:tc>
          <w:tcPr>
            <w:tcW w:w="448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Other Information</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1200" w:type="dxa"/>
            <w:vAlign w:val="bottom"/>
          </w:tcPr>
          <w:p>
            <w:pPr>
              <w:spacing w:after="0"/>
              <w:rPr>
                <w:sz w:val="18"/>
                <w:szCs w:val="18"/>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Operating cash flows used for operating leases</w:t>
            </w:r>
          </w:p>
        </w:tc>
        <w:tc>
          <w:tcPr>
            <w:tcW w:w="440" w:type="dxa"/>
            <w:vAlign w:val="bottom"/>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w:t>
            </w:r>
          </w:p>
        </w:tc>
        <w:tc>
          <w:tcPr>
            <w:tcW w:w="80" w:type="dxa"/>
            <w:vAlign w:val="bottom"/>
            <w:shd w:val="clear" w:color="auto" w:fill="CFF0FC"/>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700" w:type="dxa"/>
            <w:vAlign w:val="bottom"/>
            <w:gridSpan w:val="2"/>
          </w:tcPr>
          <w:p>
            <w:pPr>
              <w:ind w:left="60"/>
              <w:spacing w:after="0"/>
              <w:rPr>
                <w:sz w:val="20"/>
                <w:szCs w:val="20"/>
                <w:color w:val="auto"/>
              </w:rPr>
            </w:pPr>
            <w:r>
              <w:rPr>
                <w:rFonts w:ascii="Arial" w:cs="Arial" w:eastAsia="Arial" w:hAnsi="Arial"/>
                <w:sz w:val="17"/>
                <w:szCs w:val="17"/>
                <w:color w:val="auto"/>
              </w:rPr>
              <w:t>Weighted-average remaining lease term (years)</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700" w:type="dxa"/>
            <w:vAlign w:val="bottom"/>
            <w:gridSpan w:val="2"/>
          </w:tcPr>
          <w:p>
            <w:pPr>
              <w:ind w:left="60"/>
              <w:spacing w:after="0"/>
              <w:rPr>
                <w:sz w:val="20"/>
                <w:szCs w:val="20"/>
                <w:color w:val="auto"/>
              </w:rPr>
            </w:pPr>
            <w:r>
              <w:rPr>
                <w:rFonts w:ascii="Arial" w:cs="Arial" w:eastAsia="Arial" w:hAnsi="Arial"/>
                <w:sz w:val="17"/>
                <w:szCs w:val="17"/>
                <w:color w:val="auto"/>
              </w:rPr>
              <w:t>Weighted-average incremental borrowing rate</w:t>
            </w:r>
          </w:p>
        </w:tc>
        <w:tc>
          <w:tcPr>
            <w:tcW w:w="44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7.02 %</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gridSpan w:val="3"/>
          </w:tcPr>
          <w:p>
            <w:pPr>
              <w:jc w:val="right"/>
              <w:ind w:right="1000"/>
              <w:spacing w:after="0"/>
              <w:rPr>
                <w:sz w:val="20"/>
                <w:szCs w:val="20"/>
                <w:color w:val="auto"/>
              </w:rPr>
            </w:pPr>
            <w:r>
              <w:rPr>
                <w:rFonts w:ascii="Arial" w:cs="Arial" w:eastAsia="Arial" w:hAnsi="Arial"/>
                <w:sz w:val="17"/>
                <w:szCs w:val="17"/>
                <w:color w:val="auto"/>
              </w:rPr>
              <w:t>7.02 %</w:t>
            </w:r>
          </w:p>
        </w:tc>
        <w:tc>
          <w:tcPr>
            <w:tcW w:w="100" w:type="dxa"/>
            <w:vAlign w:val="bottom"/>
          </w:tcPr>
          <w:p>
            <w:pPr>
              <w:spacing w:after="0"/>
              <w:rPr>
                <w:sz w:val="18"/>
                <w:szCs w:val="18"/>
                <w:color w:val="auto"/>
              </w:rPr>
            </w:pPr>
          </w:p>
        </w:tc>
      </w:tr>
      <w:tr>
        <w:trPr>
          <w:trHeight w:val="310"/>
        </w:trPr>
        <w:tc>
          <w:tcPr>
            <w:tcW w:w="8120" w:type="dxa"/>
            <w:vAlign w:val="bottom"/>
            <w:gridSpan w:val="6"/>
          </w:tcPr>
          <w:p>
            <w:pPr>
              <w:spacing w:after="0"/>
              <w:rPr>
                <w:sz w:val="20"/>
                <w:szCs w:val="20"/>
                <w:color w:val="auto"/>
              </w:rPr>
            </w:pPr>
            <w:r>
              <w:rPr>
                <w:rFonts w:ascii="Arial" w:cs="Arial" w:eastAsia="Arial" w:hAnsi="Arial"/>
                <w:sz w:val="17"/>
                <w:szCs w:val="17"/>
                <w:color w:val="auto"/>
              </w:rPr>
              <w:t>The future lease payments under non-cancelable leases at March 31, 2024, are as follows (in thousands):</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5"/>
        </w:trPr>
        <w:tc>
          <w:tcPr>
            <w:tcW w:w="12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300" w:type="dxa"/>
            <w:vAlign w:val="bottom"/>
            <w:gridSpan w:val="3"/>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1200" w:type="dxa"/>
            <w:vAlign w:val="bottom"/>
            <w:shd w:val="clear" w:color="auto" w:fill="CFF0FC"/>
          </w:tcPr>
          <w:p>
            <w:pPr>
              <w:jc w:val="right"/>
              <w:ind w:right="675"/>
              <w:spacing w:after="0"/>
              <w:rPr>
                <w:sz w:val="20"/>
                <w:szCs w:val="20"/>
                <w:color w:val="auto"/>
              </w:rPr>
            </w:pPr>
            <w:r>
              <w:rPr>
                <w:rFonts w:ascii="Arial" w:cs="Arial" w:eastAsia="Arial" w:hAnsi="Arial"/>
                <w:sz w:val="17"/>
                <w:szCs w:val="17"/>
                <w:color w:val="auto"/>
              </w:rPr>
              <w:t>2024</w:t>
            </w:r>
          </w:p>
        </w:tc>
        <w:tc>
          <w:tcPr>
            <w:tcW w:w="4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30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450</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jc w:val="right"/>
              <w:ind w:right="675"/>
              <w:spacing w:after="0"/>
              <w:rPr>
                <w:sz w:val="20"/>
                <w:szCs w:val="20"/>
                <w:color w:val="auto"/>
              </w:rPr>
            </w:pPr>
            <w:r>
              <w:rPr>
                <w:rFonts w:ascii="Arial" w:cs="Arial" w:eastAsia="Arial" w:hAnsi="Arial"/>
                <w:sz w:val="17"/>
                <w:szCs w:val="17"/>
                <w:color w:val="auto"/>
              </w:rPr>
              <w:t>2025</w:t>
            </w: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gridSpan w:val="3"/>
          </w:tcPr>
          <w:p>
            <w:pPr>
              <w:jc w:val="right"/>
              <w:ind w:right="20"/>
              <w:spacing w:after="0"/>
              <w:rPr>
                <w:sz w:val="20"/>
                <w:szCs w:val="20"/>
                <w:color w:val="auto"/>
              </w:rPr>
            </w:pPr>
            <w:r>
              <w:rPr>
                <w:rFonts w:ascii="Arial" w:cs="Arial" w:eastAsia="Arial" w:hAnsi="Arial"/>
                <w:sz w:val="17"/>
                <w:szCs w:val="17"/>
                <w:color w:val="auto"/>
              </w:rPr>
              <w:t>613</w:t>
            </w:r>
          </w:p>
        </w:tc>
        <w:tc>
          <w:tcPr>
            <w:tcW w:w="100" w:type="dxa"/>
            <w:vAlign w:val="bottom"/>
          </w:tcPr>
          <w:p>
            <w:pPr>
              <w:spacing w:after="0"/>
              <w:rPr>
                <w:sz w:val="18"/>
                <w:szCs w:val="18"/>
                <w:color w:val="auto"/>
              </w:rPr>
            </w:pPr>
          </w:p>
        </w:tc>
      </w:tr>
      <w:tr>
        <w:trPr>
          <w:trHeight w:val="216"/>
        </w:trPr>
        <w:tc>
          <w:tcPr>
            <w:tcW w:w="1200" w:type="dxa"/>
            <w:vAlign w:val="bottom"/>
            <w:tcBorders>
              <w:bottom w:val="single" w:sz="8" w:color="CFF0FC"/>
            </w:tcBorders>
            <w:shd w:val="clear" w:color="auto" w:fill="CFF0FC"/>
          </w:tcPr>
          <w:p>
            <w:pPr>
              <w:jc w:val="right"/>
              <w:ind w:right="675"/>
              <w:spacing w:after="0"/>
              <w:rPr>
                <w:sz w:val="20"/>
                <w:szCs w:val="20"/>
                <w:color w:val="auto"/>
              </w:rPr>
            </w:pPr>
            <w:r>
              <w:rPr>
                <w:rFonts w:ascii="Arial" w:cs="Arial" w:eastAsia="Arial" w:hAnsi="Arial"/>
                <w:sz w:val="17"/>
                <w:szCs w:val="17"/>
                <w:color w:val="auto"/>
              </w:rPr>
              <w:t>2026</w:t>
            </w:r>
          </w:p>
        </w:tc>
        <w:tc>
          <w:tcPr>
            <w:tcW w:w="44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23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415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00" w:type="dxa"/>
            <w:vAlign w:val="bottom"/>
            <w:gridSpan w:val="3"/>
          </w:tcPr>
          <w:p>
            <w:pPr>
              <w:ind w:left="300"/>
              <w:spacing w:after="0"/>
              <w:rPr>
                <w:sz w:val="20"/>
                <w:szCs w:val="20"/>
                <w:color w:val="auto"/>
              </w:rPr>
            </w:pPr>
            <w:r>
              <w:rPr>
                <w:rFonts w:ascii="Arial" w:cs="Arial" w:eastAsia="Arial" w:hAnsi="Arial"/>
                <w:sz w:val="17"/>
                <w:szCs w:val="17"/>
                <w:color w:val="auto"/>
              </w:rPr>
              <w:t>Total future lease payments</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gridSpan w:val="3"/>
          </w:tcPr>
          <w:p>
            <w:pPr>
              <w:jc w:val="right"/>
              <w:ind w:right="20"/>
              <w:spacing w:after="0"/>
              <w:rPr>
                <w:sz w:val="20"/>
                <w:szCs w:val="20"/>
                <w:color w:val="auto"/>
              </w:rPr>
            </w:pPr>
            <w:r>
              <w:rPr>
                <w:rFonts w:ascii="Arial" w:cs="Arial" w:eastAsia="Arial" w:hAnsi="Arial"/>
                <w:sz w:val="17"/>
                <w:szCs w:val="17"/>
                <w:color w:val="auto"/>
              </w:rPr>
              <w:t>1,478</w:t>
            </w:r>
          </w:p>
        </w:tc>
        <w:tc>
          <w:tcPr>
            <w:tcW w:w="100" w:type="dxa"/>
            <w:vAlign w:val="bottom"/>
          </w:tcPr>
          <w:p>
            <w:pPr>
              <w:spacing w:after="0"/>
              <w:rPr>
                <w:sz w:val="18"/>
                <w:szCs w:val="18"/>
                <w:color w:val="auto"/>
              </w:rPr>
            </w:pPr>
          </w:p>
        </w:tc>
      </w:tr>
      <w:tr>
        <w:trPr>
          <w:trHeight w:val="216"/>
        </w:trPr>
        <w:tc>
          <w:tcPr>
            <w:tcW w:w="5900" w:type="dxa"/>
            <w:vAlign w:val="bottom"/>
            <w:gridSpan w:val="3"/>
            <w:shd w:val="clear" w:color="auto" w:fill="CFF0FC"/>
          </w:tcPr>
          <w:p>
            <w:pPr>
              <w:ind w:left="20"/>
              <w:spacing w:after="0"/>
              <w:rPr>
                <w:sz w:val="20"/>
                <w:szCs w:val="20"/>
                <w:color w:val="auto"/>
              </w:rPr>
            </w:pPr>
            <w:r>
              <w:rPr>
                <w:rFonts w:ascii="Arial" w:cs="Arial" w:eastAsia="Arial" w:hAnsi="Arial"/>
                <w:sz w:val="17"/>
                <w:szCs w:val="17"/>
                <w:color w:val="auto"/>
              </w:rPr>
              <w:t>Less: imputed interest</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0" w:type="dxa"/>
            <w:vAlign w:val="bottom"/>
            <w:gridSpan w:val="4"/>
            <w:shd w:val="clear" w:color="auto" w:fill="CFF0FC"/>
          </w:tcPr>
          <w:p>
            <w:pPr>
              <w:jc w:val="right"/>
              <w:ind w:right="40"/>
              <w:spacing w:after="0"/>
              <w:rPr>
                <w:sz w:val="20"/>
                <w:szCs w:val="20"/>
                <w:color w:val="auto"/>
              </w:rPr>
            </w:pPr>
            <w:r>
              <w:rPr>
                <w:rFonts w:ascii="Arial" w:cs="Arial" w:eastAsia="Arial" w:hAnsi="Arial"/>
                <w:sz w:val="17"/>
                <w:szCs w:val="17"/>
                <w:color w:val="auto"/>
              </w:rPr>
              <w:t>(115 )</w:t>
            </w:r>
          </w:p>
        </w:tc>
      </w:tr>
      <w:tr>
        <w:trPr>
          <w:trHeight w:val="209"/>
        </w:trPr>
        <w:tc>
          <w:tcPr>
            <w:tcW w:w="5900" w:type="dxa"/>
            <w:vAlign w:val="bottom"/>
            <w:tcBorders>
              <w:top w:val="single" w:sz="8" w:color="CFF0FC"/>
            </w:tcBorders>
            <w:gridSpan w:val="3"/>
          </w:tcPr>
          <w:p>
            <w:pPr>
              <w:ind w:left="20"/>
              <w:spacing w:after="0"/>
              <w:rPr>
                <w:sz w:val="20"/>
                <w:szCs w:val="20"/>
                <w:color w:val="auto"/>
              </w:rPr>
            </w:pPr>
            <w:r>
              <w:rPr>
                <w:rFonts w:ascii="Arial" w:cs="Arial" w:eastAsia="Arial" w:hAnsi="Arial"/>
                <w:sz w:val="17"/>
                <w:szCs w:val="17"/>
                <w:color w:val="auto"/>
              </w:rPr>
              <w:t>Total lease liability</w:t>
            </w:r>
          </w:p>
        </w:tc>
        <w:tc>
          <w:tcPr>
            <w:tcW w:w="440" w:type="dxa"/>
            <w:vAlign w:val="bottom"/>
            <w:tcBorders>
              <w:top w:val="single" w:sz="8" w:color="CFF0FC"/>
            </w:tcBorders>
          </w:tcPr>
          <w:p>
            <w:pPr>
              <w:spacing w:after="0"/>
              <w:rPr>
                <w:sz w:val="18"/>
                <w:szCs w:val="18"/>
                <w:color w:val="auto"/>
              </w:rPr>
            </w:pPr>
          </w:p>
        </w:tc>
        <w:tc>
          <w:tcPr>
            <w:tcW w:w="146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color w:val="auto"/>
                <w:w w:val="84"/>
              </w:rPr>
              <w:t>$</w:t>
            </w:r>
          </w:p>
        </w:tc>
        <w:tc>
          <w:tcPr>
            <w:tcW w:w="23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1,363</w:t>
            </w:r>
          </w:p>
        </w:tc>
        <w:tc>
          <w:tcPr>
            <w:tcW w:w="100" w:type="dxa"/>
            <w:vAlign w:val="bottom"/>
            <w:tcBorders>
              <w:top w:val="single" w:sz="8" w:color="CFF0FC"/>
            </w:tcBorders>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-1259840</wp:posOffset>
            </wp:positionV>
            <wp:extent cx="563181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31815"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Common shares are voting and dividends may be paid when, as and if declared by the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reserved the following shares of common stock for future issuance as of:</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120" w:type="dxa"/>
            <w:vAlign w:val="bottom"/>
          </w:tcPr>
          <w:p>
            <w:pPr>
              <w:jc w:val="right"/>
              <w:ind w:right="598"/>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780" w:type="dxa"/>
            <w:vAlign w:val="bottom"/>
          </w:tcPr>
          <w:p>
            <w:pPr>
              <w:spacing w:after="0"/>
              <w:rPr>
                <w:sz w:val="17"/>
                <w:szCs w:val="17"/>
                <w:color w:val="auto"/>
              </w:rPr>
            </w:pPr>
          </w:p>
        </w:tc>
        <w:tc>
          <w:tcPr>
            <w:tcW w:w="2120" w:type="dxa"/>
            <w:vAlign w:val="bottom"/>
          </w:tcPr>
          <w:p>
            <w:pPr>
              <w:jc w:val="right"/>
              <w:ind w:right="818"/>
              <w:spacing w:after="0"/>
              <w:rPr>
                <w:sz w:val="20"/>
                <w:szCs w:val="20"/>
                <w:color w:val="auto"/>
              </w:rPr>
            </w:pPr>
            <w:r>
              <w:rPr>
                <w:rFonts w:ascii="Arial" w:cs="Arial" w:eastAsia="Arial" w:hAnsi="Arial"/>
                <w:sz w:val="14"/>
                <w:szCs w:val="14"/>
                <w:b w:val="1"/>
                <w:bCs w:val="1"/>
                <w:color w:val="auto"/>
              </w:rPr>
              <w:t>2024</w:t>
            </w:r>
          </w:p>
        </w:tc>
        <w:tc>
          <w:tcPr>
            <w:tcW w:w="2240" w:type="dxa"/>
            <w:vAlign w:val="bottom"/>
            <w:gridSpan w:val="3"/>
          </w:tcPr>
          <w:p>
            <w:pPr>
              <w:jc w:val="right"/>
              <w:ind w:right="7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r>
      <w:tr>
        <w:trPr>
          <w:trHeight w:val="178"/>
        </w:trPr>
        <w:tc>
          <w:tcPr>
            <w:tcW w:w="6780" w:type="dxa"/>
            <w:vAlign w:val="bottom"/>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6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 options outstanding</w:t>
            </w: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5,112,673</w:t>
            </w:r>
          </w:p>
        </w:tc>
        <w:tc>
          <w:tcPr>
            <w:tcW w:w="22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5,666,621</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7"/>
                <w:szCs w:val="17"/>
                <w:color w:val="auto"/>
              </w:rPr>
              <w:t>Unvested restricted stock</w:t>
            </w:r>
          </w:p>
        </w:tc>
        <w:tc>
          <w:tcPr>
            <w:tcW w:w="2120" w:type="dxa"/>
            <w:vAlign w:val="bottom"/>
          </w:tcPr>
          <w:p>
            <w:pPr>
              <w:jc w:val="right"/>
              <w:spacing w:after="0"/>
              <w:rPr>
                <w:sz w:val="20"/>
                <w:szCs w:val="20"/>
                <w:color w:val="auto"/>
              </w:rPr>
            </w:pPr>
            <w:r>
              <w:rPr>
                <w:rFonts w:ascii="Arial" w:cs="Arial" w:eastAsia="Arial" w:hAnsi="Arial"/>
                <w:sz w:val="17"/>
                <w:szCs w:val="17"/>
                <w:color w:val="auto"/>
              </w:rPr>
              <w:t>2,306,889</w:t>
            </w:r>
          </w:p>
        </w:tc>
        <w:tc>
          <w:tcPr>
            <w:tcW w:w="2240" w:type="dxa"/>
            <w:vAlign w:val="bottom"/>
            <w:gridSpan w:val="3"/>
          </w:tcPr>
          <w:p>
            <w:pPr>
              <w:jc w:val="right"/>
              <w:spacing w:after="0"/>
              <w:rPr>
                <w:sz w:val="20"/>
                <w:szCs w:val="20"/>
                <w:color w:val="auto"/>
              </w:rPr>
            </w:pPr>
            <w:r>
              <w:rPr>
                <w:rFonts w:ascii="Arial" w:cs="Arial" w:eastAsia="Arial" w:hAnsi="Arial"/>
                <w:sz w:val="17"/>
                <w:szCs w:val="17"/>
                <w:color w:val="auto"/>
              </w:rPr>
              <w:t>2,526,432</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Shares available for future grant under stock option plan</w:t>
            </w: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2,042,216</w:t>
            </w:r>
          </w:p>
        </w:tc>
        <w:tc>
          <w:tcPr>
            <w:tcW w:w="22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252,053</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7"/>
                <w:szCs w:val="17"/>
                <w:color w:val="auto"/>
              </w:rPr>
              <w:t>Warrants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7,507,708</w:t>
            </w:r>
          </w:p>
        </w:tc>
        <w:tc>
          <w:tcPr>
            <w:tcW w:w="200" w:type="dxa"/>
            <w:vAlign w:val="bottom"/>
            <w:gridSpan w:val="2"/>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7,507,708</w:t>
            </w:r>
          </w:p>
        </w:tc>
        <w:tc>
          <w:tcPr>
            <w:tcW w:w="100" w:type="dxa"/>
            <w:vAlign w:val="bottom"/>
          </w:tcPr>
          <w:p>
            <w:pPr>
              <w:spacing w:after="0"/>
              <w:rPr>
                <w:sz w:val="18"/>
                <w:szCs w:val="18"/>
                <w:color w:val="auto"/>
              </w:rPr>
            </w:pPr>
          </w:p>
        </w:tc>
      </w:tr>
      <w:tr>
        <w:trPr>
          <w:trHeight w:val="250"/>
        </w:trPr>
        <w:tc>
          <w:tcPr>
            <w:tcW w:w="6780" w:type="dxa"/>
            <w:vAlign w:val="bottom"/>
            <w:tcBorders>
              <w:bottom w:val="single" w:sz="8" w:color="CFF0FC"/>
            </w:tcBorders>
            <w:shd w:val="clear" w:color="auto" w:fill="CFF0FC"/>
          </w:tcPr>
          <w:p>
            <w:pPr>
              <w:spacing w:after="0"/>
              <w:rPr>
                <w:sz w:val="21"/>
                <w:szCs w:val="21"/>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16,969,486</w:t>
            </w: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15,952,814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Shelf Registration and At-the-Market Offerings</w:t>
      </w:r>
    </w:p>
    <w:p>
      <w:pPr>
        <w:spacing w:after="0" w:line="102"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On August 5, 2022, the Company filed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Shelf was declared effective by the SEC on August 12, 2022. As of March 31, 2024, the Company has sold and issued 109,485 shares of common stock under the ATM Program, with total net proceeds of $0.2 million. Subsequent to March 31, 2024, no additional sales have been made under the ATM Program.</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Warrants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the following warrants outstanding for the purchase of common stock as of March 31, 2024 and December 31, 2023: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48"/>
              <w:spacing w:after="0"/>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48"/>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68"/>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259"/>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48"/>
              <w:spacing w:after="0"/>
              <w:rPr>
                <w:sz w:val="20"/>
                <w:szCs w:val="20"/>
                <w:color w:val="auto"/>
              </w:rPr>
            </w:pPr>
            <w:r>
              <w:rPr>
                <w:rFonts w:ascii="Arial" w:cs="Arial" w:eastAsia="Arial" w:hAnsi="Arial"/>
                <w:sz w:val="14"/>
                <w:szCs w:val="14"/>
                <w:b w:val="1"/>
                <w:bCs w:val="1"/>
                <w:color w:val="auto"/>
              </w:rPr>
              <w:t>SUBJECT TO</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259"/>
              <w:spacing w:after="0"/>
              <w:rPr>
                <w:sz w:val="20"/>
                <w:szCs w:val="20"/>
                <w:color w:val="auto"/>
              </w:rPr>
            </w:pPr>
            <w:r>
              <w:rPr>
                <w:rFonts w:ascii="Arial" w:cs="Arial" w:eastAsia="Arial" w:hAnsi="Arial"/>
                <w:sz w:val="14"/>
                <w:szCs w:val="14"/>
                <w:b w:val="1"/>
                <w:bCs w:val="1"/>
                <w:color w:val="auto"/>
              </w:rPr>
              <w:t>PRICE PER</w:t>
            </w:r>
          </w:p>
        </w:tc>
        <w:tc>
          <w:tcPr>
            <w:tcW w:w="120" w:type="dxa"/>
            <w:vAlign w:val="bottom"/>
          </w:tcPr>
          <w:p>
            <w:pPr>
              <w:spacing w:after="0"/>
              <w:rPr>
                <w:sz w:val="14"/>
                <w:szCs w:val="14"/>
                <w:color w:val="auto"/>
              </w:rPr>
            </w:pPr>
          </w:p>
        </w:tc>
        <w:tc>
          <w:tcPr>
            <w:tcW w:w="1520" w:type="dxa"/>
            <w:vAlign w:val="bottom"/>
          </w:tcPr>
          <w:p>
            <w:pPr>
              <w:jc w:val="right"/>
              <w:ind w:right="237"/>
              <w:spacing w:after="0"/>
              <w:rPr>
                <w:sz w:val="20"/>
                <w:szCs w:val="20"/>
                <w:color w:val="auto"/>
              </w:rPr>
            </w:pPr>
            <w:r>
              <w:rPr>
                <w:rFonts w:ascii="Arial" w:cs="Arial" w:eastAsia="Arial" w:hAnsi="Arial"/>
                <w:sz w:val="14"/>
                <w:szCs w:val="14"/>
                <w:b w:val="1"/>
                <w:bCs w:val="1"/>
                <w:color w:val="auto"/>
              </w:rPr>
              <w:t>EXPIRATION</w:t>
            </w:r>
          </w:p>
        </w:tc>
      </w:tr>
      <w:tr>
        <w:trPr>
          <w:trHeight w:val="185"/>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6"/>
                <w:szCs w:val="16"/>
                <w:color w:val="auto"/>
              </w:rPr>
            </w:pPr>
          </w:p>
        </w:tc>
        <w:tc>
          <w:tcPr>
            <w:tcW w:w="1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DATES</w:t>
            </w:r>
          </w:p>
        </w:tc>
      </w:tr>
      <w:tr>
        <w:trPr>
          <w:trHeight w:val="22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B Warrants</w:t>
            </w:r>
          </w:p>
        </w:tc>
        <w:tc>
          <w:tcPr>
            <w:tcW w:w="20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3,672,484</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November 2025</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Conditional Series B Warrants</w:t>
            </w:r>
          </w:p>
        </w:tc>
        <w:tc>
          <w:tcPr>
            <w:tcW w:w="2000" w:type="dxa"/>
            <w:vAlign w:val="bottom"/>
            <w:gridSpan w:val="2"/>
          </w:tcPr>
          <w:p>
            <w:pPr>
              <w:jc w:val="right"/>
              <w:ind w:right="48"/>
              <w:spacing w:after="0"/>
              <w:rPr>
                <w:sz w:val="20"/>
                <w:szCs w:val="20"/>
                <w:color w:val="auto"/>
              </w:rPr>
            </w:pPr>
            <w:r>
              <w:rPr>
                <w:rFonts w:ascii="Arial" w:cs="Arial" w:eastAsia="Arial" w:hAnsi="Arial"/>
                <w:sz w:val="18"/>
                <w:szCs w:val="18"/>
                <w:color w:val="auto"/>
              </w:rPr>
              <w:t>3,672,484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November 2025</w:t>
            </w:r>
          </w:p>
        </w:tc>
      </w:tr>
      <w:tr>
        <w:trPr>
          <w:trHeight w:val="22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NC Ohio Trust</w:t>
            </w:r>
          </w:p>
        </w:tc>
        <w:tc>
          <w:tcPr>
            <w:tcW w:w="20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162,740</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March 2029</w:t>
            </w:r>
          </w:p>
        </w:tc>
      </w:tr>
    </w:tbl>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102" w:lineRule="exact"/>
        <w:rPr>
          <w:sz w:val="20"/>
          <w:szCs w:val="20"/>
          <w:color w:val="auto"/>
        </w:rPr>
      </w:pPr>
    </w:p>
    <w:p>
      <w:pPr>
        <w:jc w:val="both"/>
        <w:ind w:right="340"/>
        <w:spacing w:after="0" w:line="24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7"/>
          <w:szCs w:val="17"/>
          <w:color w:val="auto"/>
        </w:rPr>
        <w:t>connection with the November 13, 2018 issuance of Series B convertible preferred stock (the Series B Preferred), the Company issued to the</w:t>
      </w:r>
      <w:r>
        <w:rPr>
          <w:rFonts w:ascii="Arial" w:cs="Arial" w:eastAsia="Arial" w:hAnsi="Arial"/>
          <w:sz w:val="18"/>
          <w:szCs w:val="18"/>
          <w:color w:val="auto"/>
        </w:rPr>
        <w:t xml:space="preserve"> </w:t>
      </w:r>
      <w:r>
        <w:rPr>
          <w:rFonts w:ascii="Arial" w:cs="Arial" w:eastAsia="Arial" w:hAnsi="Arial"/>
          <w:sz w:val="17"/>
          <w:szCs w:val="17"/>
          <w:color w:val="auto"/>
        </w:rPr>
        <w:t>purchaser of the Series B Preferred warrants to purchase 3,672,484 shares of common stock for $6.81 per share (the Series B Warrants), which became fully exercisable upon issuance. The Series B Warrants contain provisions allowing cashless exercise.</w:t>
      </w:r>
    </w:p>
    <w:p>
      <w:pPr>
        <w:spacing w:after="0" w:line="71" w:lineRule="exact"/>
        <w:rPr>
          <w:sz w:val="20"/>
          <w:szCs w:val="20"/>
          <w:color w:val="auto"/>
        </w:rPr>
      </w:pPr>
    </w:p>
    <w:p>
      <w:pPr>
        <w:jc w:val="both"/>
        <w:ind w:right="320"/>
        <w:spacing w:after="0" w:line="249" w:lineRule="auto"/>
        <w:rPr>
          <w:sz w:val="20"/>
          <w:szCs w:val="20"/>
          <w:color w:val="auto"/>
        </w:rPr>
      </w:pPr>
      <w:r>
        <w:rPr>
          <w:rFonts w:ascii="Arial" w:cs="Arial" w:eastAsia="Arial" w:hAnsi="Arial"/>
          <w:sz w:val="17"/>
          <w:szCs w:val="17"/>
          <w:color w:val="auto"/>
        </w:rPr>
        <w:t>In addition, the Company issued to the same stockholder additional five-year warrants for the purchase of 3,672,484 shares of common stock for $6.81 per share (the Conditional Series B Warrants), which become exercisable in the event that the Company completes a future financing that meets certain financial milestones or achieves certain share prices as follows:</w:t>
      </w:r>
    </w:p>
    <w:p>
      <w:pPr>
        <w:spacing w:after="0" w:line="67" w:lineRule="exact"/>
        <w:rPr>
          <w:sz w:val="20"/>
          <w:szCs w:val="20"/>
          <w:color w:val="auto"/>
        </w:rPr>
      </w:pPr>
    </w:p>
    <w:p>
      <w:pPr>
        <w:ind w:left="1020" w:right="260" w:hanging="503"/>
        <w:spacing w:after="0" w:line="249"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 $20,000,000 in gross proceeds, with a per share price of $12.47, or (2) an average market price (determined over a consecutive 10-day period) of $12.47 per share;</w:t>
      </w:r>
    </w:p>
    <w:p>
      <w:pPr>
        <w:spacing w:after="0" w:line="65"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52"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On June 24, 2021, the Company’s board of directors approved and on July 14, 2021 the stockholders approved, effective upon the closing of the Company’s initial public offering,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cashless exercise.</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Company recorded the Series B Warrants as a component of stockholder’s equity at the time of issuance at their estimated fair value of $2.1 million and recorded the Conditional Series B Warrants as a liability on the condensed consolidated balance sheet as the number of shares used to calculate the settlement is not a fixed number of shares. The Conditional Series B Warrants are remeasured to their fair value at each reporting date with changes in the fair value recognized as a component of other income (expense), net in the condensed consolidated statements of operations and comprehensive loss. The Company will continue to recognize changes in the fair value of the Conditional Series B Warrants until each Conditional Series B Warrant is exercised, expires or qualifies for equity classification. The warrant liability fair value was $0.9 million as of both March 31, 2024 and December 31,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 Ohio Trust Warrants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7"/>
          <w:szCs w:val="17"/>
          <w:color w:val="auto"/>
        </w:rPr>
        <w:t>March 20, 2019, the Company established the NC Incorporated Ohio Trust, an irrevocable trust funded by the Company. The beneficiary in the</w:t>
      </w:r>
      <w:r>
        <w:rPr>
          <w:rFonts w:ascii="Arial" w:cs="Arial" w:eastAsia="Arial" w:hAnsi="Arial"/>
          <w:sz w:val="18"/>
          <w:szCs w:val="18"/>
          <w:color w:val="auto"/>
        </w:rPr>
        <w:t xml:space="preserve"> </w:t>
      </w:r>
      <w:r>
        <w:rPr>
          <w:rFonts w:ascii="Arial" w:cs="Arial" w:eastAsia="Arial" w:hAnsi="Arial"/>
          <w:sz w:val="17"/>
          <w:szCs w:val="17"/>
          <w:color w:val="auto"/>
        </w:rPr>
        <w:t>trust agreement has provided past services to the Company for more than 15 years and is a non-employee. The warrant provides the beneficiary the right to purchase 162,740 shares of the Company’s common stock, $0.01 par value at an exercise price of $1.46 per share, subject to adjustments as specified in the warrant agreement. The Company recognizes the warrants as compensation expense within the condensed consolidated statement of operations and comprehensive loss when the warrants are granted or at the service inception date if the service inception date precedes the grant date. In the period in which the grant date occurs, cumulative compensation cost shall be adjusted to reflect the cumulative effect of measuring compensation cost based on the fair value at the grant date rather than the fair value previously used at the service inception date or subsequent reporting dates. As of March 31, 2024 and December 31, 2023, a grant date was not established as there was not a mutual understanding of key terms. The Company remeasures the fair value of the award at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jc w:val="both"/>
        <w:ind w:right="100"/>
        <w:spacing w:after="0" w:line="260" w:lineRule="auto"/>
        <w:rPr>
          <w:sz w:val="20"/>
          <w:szCs w:val="20"/>
          <w:color w:val="auto"/>
        </w:rPr>
      </w:pPr>
      <w:r>
        <w:rPr>
          <w:rFonts w:ascii="Arial" w:cs="Arial" w:eastAsia="Arial" w:hAnsi="Arial"/>
          <w:sz w:val="17"/>
          <w:szCs w:val="17"/>
          <w:color w:val="auto"/>
        </w:rPr>
        <w:t>each reporting date, as the service date preceded the grant date. The value of the warrants for 162,740 shares of common stock was $0.2 million as of both March 31, 2024 and December 31, 2023, and was recorded as stock compensation expense within research and development expense and a credit to stockholders’ equity in the condensed consolidated financial statements.</w:t>
      </w:r>
    </w:p>
    <w:p>
      <w:pPr>
        <w:spacing w:after="0" w:line="97" w:lineRule="exact"/>
        <w:rPr>
          <w:sz w:val="20"/>
          <w:szCs w:val="20"/>
          <w:color w:val="auto"/>
        </w:rPr>
      </w:pPr>
    </w:p>
    <w:p>
      <w:pPr>
        <w:ind w:right="5460" w:firstLine="8"/>
        <w:spacing w:after="0" w:line="360" w:lineRule="auto"/>
        <w:tabs>
          <w:tab w:leader="none" w:pos="29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Options, Restricted Stock and Stock-Based Compensation </w:t>
      </w:r>
      <w:r>
        <w:rPr>
          <w:rFonts w:ascii="Arial" w:cs="Arial" w:eastAsia="Arial" w:hAnsi="Arial"/>
          <w:sz w:val="18"/>
          <w:szCs w:val="18"/>
          <w:b w:val="1"/>
          <w:bCs w:val="1"/>
          <w:i w:val="1"/>
          <w:iCs w:val="1"/>
          <w:color w:val="auto"/>
        </w:rPr>
        <w:t>Equity Incentive Plans</w:t>
      </w:r>
    </w:p>
    <w:p>
      <w:pPr>
        <w:ind w:right="60"/>
        <w:spacing w:after="0" w:line="23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Company’s 2015 Stock Plan, as amended, (the 2015 Plan) provides for the Company to sell or issue common shares or restricted common</w:t>
      </w:r>
      <w:r>
        <w:rPr>
          <w:rFonts w:ascii="Arial" w:cs="Arial" w:eastAsia="Arial" w:hAnsi="Arial"/>
          <w:sz w:val="18"/>
          <w:szCs w:val="18"/>
          <w:color w:val="auto"/>
        </w:rPr>
        <w:t xml:space="preserve"> </w:t>
      </w:r>
      <w:r>
        <w:rPr>
          <w:rFonts w:ascii="Arial" w:cs="Arial" w:eastAsia="Arial" w:hAnsi="Arial"/>
          <w:sz w:val="17"/>
          <w:szCs w:val="17"/>
          <w:color w:val="auto"/>
        </w:rPr>
        <w:t>stock, or to grant incentive stock options or nonqualified stock options for the purchase of common stock, to employees, members of the board of directors and consultants of the Company. The 2015 Plan is administered by the board of directors and exercise prices, vesting and other restrictions are determined at its discretion. All stock option grants are non-statutory stock options except option grants to employees intended to qualify as incentive stock options under the Internal Revenue Code of 1986, as amended. Incentive stock options may not be granted at less than the fair market value of the Company’s common stock on the date of grant, as determined in good faith by the board of directors at its sole discretion. Nonqualified stock options may be granted at an exercise price established by the board of directors at its sole discretion and the vesting periods may vary. Vesting periods are generally four years and are determined by the board of directors. Stock options become exercisable as they vest. Options granted under the 2015 Plan expire no more than ten years from the date of grant. As of March 31, 2024, there are no shares available for grants under the 2015 Plan and the 2015 Plan continues to govern the terms and conditions of the outstanding awards under the 2015 Plan.</w:t>
      </w:r>
    </w:p>
    <w:p>
      <w:pPr>
        <w:spacing w:after="0" w:line="80"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On July 14, 2021, the Company’s 2021 Equity Incentive Plan (the 2021 Plan) was approved by the Company’s stockholders, and became effective upon completion of the IPO and serves as the successor to the 2015 Plan. 6,645,259 shares of common stock are reserved under the 2021 Plan, of which 2,042,216 shares remain available for future grants as of March 31, 2024.</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is summarized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43"/>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15"/>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660" w:type="dxa"/>
            <w:vAlign w:val="bottom"/>
          </w:tcPr>
          <w:p>
            <w:pPr>
              <w:jc w:val="center"/>
              <w:ind w:right="43"/>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240" w:type="dxa"/>
            <w:vAlign w:val="bottom"/>
          </w:tcPr>
          <w:p>
            <w:pPr>
              <w:spacing w:after="0"/>
              <w:rPr>
                <w:sz w:val="14"/>
                <w:szCs w:val="14"/>
                <w:color w:val="auto"/>
              </w:rPr>
            </w:pPr>
          </w:p>
        </w:tc>
        <w:tc>
          <w:tcPr>
            <w:tcW w:w="1700" w:type="dxa"/>
            <w:vAlign w:val="bottom"/>
          </w:tcPr>
          <w:p>
            <w:pPr>
              <w:jc w:val="center"/>
              <w:ind w:right="3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415"/>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660" w:type="dxa"/>
            <w:vAlign w:val="bottom"/>
          </w:tcPr>
          <w:p>
            <w:pPr>
              <w:jc w:val="center"/>
              <w:ind w:right="43"/>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6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240" w:type="dxa"/>
            <w:vAlign w:val="bottom"/>
          </w:tcPr>
          <w:p>
            <w:pPr>
              <w:spacing w:after="0"/>
              <w:rPr>
                <w:sz w:val="14"/>
                <w:szCs w:val="14"/>
                <w:color w:val="auto"/>
              </w:rPr>
            </w:pPr>
          </w:p>
        </w:tc>
        <w:tc>
          <w:tcPr>
            <w:tcW w:w="1700" w:type="dxa"/>
            <w:vAlign w:val="bottom"/>
          </w:tcPr>
          <w:p>
            <w:pPr>
              <w:jc w:val="center"/>
              <w:ind w:right="35"/>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395"/>
              <w:spacing w:after="0"/>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4"/>
                <w:szCs w:val="14"/>
                <w:color w:val="auto"/>
              </w:rPr>
            </w:pPr>
          </w:p>
        </w:tc>
        <w:tc>
          <w:tcPr>
            <w:tcW w:w="1660" w:type="dxa"/>
            <w:vAlign w:val="bottom"/>
          </w:tcPr>
          <w:p>
            <w:pPr>
              <w:jc w:val="center"/>
              <w:ind w:right="43"/>
              <w:spacing w:after="0"/>
              <w:rPr>
                <w:sz w:val="20"/>
                <w:szCs w:val="20"/>
                <w:color w:val="auto"/>
              </w:rPr>
            </w:pPr>
            <w:r>
              <w:rPr>
                <w:rFonts w:ascii="Arial" w:cs="Arial" w:eastAsia="Arial" w:hAnsi="Arial"/>
                <w:sz w:val="14"/>
                <w:szCs w:val="14"/>
                <w:b w:val="1"/>
                <w:bCs w:val="1"/>
                <w:color w:val="auto"/>
              </w:rPr>
              <w:t>CONTRACTUAL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60"/>
              <w:spacing w:after="0"/>
              <w:rPr>
                <w:sz w:val="20"/>
                <w:szCs w:val="20"/>
                <w:color w:val="auto"/>
              </w:rPr>
            </w:pPr>
            <w:r>
              <w:rPr>
                <w:rFonts w:ascii="Arial" w:cs="Arial" w:eastAsia="Arial" w:hAnsi="Arial"/>
                <w:sz w:val="14"/>
                <w:szCs w:val="14"/>
                <w:b w:val="1"/>
                <w:bCs w:val="1"/>
                <w:color w:val="auto"/>
              </w:rPr>
              <w:t>VALUE</w:t>
            </w:r>
          </w:p>
        </w:tc>
      </w:tr>
      <w:tr>
        <w:trPr>
          <w:trHeight w:val="185"/>
        </w:trPr>
        <w:tc>
          <w:tcPr>
            <w:tcW w:w="4240" w:type="dxa"/>
            <w:vAlign w:val="bottom"/>
          </w:tcPr>
          <w:p>
            <w:pPr>
              <w:spacing w:after="0"/>
              <w:rPr>
                <w:sz w:val="16"/>
                <w:szCs w:val="16"/>
                <w:color w:val="auto"/>
              </w:rPr>
            </w:pPr>
          </w:p>
        </w:tc>
        <w:tc>
          <w:tcPr>
            <w:tcW w:w="17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95"/>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TERM (IN YEARS)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2023</w:t>
            </w:r>
          </w:p>
        </w:tc>
        <w:tc>
          <w:tcPr>
            <w:tcW w:w="17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5,666,621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2.47</w:t>
            </w:r>
          </w:p>
        </w:tc>
        <w:tc>
          <w:tcPr>
            <w:tcW w:w="1760" w:type="dxa"/>
            <w:vAlign w:val="bottom"/>
            <w:gridSpan w:val="2"/>
            <w:shd w:val="clear" w:color="auto" w:fill="CFF0FC"/>
          </w:tcPr>
          <w:p>
            <w:pPr>
              <w:jc w:val="right"/>
              <w:ind w:right="43"/>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55"/>
              <w:spacing w:after="0"/>
              <w:rPr>
                <w:sz w:val="20"/>
                <w:szCs w:val="20"/>
                <w:color w:val="auto"/>
              </w:rPr>
            </w:pPr>
            <w:r>
              <w:rPr>
                <w:rFonts w:ascii="Arial" w:cs="Arial" w:eastAsia="Arial" w:hAnsi="Arial"/>
                <w:sz w:val="18"/>
                <w:szCs w:val="18"/>
                <w:color w:val="auto"/>
              </w:rPr>
              <w:t>67,500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(146,964 )</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Cancelled, forfeited or expired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(474,484 )</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63"/>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March 31, 2024</w:t>
            </w:r>
          </w:p>
        </w:tc>
        <w:tc>
          <w:tcPr>
            <w:tcW w:w="17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5,112,673</w:t>
            </w: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8"/>
                <w:szCs w:val="18"/>
                <w:color w:val="auto"/>
              </w:rPr>
              <w:t>6.66</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378</w:t>
            </w:r>
          </w:p>
        </w:tc>
      </w:tr>
      <w:tr>
        <w:trPr>
          <w:trHeight w:val="210"/>
        </w:trPr>
        <w:tc>
          <w:tcPr>
            <w:tcW w:w="4240" w:type="dxa"/>
            <w:vAlign w:val="bottom"/>
          </w:tcPr>
          <w:p>
            <w:pPr>
              <w:ind w:left="20"/>
              <w:spacing w:after="0"/>
              <w:rPr>
                <w:sz w:val="20"/>
                <w:szCs w:val="20"/>
                <w:color w:val="auto"/>
              </w:rPr>
            </w:pPr>
            <w:r>
              <w:rPr>
                <w:rFonts w:ascii="Arial" w:cs="Arial" w:eastAsia="Arial" w:hAnsi="Arial"/>
                <w:sz w:val="18"/>
                <w:szCs w:val="18"/>
                <w:color w:val="auto"/>
              </w:rPr>
              <w:t>Exercisable as of March 31, 2024</w:t>
            </w:r>
          </w:p>
        </w:tc>
        <w:tc>
          <w:tcPr>
            <w:tcW w:w="1700" w:type="dxa"/>
            <w:vAlign w:val="bottom"/>
          </w:tcPr>
          <w:p>
            <w:pPr>
              <w:jc w:val="right"/>
              <w:ind w:right="55"/>
              <w:spacing w:after="0"/>
              <w:rPr>
                <w:sz w:val="20"/>
                <w:szCs w:val="20"/>
                <w:color w:val="auto"/>
              </w:rPr>
            </w:pPr>
            <w:r>
              <w:rPr>
                <w:rFonts w:ascii="Arial" w:cs="Arial" w:eastAsia="Arial" w:hAnsi="Arial"/>
                <w:sz w:val="18"/>
                <w:szCs w:val="18"/>
                <w:color w:val="auto"/>
              </w:rPr>
              <w:t>3,500,102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2.41</w:t>
            </w:r>
          </w:p>
        </w:tc>
        <w:tc>
          <w:tcPr>
            <w:tcW w:w="1760" w:type="dxa"/>
            <w:vAlign w:val="bottom"/>
            <w:gridSpan w:val="2"/>
          </w:tcPr>
          <w:p>
            <w:pPr>
              <w:jc w:val="right"/>
              <w:ind w:right="43"/>
              <w:spacing w:after="0"/>
              <w:rPr>
                <w:sz w:val="20"/>
                <w:szCs w:val="20"/>
                <w:color w:val="auto"/>
              </w:rPr>
            </w:pPr>
            <w:r>
              <w:rPr>
                <w:rFonts w:ascii="Arial" w:cs="Arial" w:eastAsia="Arial" w:hAnsi="Arial"/>
                <w:sz w:val="18"/>
                <w:szCs w:val="18"/>
                <w:color w:val="auto"/>
              </w:rPr>
              <w:t>5.80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0"/>
              <w:spacing w:after="0"/>
              <w:rPr>
                <w:sz w:val="20"/>
                <w:szCs w:val="20"/>
                <w:color w:val="auto"/>
              </w:rPr>
            </w:pPr>
            <w:r>
              <w:rPr>
                <w:rFonts w:ascii="Arial" w:cs="Arial" w:eastAsia="Arial" w:hAnsi="Arial"/>
                <w:sz w:val="18"/>
                <w:szCs w:val="18"/>
                <w:color w:val="auto"/>
              </w:rPr>
              <w:t>133</w:t>
            </w:r>
          </w:p>
        </w:tc>
      </w:tr>
      <w:tr>
        <w:trPr>
          <w:trHeight w:val="20"/>
        </w:trPr>
        <w:tc>
          <w:tcPr>
            <w:tcW w:w="42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as of March 31, 2024</w:t>
            </w:r>
          </w:p>
        </w:tc>
        <w:tc>
          <w:tcPr>
            <w:tcW w:w="17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1,612,571</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8"/>
                <w:szCs w:val="18"/>
                <w:color w:val="auto"/>
              </w:rPr>
              <w:t>8.53</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-367665</wp:posOffset>
            </wp:positionV>
            <wp:extent cx="111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-351155</wp:posOffset>
            </wp:positionV>
            <wp:extent cx="1111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-367665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-351155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-367665</wp:posOffset>
            </wp:positionV>
            <wp:extent cx="102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-351155</wp:posOffset>
            </wp:positionV>
            <wp:extent cx="102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1111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1028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1028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6"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The 2015 Plan, permits participants to use common stock they previously acquired to pay for the exercise of stock options based upon the fair value on the date of exercise. In connection with the exercise of a stock options to purchase 306,518 shares of our common stock at an exercise price of $1.46, option holders tendered 122,608 shares of our common stock previously acquired in consideration of the full aggregate exercise price in accordance with the terms of the option and the 2015 Plan. The shares tendered are recorded as treasury stock within the Company’s condensed consolidated financial statements at March 31, 2024.</w:t>
      </w:r>
    </w:p>
    <w:p>
      <w:pPr>
        <w:spacing w:after="0" w:line="72" w:lineRule="exact"/>
        <w:rPr>
          <w:sz w:val="20"/>
          <w:szCs w:val="20"/>
          <w:color w:val="auto"/>
        </w:rPr>
      </w:pPr>
    </w:p>
    <w:p>
      <w:pPr>
        <w:ind w:right="720"/>
        <w:spacing w:after="0" w:line="267" w:lineRule="auto"/>
        <w:rPr>
          <w:sz w:val="20"/>
          <w:szCs w:val="20"/>
          <w:color w:val="auto"/>
        </w:rPr>
      </w:pPr>
      <w:r>
        <w:rPr>
          <w:rFonts w:ascii="Arial" w:cs="Arial" w:eastAsia="Arial" w:hAnsi="Arial"/>
          <w:sz w:val="17"/>
          <w:szCs w:val="17"/>
          <w:color w:val="auto"/>
        </w:rPr>
        <w:t>The fair value of stock options granted was estimated on the grant date using the Black-Scholes option pricing model based on the following assumptions:</w:t>
      </w:r>
    </w:p>
    <w:p>
      <w:pPr>
        <w:spacing w:after="0" w:line="172"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40" w:type="dxa"/>
            <w:vAlign w:val="bottom"/>
          </w:tcPr>
          <w:p>
            <w:pPr>
              <w:spacing w:after="0"/>
              <w:rPr>
                <w:sz w:val="15"/>
                <w:szCs w:val="15"/>
                <w:color w:val="auto"/>
              </w:rPr>
            </w:pPr>
          </w:p>
        </w:tc>
        <w:tc>
          <w:tcPr>
            <w:tcW w:w="2500" w:type="dxa"/>
            <w:vAlign w:val="bottom"/>
            <w:tcBorders>
              <w:top w:val="single" w:sz="8" w:color="auto"/>
              <w:bottom w:val="single" w:sz="8" w:color="auto"/>
            </w:tcBorders>
          </w:tcPr>
          <w:p>
            <w:pPr>
              <w:jc w:val="right"/>
              <w:ind w:right="107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tcBorders>
          </w:tcPr>
          <w:p>
            <w:pPr>
              <w:spacing w:after="0"/>
              <w:rPr>
                <w:sz w:val="15"/>
                <w:szCs w:val="15"/>
                <w:color w:val="auto"/>
              </w:rPr>
            </w:pPr>
          </w:p>
        </w:tc>
        <w:tc>
          <w:tcPr>
            <w:tcW w:w="2460" w:type="dxa"/>
            <w:vAlign w:val="bottom"/>
            <w:tcBorders>
              <w:top w:val="single" w:sz="8" w:color="auto"/>
              <w:bottom w:val="single" w:sz="8" w:color="auto"/>
            </w:tcBorders>
          </w:tcPr>
          <w:p>
            <w:pPr>
              <w:jc w:val="right"/>
              <w:ind w:right="1034"/>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5"/>
                <w:szCs w:val="15"/>
                <w:color w:val="auto"/>
              </w:rPr>
            </w:pPr>
          </w:p>
        </w:tc>
      </w:tr>
      <w:tr>
        <w:trPr>
          <w:trHeight w:val="223"/>
        </w:trPr>
        <w:tc>
          <w:tcPr>
            <w:tcW w:w="6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option life (years)</w:t>
            </w:r>
          </w:p>
        </w:tc>
        <w:tc>
          <w:tcPr>
            <w:tcW w:w="25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FF0FC"/>
          </w:tcPr>
          <w:p>
            <w:pPr>
              <w:spacing w:after="0"/>
              <w:rPr>
                <w:sz w:val="19"/>
                <w:szCs w:val="19"/>
                <w:color w:val="auto"/>
              </w:rPr>
            </w:pPr>
          </w:p>
        </w:tc>
        <w:tc>
          <w:tcPr>
            <w:tcW w:w="2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6.08</w:t>
            </w:r>
          </w:p>
        </w:tc>
        <w:tc>
          <w:tcPr>
            <w:tcW w:w="60" w:type="dxa"/>
            <w:vAlign w:val="bottom"/>
          </w:tcPr>
          <w:p>
            <w:pPr>
              <w:spacing w:after="0"/>
              <w:rPr>
                <w:sz w:val="19"/>
                <w:szCs w:val="19"/>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500" w:type="dxa"/>
            <w:vAlign w:val="bottom"/>
          </w:tcPr>
          <w:p>
            <w:pPr>
              <w:jc w:val="right"/>
              <w:ind w:right="54"/>
              <w:spacing w:after="0"/>
              <w:rPr>
                <w:sz w:val="20"/>
                <w:szCs w:val="20"/>
                <w:color w:val="auto"/>
              </w:rPr>
            </w:pPr>
            <w:r>
              <w:rPr>
                <w:rFonts w:ascii="Arial" w:cs="Arial" w:eastAsia="Arial" w:hAnsi="Arial"/>
                <w:sz w:val="18"/>
                <w:szCs w:val="18"/>
                <w:color w:val="auto"/>
              </w:rPr>
              <w:t>4.21% - 4.27%</w:t>
            </w:r>
          </w:p>
        </w:tc>
        <w:tc>
          <w:tcPr>
            <w:tcW w:w="140" w:type="dxa"/>
            <w:vAlign w:val="bottom"/>
          </w:tcPr>
          <w:p>
            <w:pPr>
              <w:spacing w:after="0"/>
              <w:rPr>
                <w:sz w:val="19"/>
                <w:szCs w:val="19"/>
                <w:color w:val="auto"/>
              </w:rPr>
            </w:pPr>
          </w:p>
        </w:tc>
        <w:tc>
          <w:tcPr>
            <w:tcW w:w="2460" w:type="dxa"/>
            <w:vAlign w:val="bottom"/>
          </w:tcPr>
          <w:p>
            <w:pPr>
              <w:jc w:val="right"/>
              <w:ind w:right="34"/>
              <w:spacing w:after="0"/>
              <w:rPr>
                <w:sz w:val="20"/>
                <w:szCs w:val="20"/>
                <w:color w:val="auto"/>
              </w:rPr>
            </w:pPr>
            <w:r>
              <w:rPr>
                <w:rFonts w:ascii="Arial" w:cs="Arial" w:eastAsia="Arial" w:hAnsi="Arial"/>
                <w:sz w:val="18"/>
                <w:szCs w:val="18"/>
                <w:color w:val="auto"/>
              </w:rPr>
              <w:t>3.58% - 4.13%</w:t>
            </w:r>
          </w:p>
        </w:tc>
        <w:tc>
          <w:tcPr>
            <w:tcW w:w="60" w:type="dxa"/>
            <w:vAlign w:val="bottom"/>
          </w:tcPr>
          <w:p>
            <w:pPr>
              <w:spacing w:after="0"/>
              <w:rPr>
                <w:sz w:val="19"/>
                <w:szCs w:val="19"/>
                <w:color w:val="auto"/>
              </w:rPr>
            </w:pPr>
          </w:p>
        </w:tc>
      </w:tr>
      <w:tr>
        <w:trPr>
          <w:trHeight w:val="230"/>
        </w:trPr>
        <w:tc>
          <w:tcPr>
            <w:tcW w:w="6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5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99.30% - 99.45%</w:t>
            </w:r>
          </w:p>
        </w:tc>
        <w:tc>
          <w:tcPr>
            <w:tcW w:w="140" w:type="dxa"/>
            <w:vAlign w:val="bottom"/>
            <w:shd w:val="clear" w:color="auto" w:fill="CFF0FC"/>
          </w:tcPr>
          <w:p>
            <w:pPr>
              <w:spacing w:after="0"/>
              <w:rPr>
                <w:sz w:val="19"/>
                <w:szCs w:val="19"/>
                <w:color w:val="auto"/>
              </w:rPr>
            </w:pPr>
          </w:p>
        </w:tc>
        <w:tc>
          <w:tcPr>
            <w:tcW w:w="2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91.33% - 92.25%</w:t>
            </w:r>
          </w:p>
        </w:tc>
        <w:tc>
          <w:tcPr>
            <w:tcW w:w="60" w:type="dxa"/>
            <w:vAlign w:val="bottom"/>
          </w:tcPr>
          <w:p>
            <w:pPr>
              <w:spacing w:after="0"/>
              <w:rPr>
                <w:sz w:val="19"/>
                <w:szCs w:val="19"/>
                <w:color w:val="auto"/>
              </w:rPr>
            </w:pPr>
          </w:p>
        </w:tc>
      </w:tr>
      <w:tr>
        <w:trPr>
          <w:trHeight w:val="239"/>
        </w:trPr>
        <w:tc>
          <w:tcPr>
            <w:tcW w:w="61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0 %</w:t>
            </w:r>
          </w:p>
        </w:tc>
      </w:tr>
    </w:tbl>
    <w:p>
      <w:pPr>
        <w:spacing w:after="0" w:line="157" w:lineRule="exact"/>
        <w:rPr>
          <w:sz w:val="20"/>
          <w:szCs w:val="20"/>
          <w:color w:val="auto"/>
        </w:rPr>
      </w:pPr>
    </w:p>
    <w:p>
      <w:pPr>
        <w:ind w:right="2000"/>
        <w:spacing w:after="0" w:line="462" w:lineRule="auto"/>
        <w:rPr>
          <w:sz w:val="20"/>
          <w:szCs w:val="20"/>
          <w:color w:val="auto"/>
        </w:rPr>
      </w:pPr>
      <w:r>
        <w:rPr>
          <w:rFonts w:ascii="Arial" w:cs="Arial" w:eastAsia="Arial" w:hAnsi="Arial"/>
          <w:sz w:val="17"/>
          <w:szCs w:val="17"/>
          <w:color w:val="auto"/>
        </w:rPr>
        <w:t xml:space="preserve">The total intrinsic value of stock options vested during each of the three months ended March 31, 2024 and 2023 was zero. </w:t>
      </w:r>
      <w:r>
        <w:rPr>
          <w:rFonts w:ascii="Arial" w:cs="Arial" w:eastAsia="Arial" w:hAnsi="Arial"/>
          <w:sz w:val="17"/>
          <w:szCs w:val="17"/>
          <w:b w:val="1"/>
          <w:bCs w:val="1"/>
          <w:i w:val="1"/>
          <w:iCs w:val="1"/>
          <w:color w:val="auto"/>
        </w:rPr>
        <w:t>Restricted Stock Units</w:t>
      </w: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76" w:right="279" w:bottom="1440" w:gutter="0" w:footer="0" w:header="0"/>
        </w:sectPr>
      </w:pPr>
    </w:p>
    <w:bookmarkStart w:id="19" w:name="page20"/>
    <w:bookmarkEnd w:id="19"/>
    <w:p>
      <w:pPr>
        <w:jc w:val="both"/>
        <w:ind w:right="280"/>
        <w:spacing w:after="0" w:line="249" w:lineRule="auto"/>
        <w:rPr>
          <w:sz w:val="20"/>
          <w:szCs w:val="20"/>
          <w:color w:val="auto"/>
        </w:rPr>
      </w:pPr>
      <w:r>
        <w:rPr>
          <w:rFonts w:ascii="Arial" w:cs="Arial" w:eastAsia="Arial" w:hAnsi="Arial"/>
          <w:sz w:val="17"/>
          <w:szCs w:val="17"/>
          <w:color w:val="auto"/>
        </w:rPr>
        <w:t>Under the terms of the restricted stock unit agreements covering the common stock, shares of common stock related to restricted stock units are subject to time-based vesting. The restricted stock units will immediately be forfeited to the Company if the relationship between the recipient and the Company ceases.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activity is summarized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660" w:type="dxa"/>
            <w:vAlign w:val="bottom"/>
          </w:tcPr>
          <w:p>
            <w:pPr>
              <w:spacing w:after="0"/>
              <w:rPr>
                <w:sz w:val="14"/>
                <w:szCs w:val="14"/>
                <w:color w:val="auto"/>
              </w:rPr>
            </w:pPr>
          </w:p>
        </w:tc>
        <w:tc>
          <w:tcPr>
            <w:tcW w:w="272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 GRANT</w:t>
            </w:r>
          </w:p>
        </w:tc>
      </w:tr>
      <w:tr>
        <w:trPr>
          <w:trHeight w:val="185"/>
        </w:trPr>
        <w:tc>
          <w:tcPr>
            <w:tcW w:w="6660" w:type="dxa"/>
            <w:vAlign w:val="bottom"/>
          </w:tcPr>
          <w:p>
            <w:pPr>
              <w:spacing w:after="0"/>
              <w:rPr>
                <w:sz w:val="16"/>
                <w:szCs w:val="16"/>
                <w:color w:val="auto"/>
              </w:rPr>
            </w:pPr>
          </w:p>
        </w:tc>
        <w:tc>
          <w:tcPr>
            <w:tcW w:w="272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DATE FAIR VALUE</w:t>
            </w:r>
          </w:p>
        </w:tc>
      </w:tr>
      <w:tr>
        <w:trPr>
          <w:trHeight w:val="210"/>
        </w:trPr>
        <w:tc>
          <w:tcPr>
            <w:tcW w:w="666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Unvested at December 31, 2023</w:t>
            </w:r>
          </w:p>
        </w:tc>
        <w:tc>
          <w:tcPr>
            <w:tcW w:w="2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2,526,432</w:t>
            </w:r>
          </w:p>
        </w:tc>
        <w:tc>
          <w:tcPr>
            <w:tcW w:w="4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7"/>
                <w:szCs w:val="17"/>
                <w:color w:val="auto"/>
              </w:rPr>
              <w:t>Granted</w:t>
            </w:r>
          </w:p>
        </w:tc>
        <w:tc>
          <w:tcPr>
            <w:tcW w:w="27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660" w:type="dxa"/>
            <w:vAlign w:val="bottom"/>
            <w:shd w:val="clear" w:color="auto" w:fill="CFF0FC"/>
          </w:tcPr>
          <w:p>
            <w:pPr>
              <w:ind w:left="20"/>
              <w:spacing w:after="0"/>
              <w:rPr>
                <w:sz w:val="20"/>
                <w:szCs w:val="20"/>
                <w:color w:val="auto"/>
              </w:rPr>
            </w:pPr>
            <w:r>
              <w:rPr>
                <w:rFonts w:ascii="Arial" w:cs="Arial" w:eastAsia="Arial" w:hAnsi="Arial"/>
                <w:sz w:val="17"/>
                <w:szCs w:val="17"/>
                <w:color w:val="auto"/>
              </w:rPr>
              <w:t>Vested</w:t>
            </w:r>
          </w:p>
        </w:tc>
        <w:tc>
          <w:tcPr>
            <w:tcW w:w="2720" w:type="dxa"/>
            <w:vAlign w:val="bottom"/>
            <w:gridSpan w:val="2"/>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66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2720" w:type="dxa"/>
            <w:vAlign w:val="bottom"/>
            <w:gridSpan w:val="2"/>
          </w:tcPr>
          <w:p>
            <w:pPr>
              <w:jc w:val="right"/>
              <w:ind w:right="380"/>
              <w:spacing w:after="0"/>
              <w:rPr>
                <w:sz w:val="20"/>
                <w:szCs w:val="20"/>
                <w:color w:val="auto"/>
              </w:rPr>
            </w:pPr>
            <w:r>
              <w:rPr>
                <w:rFonts w:ascii="Arial" w:cs="Arial" w:eastAsia="Arial" w:hAnsi="Arial"/>
                <w:sz w:val="17"/>
                <w:szCs w:val="17"/>
                <w:color w:val="auto"/>
              </w:rPr>
              <w:t>(219,543 )</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8"/>
                <w:szCs w:val="18"/>
                <w:color w:val="auto"/>
              </w:rPr>
            </w:pPr>
          </w:p>
        </w:tc>
      </w:tr>
      <w:tr>
        <w:trPr>
          <w:trHeight w:val="250"/>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Unvested at March 31, 2024</w:t>
            </w:r>
          </w:p>
        </w:tc>
        <w:tc>
          <w:tcPr>
            <w:tcW w:w="2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2,306,889</w:t>
            </w:r>
          </w:p>
        </w:tc>
        <w:tc>
          <w:tcPr>
            <w:tcW w:w="4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right="940"/>
        <w:spacing w:after="0" w:line="389" w:lineRule="auto"/>
        <w:rPr>
          <w:sz w:val="20"/>
          <w:szCs w:val="20"/>
          <w:color w:val="auto"/>
        </w:rPr>
      </w:pPr>
      <w:r>
        <w:rPr>
          <w:rFonts w:ascii="Arial" w:cs="Arial" w:eastAsia="Arial" w:hAnsi="Arial"/>
          <w:sz w:val="17"/>
          <w:szCs w:val="17"/>
          <w:color w:val="auto"/>
        </w:rPr>
        <w:t xml:space="preserve">The aggregate fair value of restricted stock units that vested during each of the three months ended March 31, 2024 and 2023 was zero. </w:t>
      </w:r>
      <w:r>
        <w:rPr>
          <w:rFonts w:ascii="Arial" w:cs="Arial" w:eastAsia="Arial" w:hAnsi="Arial"/>
          <w:sz w:val="17"/>
          <w:szCs w:val="17"/>
          <w:b w:val="1"/>
          <w:bCs w:val="1"/>
          <w:i w:val="1"/>
          <w:iCs w:val="1"/>
          <w:color w:val="auto"/>
        </w:rPr>
        <w:t>Stock-Based Compensation</w:t>
      </w:r>
    </w:p>
    <w:p>
      <w:pPr>
        <w:spacing w:after="0" w:line="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Stock-based compensation expense for the three months ended March 31, 2024 and 2023 was classified in the condensed consolidated statements of operations and comprehensive loss as follows (in thousands):</w:t>
      </w:r>
    </w:p>
    <w:p>
      <w:pPr>
        <w:spacing w:after="0" w:line="213"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553</w:t>
            </w:r>
          </w:p>
        </w:tc>
        <w:tc>
          <w:tcPr>
            <w:tcW w:w="5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311</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422</w:t>
            </w:r>
          </w:p>
        </w:tc>
      </w:tr>
      <w:tr>
        <w:trPr>
          <w:trHeight w:val="263"/>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2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1,043</w:t>
            </w:r>
          </w:p>
        </w:tc>
        <w:tc>
          <w:tcPr>
            <w:tcW w:w="1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-25400</wp:posOffset>
            </wp:positionV>
            <wp:extent cx="1028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1028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47"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color w:val="auto"/>
        </w:rPr>
        <w:t>As of March 31, 2024, total unrecognized compensation cost related to unvested stock-based awards was $4.4 million, which is expected to be recognized over a weighted average period of 2.30 years.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Exclusive Licensing Agreement with a Related Party</w:t>
      </w:r>
    </w:p>
    <w:p>
      <w:pPr>
        <w:spacing w:after="0" w:line="10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In March 2014, the Company entered into an exclusive licensing agreement with Ventagen, LLC (Ventagen) which provides Ventagen the right to develop products for commercial sale and distribution within Mexico, Belize, Guatemala, Honduras, El Salvador, Costa Rica, Nicaragua, Panama, Colombia, and Bolivia (the Territory). Ventagen paid the Company $1.0 million upon the signing of the agreement and agreed to a fixed future payment to the Company of $2.5 million. The future payment will be made upon the achievement of $5.0 million of sales of an approved product by Ventagen and is subject to reduction if Ventagen’s costs to develop an approved product exceeds $4.0 million. In addition to the upfront payment and the future payment, Ventagen agreed to purchase from the Company all manufactured product that is required for clinical or commercial purposes at a price of cost plus 25% of the wholesale price of the approved product, subject to a minimum or maximum price. In the event the Company is unable or unwilling to manufacture supply under the terms of the agreement, Ventagen has the right to manufacture its own supply and will be required to pay a fixed fee per dose sold. The Company also agreed to provide certain services to Ventagen related to Ventagen’s development plan. Stockholders of the Company own 49.5% of the voting stock of Ventagen, including 47% by the Company’s founders who are currently significant stockholders of the Company, and trusts for the benefit of their children.</w:t>
      </w:r>
    </w:p>
    <w:p>
      <w:pPr>
        <w:spacing w:after="0" w:line="73"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The Company had completely recognized the $1.0 million upfront license fee as research and development service revenue as of December 31, 2022.</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Technology License Agreement</w:t>
      </w:r>
    </w:p>
    <w:p>
      <w:pPr>
        <w:spacing w:after="0" w:line="100"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On January 20, 2018 the Company entered into an exclusive option agreement (Option Agreement) with MGB. Pursuant to the Option Agreement, the Company has obtained the exclusive right from MGB to negotiate an exclusive license to make, develop and commercialize rQNestin, a genetically modified oncolytic herpes simplex virus for the treatment of certain types of cancers. Pursuant to the Option Agreement, the Company will support a clinical trial to be conducted at MGB pursuant to the terms of a clinical trial agreement to be negotiated and the Company has committed to remitting $0.8 million in support of such clinical trial over the course of approximately three years. Upon execution of the Option Agreement, the Company remitted a non-refundable fee of $40,000 to MGB to be applied toward the Company’s on-going obligations to reimburse patent expenses. During the three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months ended March 31, 2024 and 2023, the Company did not expense any startup and patient fees for clinical trials performed by MGB.</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On September 15, 2020, the Company exercised the Option Agreement with MGB and entered into an exclusive worldwide patent license agreement with MGB (the MGB License). In connection with the MGB License, the Company paid a fee of $0.1 million and agreed to reimburse patent costs incurred by MGB, including $0.1 million paid at the time of entering into the MGB License. Prior to the first commercial sale, the Company is required to pay MGB an annual license fee of $50,000 beginning following the fourth anniversary of the effective date. The MGB License contains cumulative milestone payments equaling a maximum amount of $39.0 million upon the achievement of various clinical, commercial and sales milestones of both primary and secondary products. Following the first commercial sale, the Company is required to pay royalties to MGB, which are paid at an increasing rate as net sales increase, ranging from low single digits to high single digits. In addition, after the first commercial sale, the Company is required to pay MGB a pre-determined fixed annual minimum royalty, which amount may be credited against earned royalties starting in the fourth year following the first commercial sale. The Company also agreed to pay a single digit royalty rate on net sales of any derived products.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has identified the guarantees described below as disclosable, in accordance with ASC 460, </w:t>
      </w:r>
      <w:r>
        <w:rPr>
          <w:rFonts w:ascii="Arial" w:cs="Arial" w:eastAsia="Arial" w:hAnsi="Arial"/>
          <w:sz w:val="17"/>
          <w:szCs w:val="17"/>
          <w:i w:val="1"/>
          <w:iCs w:val="1"/>
          <w:color w:val="auto"/>
        </w:rPr>
        <w:t>Guarantees</w:t>
      </w:r>
      <w:r>
        <w:rPr>
          <w:rFonts w:ascii="Arial" w:cs="Arial" w:eastAsia="Arial" w:hAnsi="Arial"/>
          <w:sz w:val="17"/>
          <w:szCs w:val="17"/>
          <w:color w:val="auto"/>
        </w:rPr>
        <w:t>.</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p>
    <w:p>
      <w:pPr>
        <w:spacing w:after="0" w:line="69"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69" w:lineRule="exact"/>
        <w:rPr>
          <w:sz w:val="20"/>
          <w:szCs w:val="20"/>
          <w:color w:val="auto"/>
        </w:rPr>
      </w:pPr>
    </w:p>
    <w:p>
      <w:pPr>
        <w:ind w:right="480"/>
        <w:spacing w:after="0" w:line="249" w:lineRule="auto"/>
        <w:rPr>
          <w:sz w:val="20"/>
          <w:szCs w:val="20"/>
          <w:color w:val="auto"/>
        </w:rPr>
      </w:pPr>
      <w:r>
        <w:rPr>
          <w:rFonts w:ascii="Arial" w:cs="Arial" w:eastAsia="Arial" w:hAnsi="Arial"/>
          <w:sz w:val="17"/>
          <w:szCs w:val="17"/>
          <w:color w:val="auto"/>
        </w:rPr>
        <w:t>The Company leases office space under a noncancelable operating lease expiring in 2026. The Company has standard indemnification arrangements under this lease that require it to indemnify the landlord against all costs, expenses, fines, suits, claims, demands, liabilities, and actions directly resulting from any breach, violation, or nonperformance of any covenant or condition of the lease.</w:t>
      </w:r>
    </w:p>
    <w:p>
      <w:pPr>
        <w:spacing w:after="0" w:line="6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As of March 31, 2024,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From </w:t>
      </w:r>
      <w:r>
        <w:rPr>
          <w:rFonts w:ascii="Arial" w:cs="Arial" w:eastAsia="Arial" w:hAnsi="Arial"/>
          <w:sz w:val="17"/>
          <w:szCs w:val="17"/>
          <w:color w:val="auto"/>
        </w:rPr>
        <w:t>time to time, we may become involved in litigation or other legal proceedings. On December 15, 2022, Periphagen notified us by letter of its</w:t>
      </w:r>
      <w:r>
        <w:rPr>
          <w:rFonts w:ascii="Arial" w:cs="Arial" w:eastAsia="Arial" w:hAnsi="Arial"/>
          <w:sz w:val="18"/>
          <w:szCs w:val="18"/>
          <w:color w:val="auto"/>
        </w:rPr>
        <w:t xml:space="preserve"> </w:t>
      </w:r>
      <w:r>
        <w:rPr>
          <w:rFonts w:ascii="Arial" w:cs="Arial" w:eastAsia="Arial" w:hAnsi="Arial"/>
          <w:sz w:val="17"/>
          <w:szCs w:val="17"/>
          <w:color w:val="auto"/>
        </w:rPr>
        <w:t>claim that we have failed to use commercially reasonable efforts to complete a human proof of concept clinical trial of an NT-3 Asset under an Exclusive License Agreement dated December 9, 2019 between us and Periphagen (the Periphagen License Agreement). On January 13, 2023, we filed a demand for arbitration against Periphagen with the American Arbitration Association, seeking a declaration that Periphagen’s December 15 letter failed to comply with the dispute and escalation provisions in the Periphagen License Agreement. On March 10, 2023, Periphagen filed its answer and counterclaims to our demand for arbitration. In its counterclaims, Periphagen sought a declaration that we have not used commercially reasonable efforts to complete a human proof of concept clinical trial of the NT-3 Asset and a declaration that any further extension of time would not be scientifically or commercially reasonable. We denied Periphagen’s counterclaims.</w:t>
      </w:r>
    </w:p>
    <w:p>
      <w:pPr>
        <w:spacing w:after="0" w:line="76"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On June 7, 2023, the parties entered into an amendment to the Exclusive License Agreement that resolved the dispute and resulted in termination of the arbitration without any financial impact.</w:t>
      </w:r>
    </w:p>
    <w:p>
      <w:pPr>
        <w:spacing w:after="0" w:line="51"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1" w:name="page22"/>
    <w:bookmarkEnd w:id="21"/>
    <w:p>
      <w:pPr>
        <w:ind w:right="9280" w:firstLine="8"/>
        <w:spacing w:after="0" w:line="365"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Loss Per Share </w:t>
      </w:r>
      <w:r>
        <w:rPr>
          <w:rFonts w:ascii="Arial" w:cs="Arial" w:eastAsia="Arial" w:hAnsi="Arial"/>
          <w:sz w:val="18"/>
          <w:szCs w:val="18"/>
          <w:b w:val="1"/>
          <w:bCs w:val="1"/>
          <w:i w:val="1"/>
          <w:iCs w:val="1"/>
          <w:color w:val="auto"/>
        </w:rPr>
        <w:t>Net Loss Per Share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Basic and diluted net loss per share attributable to common stockholders was calculated as follows (in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gridSpan w:val="4"/>
          </w:tcPr>
          <w:p>
            <w:pPr>
              <w:jc w:val="right"/>
              <w:ind w:right="85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7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6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49"/>
        </w:trPr>
        <w:tc>
          <w:tcPr>
            <w:tcW w:w="7760" w:type="dxa"/>
            <w:vAlign w:val="bottom"/>
            <w:shd w:val="clear" w:color="auto" w:fill="CFF0FC"/>
          </w:tcPr>
          <w:p>
            <w:pPr>
              <w:ind w:left="280"/>
              <w:spacing w:after="0"/>
              <w:rPr>
                <w:sz w:val="20"/>
                <w:szCs w:val="20"/>
                <w:color w:val="auto"/>
              </w:rPr>
            </w:pPr>
            <w:r>
              <w:rPr>
                <w:rFonts w:ascii="Arial" w:cs="Arial" w:eastAsia="Arial" w:hAnsi="Arial"/>
                <w:sz w:val="17"/>
                <w:szCs w:val="17"/>
                <w:color w:val="auto"/>
              </w:rPr>
              <w:t>Net loss</w:t>
            </w:r>
          </w:p>
        </w:tc>
        <w:tc>
          <w:tcPr>
            <w:tcW w:w="360" w:type="dxa"/>
            <w:vAlign w:val="bottom"/>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(8,221 )</w:t>
            </w:r>
          </w:p>
        </w:tc>
        <w:tc>
          <w:tcPr>
            <w:tcW w:w="5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(8,795 )</w:t>
            </w:r>
          </w:p>
        </w:tc>
        <w:tc>
          <w:tcPr>
            <w:tcW w:w="0" w:type="dxa"/>
            <w:vAlign w:val="bottom"/>
          </w:tcPr>
          <w:p>
            <w:pPr>
              <w:spacing w:after="0"/>
              <w:rPr>
                <w:sz w:val="1"/>
                <w:szCs w:val="1"/>
                <w:color w:val="auto"/>
              </w:rPr>
            </w:pPr>
          </w:p>
        </w:tc>
      </w:tr>
      <w:tr>
        <w:trPr>
          <w:trHeight w:val="197"/>
        </w:trPr>
        <w:tc>
          <w:tcPr>
            <w:tcW w:w="7760" w:type="dxa"/>
            <w:vAlign w:val="bottom"/>
            <w:tcBorders>
              <w:top w:val="single" w:sz="8" w:color="CFF0FC"/>
            </w:tcBorders>
          </w:tcPr>
          <w:p>
            <w:pPr>
              <w:ind w:left="20"/>
              <w:spacing w:after="0"/>
              <w:rPr>
                <w:sz w:val="20"/>
                <w:szCs w:val="20"/>
                <w:color w:val="auto"/>
              </w:rPr>
            </w:pPr>
            <w:r>
              <w:rPr>
                <w:rFonts w:ascii="Arial" w:cs="Arial" w:eastAsia="Arial" w:hAnsi="Arial"/>
                <w:sz w:val="17"/>
                <w:szCs w:val="17"/>
                <w:b w:val="1"/>
                <w:bCs w:val="1"/>
                <w:color w:val="auto"/>
              </w:rPr>
              <w:t>Denominator:</w:t>
            </w:r>
          </w:p>
        </w:tc>
        <w:tc>
          <w:tcPr>
            <w:tcW w:w="3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760" w:type="dxa"/>
            <w:vAlign w:val="bottom"/>
            <w:shd w:val="clear" w:color="auto" w:fill="CFF0FC"/>
          </w:tcPr>
          <w:p>
            <w:pPr>
              <w:ind w:left="280"/>
              <w:spacing w:after="0" w:line="180" w:lineRule="exact"/>
              <w:rPr>
                <w:sz w:val="20"/>
                <w:szCs w:val="20"/>
                <w:color w:val="auto"/>
              </w:rPr>
            </w:pPr>
            <w:r>
              <w:rPr>
                <w:rFonts w:ascii="Arial" w:cs="Arial" w:eastAsia="Arial" w:hAnsi="Arial"/>
                <w:sz w:val="17"/>
                <w:szCs w:val="17"/>
                <w:color w:val="auto"/>
              </w:rPr>
              <w:t>Weighted-average shares of common stock</w:t>
            </w:r>
          </w:p>
        </w:tc>
        <w:tc>
          <w:tcPr>
            <w:tcW w:w="360" w:type="dxa"/>
            <w:vAlign w:val="bottom"/>
            <w:shd w:val="clear" w:color="auto" w:fill="CFF0FC"/>
          </w:tcPr>
          <w:p>
            <w:pPr>
              <w:spacing w:after="0"/>
              <w:rPr>
                <w:sz w:val="15"/>
                <w:szCs w:val="15"/>
                <w:color w:val="auto"/>
              </w:rPr>
            </w:pPr>
          </w:p>
        </w:tc>
        <w:tc>
          <w:tcPr>
            <w:tcW w:w="1320" w:type="dxa"/>
            <w:vAlign w:val="bottom"/>
            <w:vMerge w:val="restart"/>
            <w:shd w:val="clear" w:color="auto" w:fill="CFF0FC"/>
          </w:tcPr>
          <w:p>
            <w:pPr>
              <w:jc w:val="right"/>
              <w:ind w:right="61"/>
              <w:spacing w:after="0"/>
              <w:rPr>
                <w:sz w:val="20"/>
                <w:szCs w:val="20"/>
                <w:color w:val="auto"/>
              </w:rPr>
            </w:pPr>
            <w:r>
              <w:rPr>
                <w:rFonts w:ascii="Arial" w:cs="Arial" w:eastAsia="Arial" w:hAnsi="Arial"/>
                <w:sz w:val="17"/>
                <w:szCs w:val="17"/>
                <w:color w:val="auto"/>
              </w:rPr>
              <w:t>29,197,537</w:t>
            </w: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ind w:right="38"/>
              <w:spacing w:after="0"/>
              <w:rPr>
                <w:sz w:val="20"/>
                <w:szCs w:val="20"/>
                <w:color w:val="auto"/>
              </w:rPr>
            </w:pPr>
            <w:r>
              <w:rPr>
                <w:rFonts w:ascii="Arial" w:cs="Arial" w:eastAsia="Arial" w:hAnsi="Arial"/>
                <w:sz w:val="17"/>
                <w:szCs w:val="17"/>
                <w:color w:val="auto"/>
              </w:rPr>
              <w:t>28,919,810</w:t>
            </w:r>
          </w:p>
        </w:tc>
        <w:tc>
          <w:tcPr>
            <w:tcW w:w="0" w:type="dxa"/>
            <w:vAlign w:val="bottom"/>
          </w:tcPr>
          <w:p>
            <w:pPr>
              <w:spacing w:after="0"/>
              <w:rPr>
                <w:sz w:val="1"/>
                <w:szCs w:val="1"/>
                <w:color w:val="auto"/>
              </w:rPr>
            </w:pPr>
          </w:p>
        </w:tc>
      </w:tr>
      <w:tr>
        <w:trPr>
          <w:trHeight w:val="224"/>
        </w:trPr>
        <w:tc>
          <w:tcPr>
            <w:tcW w:w="7760" w:type="dxa"/>
            <w:vAlign w:val="bottom"/>
            <w:tcBorders>
              <w:bottom w:val="single" w:sz="8" w:color="CFF0FC"/>
            </w:tcBorders>
            <w:shd w:val="clear" w:color="auto" w:fill="CFF0FC"/>
          </w:tcPr>
          <w:p>
            <w:pPr>
              <w:ind w:left="420"/>
              <w:spacing w:after="0" w:line="185" w:lineRule="exact"/>
              <w:rPr>
                <w:sz w:val="20"/>
                <w:szCs w:val="20"/>
                <w:color w:val="auto"/>
              </w:rPr>
            </w:pPr>
            <w:r>
              <w:rPr>
                <w:rFonts w:ascii="Arial" w:cs="Arial" w:eastAsia="Arial" w:hAnsi="Arial"/>
                <w:sz w:val="17"/>
                <w:szCs w:val="17"/>
                <w:color w:val="auto"/>
              </w:rPr>
              <w:t>outstanding – basic and diluted</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760" w:type="dxa"/>
            <w:vAlign w:val="bottom"/>
          </w:tcPr>
          <w:p>
            <w:pPr>
              <w:ind w:left="280"/>
              <w:spacing w:after="0"/>
              <w:rPr>
                <w:sz w:val="20"/>
                <w:szCs w:val="20"/>
                <w:color w:val="auto"/>
              </w:rPr>
            </w:pPr>
            <w:r>
              <w:rPr>
                <w:rFonts w:ascii="Arial" w:cs="Arial" w:eastAsia="Arial" w:hAnsi="Arial"/>
                <w:sz w:val="17"/>
                <w:szCs w:val="17"/>
                <w:color w:val="auto"/>
              </w:rPr>
              <w:t>Net loss per share – basic and diluted</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(0.28 )</w:t>
            </w:r>
          </w:p>
        </w:tc>
        <w:tc>
          <w:tcPr>
            <w:tcW w:w="5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(0.30 )</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-582295</wp:posOffset>
            </wp:positionV>
            <wp:extent cx="1028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-565150</wp:posOffset>
            </wp:positionV>
            <wp:extent cx="102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102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102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Company’s potentially dilutive securities have been excluded from the computation of dilutive net loss per share as the effect would be to reduce the net loss per share. Therefore, the weighted-average number of shares of common stock outstanding used to calculate both basic and diluted net loss per share is the same.</w:t>
      </w:r>
    </w:p>
    <w:p>
      <w:pPr>
        <w:spacing w:after="0" w:line="67"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The Company excluded the following potential shares of common stock from the computation of diluted net loss per share because including them would have had an anti-dilutive effect.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4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AS OF MARCH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Outstanding warrants for common stock</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7,507,708</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7,507,708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7"/>
                <w:szCs w:val="17"/>
                <w:color w:val="auto"/>
              </w:rPr>
              <w:t>Outstanding stock options (as converted to common stock)</w:t>
            </w:r>
          </w:p>
        </w:tc>
        <w:tc>
          <w:tcPr>
            <w:tcW w:w="1620" w:type="dxa"/>
            <w:vAlign w:val="bottom"/>
          </w:tcPr>
          <w:p>
            <w:pPr>
              <w:jc w:val="right"/>
              <w:spacing w:after="0"/>
              <w:rPr>
                <w:sz w:val="20"/>
                <w:szCs w:val="20"/>
                <w:color w:val="auto"/>
              </w:rPr>
            </w:pPr>
            <w:r>
              <w:rPr>
                <w:rFonts w:ascii="Arial" w:cs="Arial" w:eastAsia="Arial" w:hAnsi="Arial"/>
                <w:sz w:val="17"/>
                <w:szCs w:val="17"/>
                <w:color w:val="auto"/>
              </w:rPr>
              <w:t>5,112,673</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5,479,355</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Unvested restricted stock</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2,306,889</w:t>
            </w:r>
          </w:p>
        </w:tc>
        <w:tc>
          <w:tcPr>
            <w:tcW w:w="2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612,366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14,927,270</w:t>
            </w:r>
          </w:p>
        </w:tc>
        <w:tc>
          <w:tcPr>
            <w:tcW w:w="2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13,599,429</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Corporate Restructuring</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In November 2023, the Company’s board of directors authorized a restructuring plan to focus on continuation and expansion of development of</w:t>
      </w:r>
    </w:p>
    <w:p>
      <w:pPr>
        <w:spacing w:after="0" w:line="20"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CAN-3110 as well as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which resulted in a reduction of the Company’s workforce by approximately 45%. Each affected employee’s separation occurred in December 2023. As a result, the Company incurred costs of $0.7 million related to severance benefits for the affected employees, including severance payments and limited reimbursement of medical insurance premiums. The restructuring plan was completed in the first quarter of 2024 when the final severance payments of $46,000 were made.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2" w:lineRule="exact"/>
        <w:rPr>
          <w:sz w:val="20"/>
          <w:szCs w:val="20"/>
          <w:color w:val="auto"/>
        </w:rPr>
      </w:pPr>
    </w:p>
    <w:p>
      <w:pPr>
        <w:ind w:right="280"/>
        <w:spacing w:after="0"/>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and consolidated financial statements and the related notes and other financial information included elsewhere in this Quarterly Report on Form 10-Q (Form 10-Q). Some of the information contained in this discussion and analysis contains forward-looking statements that involve risks and uncertainties. You should review the section titled “Risk factors” in this Form 10-Q for a discussion of important factors that could cause actual results to differ materially from the results described below.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are a clinical stage biopharmaceutical company focused on developing off-the-shelf viral immunotherapies that elicit an individualized, systemic anti-tumor immune response to help patients fight cancer. Our engineered viruses are designed to induce a systemic anti-tumor response due to immunogenic cell death through direct viral-mediated cytotoxicity in cancer cells, thus releasing tumor neo-antigens and creating a pro-inflammatory microenvironment at the site of injection. This is intended to lead to in-situ vaccination against the injected tumor and uninjected distant metastases. Our viral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 in our preclinical studies and clinical trials that may indicate the potential of our product candidates to induce systemic immune response against distal, uninjected tumors, also known as an “abscopal” effect.</w:t>
      </w:r>
    </w:p>
    <w:p>
      <w:pPr>
        <w:spacing w:after="0" w:line="73"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69"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We have established two clinical off-the-shelf viral immunotherapy platforms based on novel, genetically modified adenovirus and herpes simplex virus (HSV) constructs, respectively.</w:t>
      </w:r>
    </w:p>
    <w:p>
      <w:pPr>
        <w:spacing w:after="0" w:line="51"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Our most advanced product candidate, CAN-2409, is an off-the-shelf adenovirus product candidate which is administered in conjunction with the prodrug, valacyclovir, that has generated promising clinical activity across a range of solid tumor indications. CAN-2409 is currently being studied in the following ongoing clinical trials:</w:t>
      </w:r>
    </w:p>
    <w:p>
      <w:pPr>
        <w:spacing w:after="0" w:line="69"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Prostate Cancer</w:t>
      </w:r>
    </w:p>
    <w:p>
      <w:pPr>
        <w:spacing w:after="0" w:line="112" w:lineRule="exact"/>
        <w:rPr>
          <w:rFonts w:ascii="Times New Roman" w:cs="Times New Roman" w:eastAsia="Times New Roman" w:hAnsi="Times New Roman"/>
          <w:sz w:val="17"/>
          <w:szCs w:val="17"/>
          <w:color w:val="auto"/>
        </w:rPr>
      </w:pPr>
    </w:p>
    <w:p>
      <w:pPr>
        <w:ind w:left="1540" w:right="140" w:hanging="509"/>
        <w:spacing w:after="0" w:line="24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A pivotal phase 3 randomized, triple-blinded and placebo-controlled clinical trial in the United States under a Special Protocol Assessment (SPA) with the U.S. Food and Drug Administration (FDA) evaluating 711 evaluable patients with newly diagnosed, localized prostate cancer who have an intermediate or high-risk for progression. We completed enrollment of this trial in September 2021, and we expect to report topline data in the fourth quarter of 2024.</w:t>
      </w:r>
    </w:p>
    <w:p>
      <w:pPr>
        <w:spacing w:after="0" w:line="69" w:lineRule="exact"/>
        <w:rPr>
          <w:rFonts w:ascii="Times New Roman" w:cs="Times New Roman" w:eastAsia="Times New Roman" w:hAnsi="Times New Roman"/>
          <w:sz w:val="17"/>
          <w:szCs w:val="17"/>
          <w:color w:val="auto"/>
        </w:rPr>
      </w:pPr>
    </w:p>
    <w:p>
      <w:pPr>
        <w:ind w:left="1540" w:right="220" w:hanging="509"/>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A phase 2 randomized, double blind, placebo-controlled clinical trial in the United States evaluating 187 patients with low-to-intermediate risk, localized prostate cancer undergoing active surveillance. We completed enrollment of this trial in May 2019, and we expect to report topline data in the fourth quarter of 2024.</w:t>
      </w:r>
    </w:p>
    <w:p>
      <w:pPr>
        <w:spacing w:after="0" w:line="68"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Non-Small Cell Lung Cancer (NSCLC)</w:t>
      </w:r>
    </w:p>
    <w:p>
      <w:pPr>
        <w:spacing w:after="0" w:line="112" w:lineRule="exact"/>
        <w:rPr>
          <w:rFonts w:ascii="Times New Roman" w:cs="Times New Roman" w:eastAsia="Times New Roman" w:hAnsi="Times New Roman"/>
          <w:sz w:val="17"/>
          <w:szCs w:val="17"/>
          <w:color w:val="auto"/>
        </w:rPr>
      </w:pPr>
    </w:p>
    <w:p>
      <w:pPr>
        <w:ind w:left="1540" w:right="80" w:hanging="509"/>
        <w:spacing w:after="0" w:line="23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An open-label phase 2 clinical trial in the United States evaluating CAN-2409 plus valacyclovir in combination with continued PD-(L)1 checkpoint inhibitors in approximately 80 patients with stage III/IV NSCLC who have inadequate response to front line PD-(L)1 checkpoint inhibitor treatments. In April 2023, we announced that the FDA granted fast track designation for CAN-2409 plus valacyclovir in combination with pembrolizumab in order to improve survival or delay progression in patients with stage III (not candidates for curative intent) or stage IV NSCLC, who are resistant to first line PD-(L)1 inhibitor therapy and who do not have activating molecular driver mutations or have progressed on directed molecular therapy. These patients historically have had an expected median overall survival (mOS) of &lt;12 months (Reckamp K et al. J Clin Onc 2022;40:2295-2306). The aim of the CAN-2409 immunotherapy antitumor strategy is to raise the tail on the survival curve by increasing the number of long survivors beyond 10-14 months in patients treated with two CAN-2409 injections.</w:t>
      </w:r>
    </w:p>
    <w:p>
      <w:pPr>
        <w:spacing w:after="0" w:line="79" w:lineRule="exact"/>
        <w:rPr>
          <w:rFonts w:ascii="Times New Roman" w:cs="Times New Roman" w:eastAsia="Times New Roman" w:hAnsi="Times New Roman"/>
          <w:sz w:val="17"/>
          <w:szCs w:val="17"/>
          <w:color w:val="auto"/>
        </w:rPr>
      </w:pPr>
    </w:p>
    <w:p>
      <w:pPr>
        <w:ind w:left="1540" w:hanging="509"/>
        <w:spacing w:after="0" w:line="24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t>
      </w:r>
      <w:r>
        <w:rPr>
          <w:rFonts w:ascii="Arial" w:cs="Arial" w:eastAsia="Arial" w:hAnsi="Arial"/>
          <w:sz w:val="17"/>
          <w:szCs w:val="17"/>
          <w:color w:val="auto"/>
        </w:rPr>
        <w:t>In 2022, we presented data from this phase 2 clinical trial where patients who received two administrations of CAN-2409 plus prodrug and completed the 12-week treatment window demonstrated: 1) increased infiltration of CD8+ cytotoxic tumor infiltrating lymphocytes in the tumor microenvironment, systemic expansion of effector T cells and increased soluble granzyme B levels in peripheral blood, 2) favorable changes in the trajectory of tumor progression, 3) decreased tumor size of target lesions in most patients, and 4) reduced size of</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3" w:name="page24"/>
    <w:bookmarkEnd w:id="23"/>
    <w:p>
      <w:pPr>
        <w:ind w:left="1023" w:right="160"/>
        <w:spacing w:after="0" w:line="249" w:lineRule="auto"/>
        <w:rPr>
          <w:sz w:val="20"/>
          <w:szCs w:val="20"/>
          <w:color w:val="auto"/>
        </w:rPr>
      </w:pPr>
      <w:r>
        <w:rPr>
          <w:rFonts w:ascii="Arial" w:cs="Arial" w:eastAsia="Arial" w:hAnsi="Arial"/>
          <w:sz w:val="17"/>
          <w:szCs w:val="17"/>
          <w:color w:val="auto"/>
        </w:rPr>
        <w:t>uninjected tumor lesions (Aggarwal C et al. Abstract #9037 ASCO June 2022 and Aggarwal C et al. Candel Virtual R&amp;D Day, December 2022). These data were further supported in an update released September 2023, based on a data cutoff of August 1, 2023:</w:t>
      </w:r>
    </w:p>
    <w:p>
      <w:pPr>
        <w:spacing w:after="0" w:line="67" w:lineRule="exact"/>
        <w:rPr>
          <w:sz w:val="20"/>
          <w:szCs w:val="20"/>
          <w:color w:val="auto"/>
        </w:rPr>
      </w:pPr>
    </w:p>
    <w:p>
      <w:pPr>
        <w:ind w:left="1523" w:right="200" w:hanging="505"/>
        <w:spacing w:after="0" w:line="249" w:lineRule="auto"/>
        <w:tabs>
          <w:tab w:leader="none" w:pos="1523"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40 patients across Cohort 1 (stable disease at enrollment; n=5) and Cohort 2 (progressive disease at enrollment; n=35) were evaluable, as they received two courses of CAN-2409 plus valacyclovir and completed the 12-week treatment window.</w:t>
      </w:r>
    </w:p>
    <w:p>
      <w:pPr>
        <w:spacing w:after="0" w:line="65" w:lineRule="exact"/>
        <w:rPr>
          <w:rFonts w:ascii="Times New Roman" w:cs="Times New Roman" w:eastAsia="Times New Roman" w:hAnsi="Times New Roman"/>
          <w:sz w:val="17"/>
          <w:szCs w:val="17"/>
          <w:color w:val="auto"/>
        </w:rPr>
      </w:pPr>
    </w:p>
    <w:p>
      <w:pPr>
        <w:ind w:left="1523" w:right="160" w:hanging="505"/>
        <w:spacing w:after="0" w:line="266" w:lineRule="auto"/>
        <w:tabs>
          <w:tab w:leader="none" w:pos="1523"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While overall survival was not yet mature, we observed an encouraging number of long survivors. We believe that CAN-2409 may induce a new state of functional immunosurveillance and durable disease control in a subset of the patients.</w:t>
      </w:r>
    </w:p>
    <w:p>
      <w:pPr>
        <w:spacing w:after="0" w:line="51" w:lineRule="exact"/>
        <w:rPr>
          <w:rFonts w:ascii="Times New Roman" w:cs="Times New Roman" w:eastAsia="Times New Roman" w:hAnsi="Times New Roman"/>
          <w:sz w:val="17"/>
          <w:szCs w:val="17"/>
          <w:color w:val="auto"/>
        </w:rPr>
      </w:pPr>
    </w:p>
    <w:p>
      <w:pPr>
        <w:ind w:left="1523" w:right="100" w:hanging="505"/>
        <w:spacing w:after="0" w:line="249" w:lineRule="auto"/>
        <w:tabs>
          <w:tab w:leader="none" w:pos="1523"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Of the 40 evaluable patients, 15 patients had lived ≥ 12 months; of these, 10 patients had lived &gt; 18 months, of whom 70% (7/10) were alive as of last follow up. All 4 patients (100%) with overall survival &gt; 24 months were alive at last follow up, with the longest reaching 31.7 months.</w:t>
      </w:r>
    </w:p>
    <w:p>
      <w:pPr>
        <w:spacing w:after="0" w:line="65" w:lineRule="exact"/>
        <w:rPr>
          <w:rFonts w:ascii="Times New Roman" w:cs="Times New Roman" w:eastAsia="Times New Roman" w:hAnsi="Times New Roman"/>
          <w:sz w:val="17"/>
          <w:szCs w:val="17"/>
          <w:color w:val="auto"/>
        </w:rPr>
      </w:pPr>
    </w:p>
    <w:p>
      <w:pPr>
        <w:ind w:left="1523" w:hanging="505"/>
        <w:spacing w:after="0"/>
        <w:tabs>
          <w:tab w:leader="none" w:pos="1523"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18 out of the 40 evaluable patients were also alive but had not yet reached 12 months of follow up.</w:t>
      </w:r>
    </w:p>
    <w:p>
      <w:pPr>
        <w:spacing w:after="0" w:line="114" w:lineRule="exact"/>
        <w:rPr>
          <w:rFonts w:ascii="Times New Roman" w:cs="Times New Roman" w:eastAsia="Times New Roman" w:hAnsi="Times New Roman"/>
          <w:sz w:val="17"/>
          <w:szCs w:val="17"/>
          <w:color w:val="auto"/>
        </w:rPr>
      </w:pPr>
    </w:p>
    <w:p>
      <w:pPr>
        <w:ind w:left="1523" w:right="80" w:hanging="505"/>
        <w:spacing w:after="0" w:line="249" w:lineRule="auto"/>
        <w:tabs>
          <w:tab w:leader="none" w:pos="1523"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Notably, many patients treated with CAN-2409 had long survival (≥ 12 months) despite having disease features generally associated with advanced disease and reduced likelihood to benefit from immune checkpoint inhibitor therapy, such as low or negative PD-(L)1 expression, including:</w:t>
      </w:r>
    </w:p>
    <w:p>
      <w:pPr>
        <w:spacing w:after="0" w:line="65" w:lineRule="exact"/>
        <w:rPr>
          <w:rFonts w:ascii="Times New Roman" w:cs="Times New Roman" w:eastAsia="Times New Roman" w:hAnsi="Times New Roman"/>
          <w:sz w:val="17"/>
          <w:szCs w:val="17"/>
          <w:color w:val="auto"/>
        </w:rPr>
      </w:pPr>
    </w:p>
    <w:p>
      <w:pPr>
        <w:ind w:left="2043" w:right="280" w:hanging="516"/>
        <w:spacing w:after="0" w:line="266" w:lineRule="auto"/>
        <w:tabs>
          <w:tab w:leader="none" w:pos="204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Amongst patients alive ≥ 12 months with known PD-(L)1 status (14/15), 93% had negative or low PD-(L)1 score (&lt;1 or between 1-49).</w:t>
      </w:r>
    </w:p>
    <w:p>
      <w:pPr>
        <w:spacing w:after="0" w:line="51" w:lineRule="exact"/>
        <w:rPr>
          <w:rFonts w:ascii="Times New Roman" w:cs="Times New Roman" w:eastAsia="Times New Roman" w:hAnsi="Times New Roman"/>
          <w:sz w:val="17"/>
          <w:szCs w:val="17"/>
          <w:color w:val="auto"/>
        </w:rPr>
      </w:pPr>
    </w:p>
    <w:p>
      <w:pPr>
        <w:ind w:left="2043" w:right="220" w:hanging="516"/>
        <w:spacing w:after="0" w:line="243" w:lineRule="auto"/>
        <w:tabs>
          <w:tab w:leader="none" w:pos="2043" w:val="left"/>
        </w:tabs>
        <w:numPr>
          <w:ilvl w:val="1"/>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Advanced disease with stage IV in 73% (11/15), lymph node involvement in 73% (11/15), pleural effusion in 40% (6/15), bone metastases in 27% (4/15), adrenal metastases in 20% (3/15), brain metastases in 13% (2/15), liver metastases in 7% (1/15), involvement of 3 or more organs in 13% (2/15), and Eastern Cooperative Oncology Group performance status 1 in 40% (6/15).</w:t>
      </w:r>
    </w:p>
    <w:p>
      <w:pPr>
        <w:spacing w:after="0" w:line="71" w:lineRule="exact"/>
        <w:rPr>
          <w:rFonts w:ascii="Times New Roman" w:cs="Times New Roman" w:eastAsia="Times New Roman" w:hAnsi="Times New Roman"/>
          <w:sz w:val="17"/>
          <w:szCs w:val="17"/>
          <w:color w:val="auto"/>
        </w:rPr>
      </w:pPr>
    </w:p>
    <w:p>
      <w:pPr>
        <w:ind w:left="1523" w:hanging="505"/>
        <w:spacing w:after="0" w:line="248" w:lineRule="auto"/>
        <w:tabs>
          <w:tab w:leader="none" w:pos="1523"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There was a significant increase observed in activated central memory, effector-memory, effector T cells, and natural killer (NK) cells after CAN-2409 treatment. These include CD8+Ki67+IFN</w:t>
      </w:r>
      <w:r>
        <w:rPr>
          <w:rFonts w:ascii="Times New Roman" w:cs="Times New Roman" w:eastAsia="Times New Roman" w:hAnsi="Times New Roman"/>
          <w:sz w:val="21"/>
          <w:szCs w:val="21"/>
          <w:color w:val="auto"/>
        </w:rPr>
        <w:t>g</w:t>
      </w:r>
      <w:r>
        <w:rPr>
          <w:rFonts w:ascii="Arial" w:cs="Arial" w:eastAsia="Arial" w:hAnsi="Arial"/>
          <w:sz w:val="17"/>
          <w:szCs w:val="17"/>
          <w:color w:val="auto"/>
        </w:rPr>
        <w:t xml:space="preserve">+ T cells, CD8+ granzyme B+Ki67+ T cells, CD56+CD16+granzyme B+ NK cells, and </w:t>
      </w:r>
      <w:r>
        <w:rPr>
          <w:rFonts w:ascii="Times New Roman" w:cs="Times New Roman" w:eastAsia="Times New Roman" w:hAnsi="Times New Roman"/>
          <w:sz w:val="21"/>
          <w:szCs w:val="21"/>
          <w:color w:val="auto"/>
        </w:rPr>
        <w:t>gd</w:t>
      </w:r>
      <w:r>
        <w:rPr>
          <w:rFonts w:ascii="Arial" w:cs="Arial" w:eastAsia="Arial" w:hAnsi="Arial"/>
          <w:sz w:val="17"/>
          <w:szCs w:val="17"/>
          <w:color w:val="auto"/>
        </w:rPr>
        <w:t>+ T cells. We also observed an increase in memory B cells after CAN-2409 treatment.</w:t>
      </w:r>
    </w:p>
    <w:p>
      <w:pPr>
        <w:spacing w:after="0" w:line="66" w:lineRule="exact"/>
        <w:rPr>
          <w:rFonts w:ascii="Times New Roman" w:cs="Times New Roman" w:eastAsia="Times New Roman" w:hAnsi="Times New Roman"/>
          <w:sz w:val="17"/>
          <w:szCs w:val="17"/>
          <w:color w:val="auto"/>
        </w:rPr>
      </w:pPr>
    </w:p>
    <w:p>
      <w:pPr>
        <w:ind w:left="1523" w:right="640" w:hanging="505"/>
        <w:spacing w:after="0" w:line="266" w:lineRule="auto"/>
        <w:tabs>
          <w:tab w:leader="none" w:pos="1523"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We observed an increase in effector/cytotoxic T cells and NK cells in peripheral blood after the second CAN-2409 administration associated with subsequent improved survival (≥ 12 months).</w:t>
      </w:r>
    </w:p>
    <w:p>
      <w:pPr>
        <w:spacing w:after="0" w:line="51" w:lineRule="exact"/>
        <w:rPr>
          <w:rFonts w:ascii="Times New Roman" w:cs="Times New Roman" w:eastAsia="Times New Roman" w:hAnsi="Times New Roman"/>
          <w:sz w:val="17"/>
          <w:szCs w:val="17"/>
          <w:color w:val="auto"/>
        </w:rPr>
      </w:pPr>
    </w:p>
    <w:p>
      <w:pPr>
        <w:ind w:left="1523" w:right="120" w:hanging="505"/>
        <w:spacing w:after="0" w:line="243" w:lineRule="auto"/>
        <w:tabs>
          <w:tab w:leader="none" w:pos="1523"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We continued to observe a favorable safety/tolerability profile after CAN-2409 treatment in NSCLC. There were no dose limiting toxicities or grade 4 or greater treatment related adverse events. Grade 3 treatment related adverse events were reported in &lt; 10% of patients receiving at least one dose of CAN-2409 (safety population), which we believe compares favorably to current standard of care (SoC) options.</w:t>
      </w:r>
    </w:p>
    <w:p>
      <w:pPr>
        <w:spacing w:after="0" w:line="72" w:lineRule="exact"/>
        <w:rPr>
          <w:sz w:val="20"/>
          <w:szCs w:val="20"/>
          <w:color w:val="auto"/>
        </w:rPr>
      </w:pPr>
    </w:p>
    <w:p>
      <w:pPr>
        <w:ind w:left="1023" w:right="620" w:hanging="514"/>
        <w:spacing w:after="0" w:line="266" w:lineRule="auto"/>
        <w:tabs>
          <w:tab w:leader="none" w:pos="1023"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In April 2024, we announced the acceptance of an abstract at the American Society of Clinical Oncology (ASCO) Annual Meeting, where we will present topline overall survival data for Cohort 2 in June 2024.</w:t>
      </w:r>
    </w:p>
    <w:p>
      <w:pPr>
        <w:spacing w:after="0" w:line="53"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Pancreatic Cancer</w:t>
      </w:r>
    </w:p>
    <w:p>
      <w:pPr>
        <w:spacing w:after="0" w:line="112" w:lineRule="exact"/>
        <w:rPr>
          <w:rFonts w:ascii="Times New Roman" w:cs="Times New Roman" w:eastAsia="Times New Roman" w:hAnsi="Times New Roman"/>
          <w:sz w:val="17"/>
          <w:szCs w:val="17"/>
          <w:color w:val="auto"/>
        </w:rPr>
      </w:pPr>
    </w:p>
    <w:p>
      <w:pPr>
        <w:ind w:left="1023" w:right="120" w:hanging="514"/>
        <w:spacing w:after="0" w:line="236" w:lineRule="auto"/>
        <w:tabs>
          <w:tab w:leader="none" w:pos="1023"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initiated a randomized phase 2 clinical trial in the United States evaluating CAN-2409 in borderline resectable and locally advanced pancreatic adenocarcinoma. In March 2023, in connection with our cost management and dynamic portfolio management initiatives, we elected to pause new enrollment in this randomized phase 2 clinical trial, subject to additional funding. Despite the pause in new patient enrollment, we presented initial positive interim overall survival and immunological biomarker clinical data at the Society for Immunotherapy of Cancer (SITC) Annual Meeting in the fourth quarter of 2023. In December 2023, we announced that the FDA granted fast track designation for CAN-2409 plus valacyclovir for the treatment of patients with pancreatic ductal adenocarcinoma (PDAC) to improve overall survival. In April 2024, we announced updated positive overall survival data and also announced that the FDA has granted Orphan Drug Designation for CAN-2409 for the treatment of pancreatic cancer.</w:t>
      </w:r>
    </w:p>
    <w:p>
      <w:pPr>
        <w:spacing w:after="0" w:line="78" w:lineRule="exact"/>
        <w:rPr>
          <w:rFonts w:ascii="Times New Roman" w:cs="Times New Roman" w:eastAsia="Times New Roman" w:hAnsi="Times New Roman"/>
          <w:sz w:val="17"/>
          <w:szCs w:val="17"/>
          <w:color w:val="auto"/>
        </w:rPr>
      </w:pPr>
    </w:p>
    <w:p>
      <w:pPr>
        <w:ind w:left="1023" w:right="360" w:hanging="514"/>
        <w:spacing w:after="0" w:line="243" w:lineRule="auto"/>
        <w:tabs>
          <w:tab w:leader="none" w:pos="1023"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In a previous phase 1b trial, a statistically significant increase in the number of CD8+ tumor infiltrating lymphocytes was observed. Initial positive phase 2 data revealed notable improvements in patients with borderline resectable PDAC following CAN-2409 plus prodrug together with SoC chemoradiation; the following data were disclosed as of the March 29, 2024 data cutoff:</w:t>
      </w:r>
    </w:p>
    <w:p>
      <w:pPr>
        <w:spacing w:after="0" w:line="71" w:lineRule="exact"/>
        <w:rPr>
          <w:rFonts w:ascii="Times New Roman" w:cs="Times New Roman" w:eastAsia="Times New Roman" w:hAnsi="Times New Roman"/>
          <w:sz w:val="17"/>
          <w:szCs w:val="17"/>
          <w:color w:val="auto"/>
        </w:rPr>
      </w:pPr>
    </w:p>
    <w:p>
      <w:pPr>
        <w:ind w:left="102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Clinical data highlights:</w:t>
      </w:r>
    </w:p>
    <w:p>
      <w:pPr>
        <w:spacing w:after="0" w:line="200" w:lineRule="exact"/>
        <w:rPr>
          <w:sz w:val="20"/>
          <w:szCs w:val="20"/>
          <w:color w:val="auto"/>
        </w:rPr>
      </w:pPr>
    </w:p>
    <w:p>
      <w:pPr>
        <w:spacing w:after="0" w:line="256"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76" w:right="339" w:bottom="1440" w:gutter="0" w:footer="0" w:header="0"/>
        </w:sectPr>
      </w:pPr>
    </w:p>
    <w:bookmarkStart w:id="24" w:name="page25"/>
    <w:bookmarkEnd w:id="24"/>
    <w:p>
      <w:pPr>
        <w:ind w:left="2560" w:right="460" w:hanging="516"/>
        <w:spacing w:after="0" w:line="266" w:lineRule="auto"/>
        <w:tabs>
          <w:tab w:leader="none" w:pos="2560"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Prolonged and sustained survival was observed after experimental treatment with CAN-2409 in patients with borderline resectable PDAC.</w:t>
      </w:r>
    </w:p>
    <w:p>
      <w:pPr>
        <w:spacing w:after="0" w:line="51" w:lineRule="exact"/>
        <w:rPr>
          <w:rFonts w:ascii="Times New Roman" w:cs="Times New Roman" w:eastAsia="Times New Roman" w:hAnsi="Times New Roman"/>
          <w:sz w:val="17"/>
          <w:szCs w:val="17"/>
          <w:color w:val="auto"/>
        </w:rPr>
      </w:pPr>
    </w:p>
    <w:p>
      <w:pPr>
        <w:ind w:left="2560" w:hanging="516"/>
        <w:spacing w:after="0"/>
        <w:tabs>
          <w:tab w:leader="none" w:pos="2560"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Estimated mOS was 28.8 months in the CAN-2409 group versus only 12.5 months in the control group.</w:t>
      </w:r>
    </w:p>
    <w:p>
      <w:pPr>
        <w:spacing w:after="0" w:line="114" w:lineRule="exact"/>
        <w:rPr>
          <w:rFonts w:ascii="Times New Roman" w:cs="Times New Roman" w:eastAsia="Times New Roman" w:hAnsi="Times New Roman"/>
          <w:sz w:val="17"/>
          <w:szCs w:val="17"/>
          <w:color w:val="auto"/>
        </w:rPr>
      </w:pPr>
    </w:p>
    <w:p>
      <w:pPr>
        <w:ind w:left="2560" w:right="40" w:hanging="516"/>
        <w:spacing w:after="0" w:line="243" w:lineRule="auto"/>
        <w:tabs>
          <w:tab w:leader="none" w:pos="2560"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At 24 months, a survival rate of 71.4% was observed in CAN-2409 treated patients, after SoC chemoradiation and prior to surgery, versus only 16.7% in the control group. At 36 months, a survival rate of 47.6% was estimated in patients who received CAN-2409, together with SoC chemoradiation prior to surgery, versus only 16.7% in the control group.</w:t>
      </w:r>
    </w:p>
    <w:p>
      <w:pPr>
        <w:spacing w:after="0" w:line="71" w:lineRule="exact"/>
        <w:rPr>
          <w:rFonts w:ascii="Times New Roman" w:cs="Times New Roman" w:eastAsia="Times New Roman" w:hAnsi="Times New Roman"/>
          <w:sz w:val="17"/>
          <w:szCs w:val="17"/>
          <w:color w:val="auto"/>
        </w:rPr>
      </w:pPr>
    </w:p>
    <w:p>
      <w:pPr>
        <w:ind w:left="2560" w:right="280" w:hanging="516"/>
        <w:spacing w:after="0" w:line="249" w:lineRule="auto"/>
        <w:tabs>
          <w:tab w:leader="none" w:pos="2560"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Importantly, 4 out of 7 patients who received CAN-2409 were still alive at the time of data cutoff, with 2 patients surviving more than 50.0 months from enrollment. Only 1 out of 6 patients, randomized to control SoC chemotherapy, remained alive at data cutoff (alive at 50.6 months).</w:t>
      </w:r>
    </w:p>
    <w:p>
      <w:pPr>
        <w:spacing w:after="0" w:line="65"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Biomarker data analysis demonstrated:</w:t>
      </w:r>
    </w:p>
    <w:p>
      <w:pPr>
        <w:spacing w:after="0" w:line="114" w:lineRule="exact"/>
        <w:rPr>
          <w:rFonts w:ascii="Times New Roman" w:cs="Times New Roman" w:eastAsia="Times New Roman" w:hAnsi="Times New Roman"/>
          <w:sz w:val="17"/>
          <w:szCs w:val="17"/>
          <w:color w:val="auto"/>
        </w:rPr>
      </w:pPr>
    </w:p>
    <w:p>
      <w:pPr>
        <w:ind w:left="2560" w:hanging="516"/>
        <w:spacing w:after="0"/>
        <w:tabs>
          <w:tab w:leader="none" w:pos="2560"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Consistent and robust activation of immune response after dosing with CAN-2409.</w:t>
      </w:r>
    </w:p>
    <w:p>
      <w:pPr>
        <w:spacing w:after="0" w:line="114" w:lineRule="exact"/>
        <w:rPr>
          <w:rFonts w:ascii="Times New Roman" w:cs="Times New Roman" w:eastAsia="Times New Roman" w:hAnsi="Times New Roman"/>
          <w:sz w:val="17"/>
          <w:szCs w:val="17"/>
          <w:color w:val="auto"/>
        </w:rPr>
      </w:pPr>
    </w:p>
    <w:p>
      <w:pPr>
        <w:jc w:val="both"/>
        <w:ind w:left="2560" w:right="60" w:hanging="516"/>
        <w:spacing w:after="0" w:line="249" w:lineRule="auto"/>
        <w:tabs>
          <w:tab w:leader="none" w:pos="2560"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In pancreatic tissue of patients treated with CAN-2409 plus prodrug together with SoC (but not SoC alone), dense aggregates of CD8+ granzyme B positive cytotoxic T cells, dendritic cells, and B cells were observed in the tumor microenvironment.</w:t>
      </w:r>
    </w:p>
    <w:p>
      <w:pPr>
        <w:spacing w:after="0" w:line="65" w:lineRule="exact"/>
        <w:rPr>
          <w:rFonts w:ascii="Times New Roman" w:cs="Times New Roman" w:eastAsia="Times New Roman" w:hAnsi="Times New Roman"/>
          <w:sz w:val="17"/>
          <w:szCs w:val="17"/>
          <w:color w:val="auto"/>
        </w:rPr>
      </w:pPr>
    </w:p>
    <w:p>
      <w:pPr>
        <w:ind w:left="2560" w:right="500" w:hanging="516"/>
        <w:spacing w:after="0" w:line="266" w:lineRule="auto"/>
        <w:tabs>
          <w:tab w:leader="none" w:pos="2560"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Increased levels of soluble granzymes B and H as well as pro-inflammatory cytokines, including IFN-γ, were observed in peripheral blood after CAN-2409 treatment, but not after SoC.</w:t>
      </w:r>
    </w:p>
    <w:p>
      <w:pPr>
        <w:spacing w:after="0" w:line="51" w:lineRule="exact"/>
        <w:rPr>
          <w:rFonts w:ascii="Times New Roman" w:cs="Times New Roman" w:eastAsia="Times New Roman" w:hAnsi="Times New Roman"/>
          <w:sz w:val="17"/>
          <w:szCs w:val="17"/>
          <w:color w:val="auto"/>
        </w:rPr>
      </w:pPr>
    </w:p>
    <w:p>
      <w:pPr>
        <w:ind w:left="2040" w:hanging="505"/>
        <w:spacing w:after="0"/>
        <w:tabs>
          <w:tab w:leader="none" w:pos="204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Safety analysis:</w:t>
      </w:r>
    </w:p>
    <w:p>
      <w:pPr>
        <w:spacing w:after="0" w:line="114" w:lineRule="exact"/>
        <w:rPr>
          <w:rFonts w:ascii="Times New Roman" w:cs="Times New Roman" w:eastAsia="Times New Roman" w:hAnsi="Times New Roman"/>
          <w:sz w:val="17"/>
          <w:szCs w:val="17"/>
          <w:color w:val="auto"/>
        </w:rPr>
      </w:pPr>
    </w:p>
    <w:p>
      <w:pPr>
        <w:ind w:left="2560" w:hanging="516"/>
        <w:spacing w:after="0"/>
        <w:tabs>
          <w:tab w:leader="none" w:pos="2560"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CAN-2409 was associated with a favorable safety/tolerability profile.</w:t>
      </w:r>
    </w:p>
    <w:p>
      <w:pPr>
        <w:spacing w:after="0" w:line="114" w:lineRule="exact"/>
        <w:rPr>
          <w:rFonts w:ascii="Times New Roman" w:cs="Times New Roman" w:eastAsia="Times New Roman" w:hAnsi="Times New Roman"/>
          <w:sz w:val="17"/>
          <w:szCs w:val="17"/>
          <w:color w:val="auto"/>
        </w:rPr>
      </w:pPr>
    </w:p>
    <w:p>
      <w:pPr>
        <w:ind w:left="2560" w:right="260" w:hanging="516"/>
        <w:spacing w:after="0" w:line="266" w:lineRule="auto"/>
        <w:tabs>
          <w:tab w:leader="none" w:pos="2560" w:val="left"/>
        </w:tabs>
        <w:numPr>
          <w:ilvl w:val="1"/>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Addition of CAN-2409 regimen to SoC was generally well tolerated, with no dose-limiting toxicities, including no cases of pancreatitis.</w:t>
      </w:r>
    </w:p>
    <w:p>
      <w:pPr>
        <w:spacing w:after="0" w:line="133"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Our lead HSV-based product candidate, CAN-3110, is currently in an ongoing investigator-sponsored phase 1b clinical trial in our initial target indication of recurrent high-grade glioma (HGG). These patients have failed SoC treatment and have a poor prognosis (expected overall survival &lt;</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 xml:space="preserve">6-9 months). In February 2024, we announced that the FDA granted fast track designation for CAN-3110 for the treatment of patients with recurrent HGG to improve overall survival. Initial overall survival data from this clinical trial was presented in an oral presentation at the ASCO Annual Meeting in June 2021, and additional biomarker data was reported in an oral presentation at the Society for Neuro-Oncology Annual Meeting in November 2021. During our Research and Development Day in December 2022, we presented updated data demonstrating that CAN-3110 was well tolerated with no observed dose-limiting toxicity; achieved 11.6 months mOS with a single dose; and showed evidence of persistent herpes simplex virus 1 (HSV-1) antigen and HSV-1 replication consistent with mechanism of action​as well as robust evidence of immune activation​. In May 2023, we presented clinical and biomarker data from this ongoing clinical trial in an oral presentation at the American Society of Gene &amp; Cell Therapy (ASGCT) Annual Meeting where we reported mOS in arm A (n=41) ongoing at 11.8 months and mOS in arm B (n=9) ongoing at 12.0 months as of the April 20, 2023 data cutoff. Safety and tolerability data reported no dose-limiting toxicities in both arm A and arm B. In October 2023, we jointly published an article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that reported extended survival associated with immune activation in patients with recurrent HGG treated with CAN-3110. Notably, new data reported an increased survival in 66% of patients with positivity for anti-HSV1 antibodies (mOS of 14.2 months). Immune status was positively associated with survival both in patients with pre-existing HSV1 antibodies (pre-treatment) and in 33% of patients that, while negative at baseline, developed anti-HSV1 antibodies after a single injection of CAN-3110. Clinical responses were observed in both injected and uninjected lesions in patients with multifocal disease. Significant tumor responses in both arm A and arm B were observed, with continued reduction in tumor volume in a patient in arm B approximately one year after CAN-3110 treatment. Clinical response for this patient, in follow-up as of data cutoff, continued without additional treatment. Analysis of post-treatment samples demonstrated evidence of persistent HSV antigen expression and replication in both injected and uninjected tumor tissue associated with CD8+ T cell infiltration. The extent of immune activation, measured by gene profiling and quantification of immune cells in post-treatment specimens, was associated with the presence of anti-HSV1 antibodies and survival. Survival was also associated with the diversity of the T cell repertoire in circulating T cells, suggesting that patients treated with CAN-3110 were able to mount a diverse immune response against the virus and tumor antigens released during the oncolytic process had improved survival.</w:t>
      </w:r>
    </w:p>
    <w:p>
      <w:pPr>
        <w:spacing w:after="0" w:line="158"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We are conducting an extension of the clinical trial known as arm C, in which patients with recurrent HGG will receive a repeat dosing regimen of CAN-3110 (up to six injections over four months). Clinical data from arm C will help evaluate whether multiple injections can increase mOS. This clinical trial extension is supported by the Break Through Cancer foundation. In March 2024, we announced, during the 5th Glioblastoma Drug Development Summit in Boston, that six patients have been treated with multiple injections (up to six) of CAN-3110 in arm C, reporting good tolerability and safety. In April 2024, we announced the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25" w:name="page26"/>
    <w:bookmarkEnd w:id="25"/>
    <w:p>
      <w:pPr>
        <w:ind w:right="120"/>
        <w:spacing w:after="0" w:line="267" w:lineRule="auto"/>
        <w:rPr>
          <w:sz w:val="20"/>
          <w:szCs w:val="20"/>
          <w:color w:val="auto"/>
        </w:rPr>
      </w:pPr>
      <w:r>
        <w:rPr>
          <w:rFonts w:ascii="Arial" w:cs="Arial" w:eastAsia="Arial" w:hAnsi="Arial"/>
          <w:sz w:val="17"/>
          <w:szCs w:val="17"/>
          <w:color w:val="auto"/>
        </w:rPr>
        <w:t>acceptance of an abstract at the ASCO Annual Meeting, to be presented in June 2024, that will feature data regarding the feasibility and tolerability of multiple injections of CAN-3110.</w:t>
      </w:r>
    </w:p>
    <w:p>
      <w:pPr>
        <w:spacing w:after="0" w:line="13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also designing other novel viral immunotherapy candidates using our proprietary enLIGHTEN™ Discovery Platform, a systematic, iterative HSV-based discovery platform leveraging human biology and advanced analytics to create new viral immunotherapy candidates for solid tumors. In October 2022, we entered into a collaboration with the University of Pennsylvania (UPenn) Center for Cellular Immunotherapies to study the impact of novel viral immunotherapy candidates based on Candel’s enLIGHTEN™ Discovery Platform to strengthen the activity of UPenn’s investigational CAR-T cell therapies in difficult to treat solid tumors. In November 2023, during the SITC 2023 Annual Meeting, we presented two posters describing the key elements of the platform and the development of the first experimental agent from the enLIGHTEN Discovery Platform. The new agent, Alpha-201 Macro1, is an investigational viral immunotherapy designed to interfere with the CD47/SIRPα pathway and activate innate immune surveillance. Results demonstrated monotherapy activity following local administration in a preclinical model of lung and breast cancer. Additional preclinical data presented at SITC confirmed the capability of the enLIGHTEN™ Advanced Analytics suite to predict optimal gene payload combinations to arm viral vectors, that enable the design of potential combination therapeutics to overcome tumor resistance especially in cancers resistant to ICI treatment.</w:t>
      </w:r>
    </w:p>
    <w:p>
      <w:pPr>
        <w:spacing w:after="0" w:line="7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In April 2024, during the American Association for Cancer Research's 2024 Annual Meeting, we presented data on a second pre-candidate from our enLIGHTEN™ Discovery Platform, a first-in-class multimodal immunotherapy for induction of tertiary lymphoid structures, being developed as a novel therapeutic strategy for solid tumors.</w:t>
      </w:r>
    </w:p>
    <w:p>
      <w:pPr>
        <w:spacing w:after="0" w:line="67"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We currently own development and commercialization rights for our programs in major markets, including the United States, Europe and Asia, allowing us to control development and seek approval in those areas as we prepare our commercialization efforts.</w:t>
      </w:r>
    </w:p>
    <w:p>
      <w:pPr>
        <w:spacing w:after="0" w:line="51"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We were incorporated in Delaware in June 2003 as Advantagene, Inc. (Advantagene). In December 2019, Advantagene licensed substantially all the assets of Periphagen, a company focused on engineering HSV as a gene therapy vector, and in September 2020, licensed CAN-3110 from Mass General Brigham (MGB). In December 2020, we formally changed our name from Advantagene to Candel Therapeutics, Inc. We completed our initial public offering in July 2021.</w:t>
      </w:r>
    </w:p>
    <w:p>
      <w:pPr>
        <w:spacing w:after="0" w:line="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cash and cash equivalents were $25.7 million as of March 31, 2024. In accordance with the Financial Accounting Standards Board (FASB) Accounting Standards Codification (ASC), 205-40, Presentation of Financial Statements - Going Concern, we are required to assess our ability to continue as a going concern for the one-year look forward period following the date that the condensed consolidated financial statements are issued. Based on our current operating plan and existing cash and cash equivalents, we determined that substantial doubt exists regarding our ability to continue as a going concern for the one-year period following the date these condensed consolidated financial statements are issued. To sustain its future operations beyond such one-year period, we will require additional funding. We expect to finance our cash needs through a combination of public or private equity or debt financings, government grants, and other sources, which may include collaborations, strategic alliances and licensing arrangements with third parties. There is no assurance that we will be successful in obtaining sufficient funding on acceptable terms, if at all, and could be forced to delay, reduce, or eliminate some or all of its research, clinical trials, product development or future commercialization efforts, which could materially adversely affect our business prospects or our ability to continue as a going concern.</w:t>
      </w:r>
    </w:p>
    <w:p>
      <w:pPr>
        <w:spacing w:after="0" w:line="76"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accompanying condensed consolidated financial statements do not include any adjustments that might result from the outcome of this uncertainty. Accordingly, the condensed consolidated financial statements have been prepared on a basis that assumes we will continue as a going concern and that contemplates the realization of assets and satisfaction of liabilities and commitments in the ordinary course of 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00"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We are a party to a number of license and collaboration agreements under which we license patents, patent applications and other intellectual property to and from third parties.</w:t>
      </w:r>
    </w:p>
    <w:p>
      <w:pPr>
        <w:spacing w:after="0" w:line="8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Periphagen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December 9, 2019, we entered into a series of agreements, including an exclusive license agreement, a novation agreement, an</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p>
    <w:p>
      <w:pPr>
        <w:spacing w:after="0" w:line="74"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color w:val="auto"/>
        </w:rPr>
        <w:t>On June 7, 2023, we entered into an amendment to the exclusive license agreement. Under the amendment, our rights to the NT-3 Assets and Gene Transfer Neuro-Assets reverted to Periphagen, and we no longer have any obligations (including without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26" w:name="page27"/>
    <w:bookmarkEnd w:id="26"/>
    <w:p>
      <w:pPr>
        <w:ind w:right="20"/>
        <w:spacing w:after="0" w:line="244" w:lineRule="auto"/>
        <w:rPr>
          <w:sz w:val="20"/>
          <w:szCs w:val="20"/>
          <w:color w:val="auto"/>
        </w:rPr>
      </w:pPr>
      <w:r>
        <w:rPr>
          <w:rFonts w:ascii="Arial" w:cs="Arial" w:eastAsia="Arial" w:hAnsi="Arial"/>
          <w:sz w:val="17"/>
          <w:szCs w:val="17"/>
          <w:color w:val="auto"/>
        </w:rPr>
        <w:t>limitation diligence obligations and payment obligations) with respect to the NT-3 Assets or Gene Transfer Neuro-Assets. With respect to the remaining Licensed IP Rights, we retained a worldwide exclusive license with the right to grant sublicenses through multiple tiers under the Licensed IP Rights to conduct research and to develop, make, have made, use, have used, offer for sale, have sold, export and import products incorporating the Licensed IP Rights in field of the treatment, diagnosis, and prevention of oncologic diseases and conditions.</w:t>
      </w:r>
    </w:p>
    <w:p>
      <w:pPr>
        <w:spacing w:after="0" w:line="113"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b w:val="1"/>
          <w:bCs w:val="1"/>
          <w:i w:val="1"/>
          <w:iCs w:val="1"/>
          <w:color w:val="auto"/>
        </w:rPr>
        <w:t>Mass General Brigham (MGB)</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January 20, 2018, we entered into an exclusive option agreement (the Option Agreement) with MGB.</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Pursuant to the Option Agreement, we obtained the exclusive right from MGB to negotiate a world-wide, royalty-bearing license to develop and commercialize products covered by certain MGB patents, including those patents covering CAN-3110, in the field of gene therapy and oncolytic vector therapy for the treatment or prevention of cancerous tumors in humans or animals, as such field is further detailed in the Option Agreement (the Licensed Field). In consideration for MGB’s granting of the exclusive option, we paid MGB a non-refundable fee of $40,000.</w:t>
      </w:r>
    </w:p>
    <w:p>
      <w:pPr>
        <w:spacing w:after="0" w:line="75"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financial support for the performance of a specified phase 1 clinical trial by MGB pursuant to a protocol summary contained in the Option Agreement.</w:t>
      </w:r>
    </w:p>
    <w:p>
      <w:pPr>
        <w:spacing w:after="0" w:line="6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and also agreed to reimburse MGB for all reasonable fees and expenses MGB had incurred and will incur for the preparation, filing, prosecution and maintenance of the licensed patent rights.</w:t>
      </w:r>
    </w:p>
    <w:p>
      <w:pPr>
        <w:spacing w:after="0" w:line="107"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Ventagen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On March 1, 2014, we entered into an exclusive license agreement (the Ventagen Agreement) with Ventagen a related party. The</w:t>
      </w:r>
      <w:r>
        <w:rPr>
          <w:rFonts w:ascii="Arial" w:cs="Arial" w:eastAsia="Arial" w:hAnsi="Arial"/>
          <w:sz w:val="18"/>
          <w:szCs w:val="18"/>
          <w:b w:val="1"/>
          <w:bCs w:val="1"/>
          <w:i w:val="1"/>
          <w:iCs w:val="1"/>
          <w:color w:val="auto"/>
        </w:rPr>
        <w:t xml:space="preserve"> </w:t>
      </w:r>
      <w:r>
        <w:rPr>
          <w:rFonts w:ascii="Arial" w:cs="Arial" w:eastAsia="Arial" w:hAnsi="Arial"/>
          <w:sz w:val="17"/>
          <w:szCs w:val="17"/>
          <w:color w:val="auto"/>
        </w:rPr>
        <w:t>Ventagen Agreement provides Ventagen an exclusive license, with rights to grant sublicense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or the Licensed Products, for commercial sale and distribution within Mexico, Belize, Guatemala, Honduras, El Salvador, Costa Rica, Nicaragua, Panama, Colombia and Bolivia. Ventagen is 49.5% owned by certain of our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Restructuring</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In November 2023, our board of directors authorized a restructuring plan to focus on continuation and expansion of development of CAN-3110 as</w:t>
      </w:r>
    </w:p>
    <w:p>
      <w:pPr>
        <w:spacing w:after="0" w:line="20" w:lineRule="exact"/>
        <w:rPr>
          <w:sz w:val="20"/>
          <w:szCs w:val="20"/>
          <w:color w:val="auto"/>
        </w:rPr>
      </w:pPr>
    </w:p>
    <w:p>
      <w:pPr>
        <w:ind w:right="120"/>
        <w:spacing w:after="0" w:line="226" w:lineRule="auto"/>
        <w:rPr>
          <w:sz w:val="20"/>
          <w:szCs w:val="20"/>
          <w:color w:val="auto"/>
        </w:rPr>
      </w:pPr>
      <w:r>
        <w:rPr>
          <w:rFonts w:ascii="Arial" w:cs="Arial" w:eastAsia="Arial" w:hAnsi="Arial"/>
          <w:sz w:val="17"/>
          <w:szCs w:val="17"/>
          <w:color w:val="auto"/>
        </w:rPr>
        <w:t>well as the enLIGHTEN</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Discovery Platform, which resulted in a reduction of our workforce by approximately 45%. Each affected employee’s separation occurred in December 2023. As a result, we incurred costs of $0.7 million related to severance benefits for the affected employees, including severance payments and limited reimbursement of medical insurance premiums. The restructuring plan was completed in the first quarter of 2024 when the final severance payments of $46,000 were made.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8" w:lineRule="exact"/>
        <w:rPr>
          <w:sz w:val="20"/>
          <w:szCs w:val="20"/>
          <w:color w:val="auto"/>
        </w:rPr>
      </w:pPr>
    </w:p>
    <w:p>
      <w:pPr>
        <w:ind w:right="880"/>
        <w:spacing w:after="0" w:line="267"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sales of products in the foreseeable future.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consist primarily of costs incurred for our product development activities for our two primary drug candidates,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CAN-2409 and CAN-3110. We expense research and development costs as incurred. These include the following:</w:t>
      </w:r>
    </w:p>
    <w:p>
      <w:pPr>
        <w:spacing w:after="0" w:line="86" w:lineRule="exact"/>
        <w:rPr>
          <w:sz w:val="20"/>
          <w:szCs w:val="20"/>
          <w:color w:val="auto"/>
        </w:rPr>
      </w:pPr>
    </w:p>
    <w:p>
      <w:pPr>
        <w:ind w:left="1020" w:right="400" w:hanging="503"/>
        <w:spacing w:after="0" w:line="266" w:lineRule="auto"/>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employee-related costs, including salaries, benefits and stock-based compensation expense, for personnel engaged in research, development and clinical management functions;</w:t>
      </w:r>
    </w:p>
    <w:p>
      <w:pPr>
        <w:spacing w:after="0" w:line="51"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expenses incurred under agreements with third party clinical sites for the treatment and follow-up for patients enrolled in our clinical trials;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acquiring and manufacturing preclinical study materials, including manufacturing registration and validation batches;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payments made under third-party licensing agreements;</w:t>
      </w:r>
    </w:p>
    <w:p>
      <w:pPr>
        <w:spacing w:after="0" w:line="114"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costs incurred to develop the manufacturing process and capabilities for future clinical trials and commercialization. Our clinical trial material for use in our existing clinical trials was manufactured in prior years;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compliance with quality and regulatory requirements;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costs of outside consultants, primarily related to regulatory; and</w:t>
      </w:r>
    </w:p>
    <w:p>
      <w:pPr>
        <w:spacing w:after="0" w:line="114"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facility-related expenses, which include direct depreciation costs and expenses for rent and maintenance of facilities and insurance, and other operating costs if specifically identifiable to research and development activities.</w:t>
      </w:r>
    </w:p>
    <w:p>
      <w:pPr>
        <w:spacing w:after="0" w:line="5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expect that our research and development expenses will continue to increase substantially for the foreseeable future and will comprise a larger percentage of our total expenses as we complete our clinical trials and commence additional clinical trials, continue to discover and develop additional product candidates and develop and scale our manufacturing capabilities. Product candidates in later stages of clinical development generally have higher development costs than those in earlier stages of clinical development, primarily due to increased scale and duration of later stage clinical trials.</w:t>
      </w:r>
    </w:p>
    <w:p>
      <w:pPr>
        <w:spacing w:after="0" w:line="72"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We cannot determine with certainty the duration and costs of future clinical trials of CAN-2409 and CAN-3110 or any other product candidate we may develop or if, when, or to what extent we will generate revenue from the commercialization and sale of any product candidate for which we obtain marketing approval. At this time, we cannot accurately estimate or know the nature, timing and costs of the efforts that will be necessary to complete the clinical development of, or obtain regulatory approval for, any of our current or future product candidates. The duration, costs, and timing of clinical trials and development of CAN-2409 and CAN-3110 and any other product candidate we may develop will depend on a variety of factors, including:</w:t>
      </w:r>
    </w:p>
    <w:p>
      <w:pPr>
        <w:spacing w:after="0" w:line="7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rate of progress, expense and results of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our successful enrollment in and completion of clinical trials, including our ability to generate positive data from any such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add and retain key research and development personnel;</w:t>
      </w:r>
    </w:p>
    <w:p>
      <w:pPr>
        <w:spacing w:after="0" w:line="114" w:lineRule="exact"/>
        <w:rPr>
          <w:rFonts w:ascii="Times New Roman" w:cs="Times New Roman" w:eastAsia="Times New Roman" w:hAnsi="Times New Roman"/>
          <w:sz w:val="17"/>
          <w:szCs w:val="17"/>
          <w:color w:val="auto"/>
        </w:rPr>
      </w:pPr>
    </w:p>
    <w:p>
      <w:pPr>
        <w:ind w:left="1020" w:right="640" w:hanging="503"/>
        <w:spacing w:after="0" w:line="266"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the actual probability of success for our product candidates, including their safety and efficacy, early clinical data, competition, manufacturing capability, and commercial viability;</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and changing government regulation and regulatory guidance;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receipt of any marketing approvals;</w:t>
      </w:r>
    </w:p>
    <w:p>
      <w:pPr>
        <w:spacing w:after="0" w:line="114"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of the development efforts of parties with whom we may enter into collaboration agreements, and the terms and timing of any additional collaboration agreements, license or other arrangement, including the timing of any payments thereunder;</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enter into agreements with contract development and manufacturing organizations (CDMOs) for the development, clinical manufacture and commercial manufacture of our product candidates CAN-2409 and CAN-3110;</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manufacturing of our product candidates or to account for any future changes in our manufacturing plans;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commercialize our product candidates, if and when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raising additional funds necessary to complete clinical development of our product candidates;</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2" w:right="439" w:bottom="1440" w:gutter="0" w:footer="0" w:header="0"/>
        </w:sectPr>
      </w:pPr>
    </w:p>
    <w:bookmarkStart w:id="28" w:name="page29"/>
    <w:bookmarkEnd w:id="28"/>
    <w:p>
      <w:pPr>
        <w:ind w:left="1020" w:right="100" w:hanging="503"/>
        <w:spacing w:after="0" w:line="266" w:lineRule="auto"/>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third-party insurance coverage and adequate reimbursement for our product candidates, if and when approved;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the acceptance of our product candidates, if approved, by patients, the medical community and third-party payors;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effectively competing with other products if our product candidates are approved;</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49" w:lineRule="auto"/>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business interruptions to our operations, including the timing and enrollment of patients in our planned clinical trials, or to those of our manufacturers, suppliers, or other vendors resulting from any future public health crisis or ongoing geopolitical conflicts and related global economic sanctions;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maintain a continued acceptable safety profile for our therapies following approval;</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patents, trade secret and other intellectual property protection and regulatory exclusivity for our product candidates, both in the United States and internationally;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color w:val="auto"/>
        </w:rPr>
        <w:t>the expense of filing, prosecuting, defending and enforcing any patent claims and other intellectual property rights.</w:t>
      </w:r>
    </w:p>
    <w:p>
      <w:pPr>
        <w:spacing w:after="0" w:line="114"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significantly change the costs and timing associated with the development of that product candidate. We may never succeed in obtaining regulatory approval for any of our product candidates.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8"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including directors and officers insurance; travel expenses; and facility-related expenses, which include direct depreciation costs and expenses for rent and maintenance of facilities, and other operating costs that are not specifically attributable to research and development activities.</w:t>
      </w:r>
    </w:p>
    <w:p>
      <w:pPr>
        <w:spacing w:after="0" w:line="7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personnel headcount to support our continued clinical development and manufacturing activities and to meet the requirements of a public company. We expect to incur increased expenses associated with being a public company, including costs of accounting, audit, legal, regulatory, and tax-related services associated with maintaining compliance with exchange listing and Securities and Exchange Commission (SEC) requirements; director and officer insurance costs; and investor and public relations costs.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Grant income consists of amounts received under a grant from the Massachusetts Life Sciences Center.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consists of amounts earned on investment of cash equivalents.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consists of interest expense on our debt under our Loan Agreement with Silicon Valley Bank (SVB).</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9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connection with the November 13, 2018 issuance of Series B preferred stock we issued warrants to the purchasers of the Series B preferred stock, to purchase up to 7,344,968 shares of our common stock with an exercise price of $6.81 per share. We also issued a warrant to the NC Incorporated Ohio Trust, an irrevocable trust funded by us, to purchase 162,740 shares of our common stock, $0.01 par value, at an exercise price of $1.46 per share, subject to adjustments as specified in the warrant agreement (the NC Ohio Warrants). Certain of those warrants are recorded as a liability on our balance sheet. The warrants recorded as a liability are remeasured to their fair value at each reporting date with changes in the fair value recognized as a component of other income (expense), net in the condensed consolidated statements of operations and comprehensive loss. We will continue to recognize changes in the fair value of the warrants until they are exercised, expire or qualify for equity classification. The fair value of the warrants is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and the remaining contractual term of the warrants. Therefore, the fair value may not be appropriately captured by simple models.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 xml:space="preserve">Since </w:t>
      </w:r>
      <w:r>
        <w:rPr>
          <w:rFonts w:ascii="Arial" w:cs="Arial" w:eastAsia="Arial" w:hAnsi="Arial"/>
          <w:sz w:val="17"/>
          <w:szCs w:val="17"/>
          <w:color w:val="auto"/>
        </w:rPr>
        <w:t>our inception, we have generated cumulative federal and state net operating loss and research and development credit carryforwards for</w:t>
      </w:r>
      <w:r>
        <w:rPr>
          <w:rFonts w:ascii="Arial" w:cs="Arial" w:eastAsia="Arial" w:hAnsi="Arial"/>
          <w:sz w:val="18"/>
          <w:szCs w:val="18"/>
          <w:color w:val="auto"/>
        </w:rPr>
        <w:t xml:space="preserve"> </w:t>
      </w:r>
      <w:r>
        <w:rPr>
          <w:rFonts w:ascii="Arial" w:cs="Arial" w:eastAsia="Arial" w:hAnsi="Arial"/>
          <w:sz w:val="17"/>
          <w:szCs w:val="17"/>
          <w:color w:val="auto"/>
        </w:rPr>
        <w:t>which we have not recorded any net tax benefit due to uncertainty around utilizing these tax attributes within their respective carryforward periods.</w:t>
      </w:r>
    </w:p>
    <w:p>
      <w:pPr>
        <w:spacing w:after="0" w:line="6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As of December 31, 2023, we had federal net operating loss carryforwards (NOLs) of approximately $86.2 million and state NOLs of approximately $79.6 million which may be available to offset future taxable income. Our federal NOLs include $8.8 million available to reduce future taxable income through 2037 and approximately $77.4 million of NOLs that do not expire and are available to reduce future taxable income indefinitely. The state NOLs are available to offset future taxable income through 2033. As of December 31, 2023, we also had federal and state research and development tax credit carryforwards of $4.5 million and $2.2 million, respectively, which are available to offset federal and state tax liabilities through 2043 and 2038, respectively.</w:t>
      </w:r>
    </w:p>
    <w:p>
      <w:pPr>
        <w:spacing w:after="0" w:line="74"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Realization of future tax benefits is dependent on many factors, including our ability to generate taxable income within the NOL period. Our management has evaluated the positive and negative evidence bearing upon the realizability of our deferred tax assets, which are comprised principally of net operating loss carryforwards and certain tax credits. Management has considered our history of cumulative net losses incurred since inception, as well as our lack of product revenue since inception, and has determined that it is more likely than not that we will not realize the benefits of its deferred tax assets. As a result, a full valuation allowance has been established at March 31, 2024 and December 31, 2023.</w:t>
      </w:r>
    </w:p>
    <w:p>
      <w:pPr>
        <w:spacing w:after="0" w:line="7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NOL and tax credit carryforwards may become subject to an annual limitation in the event of certain cumulative changes in the ownership interest of significant stockholders over a three-year period in excess of 50%, as provided under Sections 382 and 383 of the Internal Revenue Code of 1986, as amended (the Code), as well as under similar state provisions. These ownership changes may limit the amount of NOLs that can be utilized annually to offset future taxable income. In general, an ownership change, as defined under Section 382 of the Code (Section 382), results from transactions increasing the ownership of certain stockholders or public groups in the stock of a corporation by more than 50% over a three-year period. We have completed several financings and not yet determined if such a limitation would be placed against our NOL. We will make such a determination prior to the utilization of any NOL.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w:t>
      </w:r>
      <w:r>
        <w:rPr>
          <w:rFonts w:ascii="Arial" w:cs="Arial" w:eastAsia="Arial" w:hAnsi="Arial"/>
          <w:sz w:val="17"/>
          <w:szCs w:val="17"/>
          <w:b w:val="1"/>
          <w:bCs w:val="1"/>
          <w:i w:val="1"/>
          <w:iCs w:val="1"/>
          <w:color w:val="auto"/>
        </w:rPr>
        <w:t>hree Months Ended March 31, 2024 and 2023</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three months ended March 31, 2024 and 2023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4,102</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5,469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(1,367 )</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3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3,800</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4,164</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23"/>
        </w:trPr>
        <w:tc>
          <w:tcPr>
            <w:tcW w:w="430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7,902</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9,633</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(1,731 )</w:t>
            </w: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(7,902 )</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(9,633 )</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Grant income</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2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(646 )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23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724</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(717 )</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(8,221 )</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(8,795 )</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360" w:type="dxa"/>
            <w:vAlign w:val="bottom"/>
            <w:vMerge w:val="restart"/>
          </w:tcPr>
          <w:p>
            <w:pPr>
              <w:jc w:val="right"/>
              <w:ind w:right="850"/>
              <w:spacing w:after="0"/>
              <w:rPr>
                <w:sz w:val="20"/>
                <w:szCs w:val="20"/>
                <w:color w:val="auto"/>
              </w:rPr>
            </w:pPr>
            <w:r>
              <w:rPr>
                <w:rFonts w:ascii="Arial" w:cs="Arial" w:eastAsia="Arial" w:hAnsi="Arial"/>
                <w:sz w:val="18"/>
                <w:szCs w:val="18"/>
                <w:color w:val="auto"/>
              </w:rPr>
              <w:t>23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3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3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-2116455</wp:posOffset>
            </wp:positionV>
            <wp:extent cx="939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-2116455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-1224915</wp:posOffset>
            </wp:positionV>
            <wp:extent cx="939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-1224915</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three months ended March 31, 2024 and 2023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244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5"/>
        </w:trPr>
        <w:tc>
          <w:tcPr>
            <w:tcW w:w="66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14"/>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(DECREASE)</w:t>
            </w: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Employee-related</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2,728</w:t>
            </w:r>
          </w:p>
        </w:tc>
        <w:tc>
          <w:tcPr>
            <w:tcW w:w="98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3,425</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(697 )</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Clinical development</w:t>
            </w:r>
          </w:p>
        </w:tc>
        <w:tc>
          <w:tcPr>
            <w:tcW w:w="8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1,361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(535 )</w:t>
            </w:r>
          </w:p>
        </w:tc>
      </w:tr>
      <w:tr>
        <w:trPr>
          <w:trHeight w:val="230"/>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of fixed assets</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Occupancy</w:t>
            </w:r>
          </w:p>
        </w:tc>
        <w:tc>
          <w:tcPr>
            <w:tcW w:w="8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Pre-clinical research</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Recruiting</w:t>
            </w:r>
          </w:p>
        </w:tc>
        <w:tc>
          <w:tcPr>
            <w:tcW w:w="8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29"/>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(12 )</w:t>
            </w:r>
          </w:p>
        </w:tc>
      </w:tr>
      <w:tr>
        <w:trPr>
          <w:trHeight w:val="223"/>
        </w:trPr>
        <w:tc>
          <w:tcPr>
            <w:tcW w:w="6640" w:type="dxa"/>
            <w:vAlign w:val="bottom"/>
          </w:tcPr>
          <w:p>
            <w:pPr>
              <w:spacing w:after="0"/>
              <w:rPr>
                <w:sz w:val="19"/>
                <w:szCs w:val="19"/>
                <w:color w:val="auto"/>
              </w:rPr>
            </w:pPr>
          </w:p>
        </w:tc>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4,102</w:t>
            </w:r>
          </w:p>
        </w:tc>
        <w:tc>
          <w:tcPr>
            <w:tcW w:w="98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5,469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(1,367 )</w:t>
            </w:r>
          </w:p>
        </w:tc>
      </w:tr>
      <w:tr>
        <w:trPr>
          <w:trHeight w:val="20"/>
        </w:trPr>
        <w:tc>
          <w:tcPr>
            <w:tcW w:w="6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-179070</wp:posOffset>
            </wp:positionV>
            <wp:extent cx="1028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-179070</wp:posOffset>
            </wp:positionV>
            <wp:extent cx="939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6"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Research and development expenses decreased $1.4 million from $5.5 million for the three months ended March 31, 2023 to $4.1 million for the three months ended March 31, 2024. The decrease was primarily attributable to a $0.7 million decrease in employee-related expenses due to the corporate restructuring in the fourth quarter of 2023 and a $0.5 million decrease in clinical development costs driven by decreased regulatory costs for CAN-2409 programs.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three months ended March 31, 2024 and 2023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244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5"/>
        </w:trPr>
        <w:tc>
          <w:tcPr>
            <w:tcW w:w="66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14"/>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(DECREASE)</w:t>
            </w: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Professional and consulting fees</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1,668</w:t>
            </w:r>
          </w:p>
        </w:tc>
        <w:tc>
          <w:tcPr>
            <w:tcW w:w="980" w:type="dxa"/>
            <w:vAlign w:val="bottom"/>
            <w:gridSpan w:val="2"/>
            <w:shd w:val="clear" w:color="auto" w:fill="CFF0FC"/>
          </w:tcPr>
          <w:p>
            <w:pPr>
              <w:jc w:val="right"/>
              <w:ind w:right="619"/>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1,166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502</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Employee-related</w:t>
            </w:r>
          </w:p>
        </w:tc>
        <w:tc>
          <w:tcPr>
            <w:tcW w:w="8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1,639</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2,254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(615 )</w:t>
            </w:r>
          </w:p>
        </w:tc>
      </w:tr>
      <w:tr>
        <w:trPr>
          <w:trHeight w:val="230"/>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(128 )</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Occupancy</w:t>
            </w:r>
          </w:p>
        </w:tc>
        <w:tc>
          <w:tcPr>
            <w:tcW w:w="8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w:t>
            </w:r>
          </w:p>
        </w:tc>
      </w:tr>
      <w:tr>
        <w:trPr>
          <w:trHeight w:val="230"/>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Recruiting</w:t>
            </w:r>
          </w:p>
        </w:tc>
        <w:tc>
          <w:tcPr>
            <w:tcW w:w="8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(84 )</w:t>
            </w:r>
          </w:p>
        </w:tc>
      </w:tr>
      <w:tr>
        <w:trPr>
          <w:trHeight w:val="263"/>
        </w:trPr>
        <w:tc>
          <w:tcPr>
            <w:tcW w:w="664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3,800</w:t>
            </w:r>
          </w:p>
        </w:tc>
        <w:tc>
          <w:tcPr>
            <w:tcW w:w="16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4,164</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6"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General and administrative expenses decreased $0.4 million from $4.2 million for the three months ended March 31, 2023 to $3.8 million for the three months ended March 31, 2024. The decrease was primarily attributable to a $0.6 million decrease in employee-related expenses due to the corporate restructuring in the fourth quarter of 2023 and a $0.1 million decrease in the cost of directors and officers insurance. These decreases were partially offset by a $0.5 million increase in professional and consulting fees.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Income</w:t>
      </w:r>
    </w:p>
    <w:p>
      <w:pPr>
        <w:spacing w:after="0" w:line="98"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Grant income was zero and $12,000 for the three months ended March 31, 2024 and 2023, respectively. Grant income for the three months ended March 31, 2023 relates to the recognition of income from a grant from the Massachusetts Life Sciences Center.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Interest income was $0.3 million for the three months ended March 31, 2024, compared to interest income of $0.7 million for the three months ended March 31, 2023, and represents earnings on our cash equivalents. The decrease in interest income is the result of interest being generated on a lower cash equivalents balance for the three months ended March 31, 2024 compared to the three months ended March 31,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Interest expense was $0.6 million for each of the three months ended March 31, 2024 and 2023, and represents interest expense on our outstanding debt obligations.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98"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The change in fair value of our warrant liability was a decrease of $7,000 for the three months ended March 31, 2024, compared to a decrease of $0.7 million for the three months ended March 31, 2023. The change in fair value of the warrant liability is primarily driven by changes in the underlying value of our stock price.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We expect to continue to incur significant expenses and operating losses for the foreseeable future as we advance the clinical development of our product candidates. We expect that our research and development and general and administrative costs will continue to increase significantly, including in connection with conducting clinical trials for our product candidates, developing our manufacturing capabilities which may include the cost of establishing a relationship with contract manufacturers to support commercial launch of our product candidate CAN-2409 and costs associated with equipping our laboratory and manufacturing facility to support clinical trials and commercialization and providing general and administrative support for our operations, including the cost associated with operating as a public company. As a result, we will need additional capital to fund our operations, which we may obtain from additional equity or debt financings, collaborations, licensing arrangements or other sources. Based on current plans and assumptions, we expect that our existing cash and cash equivalents will be sufficient to fund our current operating plan into the fourth quarter of 2024.</w:t>
      </w:r>
    </w:p>
    <w:p>
      <w:pPr>
        <w:spacing w:after="0" w:line="7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do not currently have any approved products and have never generated any revenue from product sales. We have financed our operations primarily through proceeds from government grants and proceeds from the sale of convertible notes, common stock, and our convertible preferred stock. As of March 31, 2024, we have raised approximately $161.2 million, including $15.6 million of government grants, $66.1 million from the sale of convertible preferred stock, and $79.5 million from the sale of our common stock. Our cash and cash equivalents totaled $25.7 million as of March 31, 2024. We had $19.7 million of debt as of March 31, 2024. As of March 31, 2024, we have raised $0.2 million under our ATM Program (as defined below). We did not raise any additional funds under our ATM Program subsequent to March 31, 2024.</w:t>
      </w:r>
    </w:p>
    <w:p>
      <w:pPr>
        <w:spacing w:after="0" w:line="74" w:lineRule="exact"/>
        <w:rPr>
          <w:sz w:val="20"/>
          <w:szCs w:val="20"/>
          <w:color w:val="auto"/>
        </w:rPr>
      </w:pPr>
    </w:p>
    <w:p>
      <w:pPr>
        <w:ind w:right="320"/>
        <w:spacing w:after="0" w:line="237" w:lineRule="auto"/>
        <w:rPr>
          <w:sz w:val="20"/>
          <w:szCs w:val="20"/>
          <w:color w:val="auto"/>
        </w:rPr>
      </w:pPr>
      <w:r>
        <w:rPr>
          <w:rFonts w:ascii="Arial" w:cs="Arial" w:eastAsia="Arial" w:hAnsi="Arial"/>
          <w:sz w:val="17"/>
          <w:szCs w:val="17"/>
          <w:color w:val="auto"/>
        </w:rPr>
        <w:t>On February 24, 2022, we entered into a loan and security agreement Loan Agreement with SVB pursuant to which SVB agreed to provide term loans to us in an aggregate principal amount of $20.0 million. We borrowed $20.0 million upon entering into the Loan Agreement. We could have borrowed up to an additional aggregate principal amount not to exceed $5.0 million, at any time on or prior to December 31, 2022, upon the achievement of all of the following milestones, inclusively: (a) positive phase 2 clinical activity data from our CAN-2409 NSCLC clinical trial, (b) dosing of our first patient in our phase 3 CAN-2409 high-grade glioma clinical trial; and (c) receipt on or prior to December 31, 2022, of net cash proceeds in an amount equal to at least $75.0 million from the issuance and sale of equity securities to investors acceptable to SVB. We did not borrow any of the additional aggregate principal amount on or prior to December 31, 2022. The term loans are secured by substantially all of our properties, rights and assets, except for our intellectual property, which is subject to a negative pledge under the Loan Agreement.</w:t>
      </w:r>
    </w:p>
    <w:p>
      <w:pPr>
        <w:spacing w:after="0" w:line="7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We are required to make monthly interest payments, and commencing on February 1, 2024, 24 consecutive installments of principal plus monthly payments of accrued interest. The term loans mature on January 1, 2026. Upon repayment in full of the term loans, we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prepayment.</w:t>
      </w:r>
    </w:p>
    <w:p>
      <w:pPr>
        <w:spacing w:after="0" w:line="74"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On August 5, 2022, we filed a shelf registration statement on Form S-3 (as amended,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May 6, 2024, we have sold and issued 109,485 shares of common stock under the ATM Program, with total net proceeds of $0.2 million.</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As of March 31, 2024, we had an accumulated deficit of $145.2 million and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and contract manufacturing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will require substantial additional financing to fund our operations and to continue to execute our strategy, and we will pursue a range of options to secure additional capital.</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2" w:name="page33"/>
    <w:bookmarkEnd w:id="32"/>
    <w:p>
      <w:pPr>
        <w:ind w:right="120"/>
        <w:spacing w:after="0" w:line="241"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it would have a negative impact on our financial condition and we could be forced to delay, reduce or eliminate our research, clinical trials, product development or future commercialization efforts.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sources and uses of cash for the periods presented (in thousands):</w:t>
      </w:r>
    </w:p>
    <w:p>
      <w:pPr>
        <w:spacing w:after="0" w:line="222"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2023</w:t>
            </w: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(8,438 )</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(10,819 )</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19</w:t>
            </w:r>
          </w:p>
        </w:tc>
      </w:tr>
      <w:tr>
        <w:trPr>
          <w:trHeight w:val="22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(1,255 )</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(9,700 )</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(10,800 )</w:t>
            </w:r>
          </w:p>
        </w:tc>
      </w:tr>
      <w:tr>
        <w:trPr>
          <w:trHeight w:val="20"/>
        </w:trPr>
        <w:tc>
          <w:tcPr>
            <w:tcW w:w="7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-179705</wp:posOffset>
            </wp:positionV>
            <wp:extent cx="1111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three months ended March 31, 2024 and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8"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Net cash used in operating activities for the three months ended March 31, 2024 was $8.4 million, primarily consisting of a net loss of $8.2 million as we incurred expenses associated with our clinical programs and incurred costs associated with operating as a public company. We had non-cash charges of $1.5 million in non-cash charges primarily related to non-cash stock compensation and depreciation expense. Net cash used in operating activities was also impacted by $1.7 million in changes in operating assets and liabilities, primarily driven by a decrease of $1.6 million in accrued expenses.</w:t>
      </w:r>
    </w:p>
    <w:p>
      <w:pPr>
        <w:spacing w:after="0" w:line="7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Net cash used in operating activities for the three months ended March 31, 2023 was $10.8 million, primarily consisting of a net loss of $8.8 million as we incurred expenses associated with our clinical programs, increased our headcount and incurred costs associated with operating as a public company. In addition, we had non-cash income of $0.7 million as a result of the change in the fair value of our warrant liability. Non-cash income was partially offset by $1.2 million in non-cash charges primarily related to non-cash stock compensation and depreciation expense. Net cash used in operating activities was also impacted by $2.5 million in changes in operating assets and liabilities, primarily driven by a decrease of $1.8 million in accrued expenses and a $0.7 million increase to prepaid expenses and other current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for the three months ended March 31, 2024 was $7,000 and consisted of the purchase of fixed assets.</w:t>
      </w:r>
    </w:p>
    <w:p>
      <w:pPr>
        <w:spacing w:after="0" w:line="102"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Net cash provided by investing activities for the three months ended March 31, 2023 was $19,000 and consisted of proceeds from the sale of fixed assets, which was partially offset by the purchase of fixed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8"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Net cash used in financing activities for the three months ended March 31, 2024 was $1.3 million and consisted of $1.7 million of principal payments on our term loan with SVB, partially offset by $0.2 million of proceeds from option exercises and $0.2 million of net proceeds from the issuance of common stock under our ATM Program.</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financing activities for the three months ended March 31, 2023.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7"/>
          <w:szCs w:val="17"/>
          <w:color w:val="auto"/>
        </w:rPr>
        <w:t>expect our operating expenses to increase substantially in the future in connection with our ongoing activities, particularly as we advance CAN-2409 and CAN-3110 through research and development, clinical trials, and develop our manufacturing capabilities, as we research and develop additional product candidates including preclinical activities and as we prepare for marketing approval and commercialization. We also expect to incur additional costs associated with operating as a public company.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costs and expenses will increase as we:</w:t>
      </w:r>
    </w:p>
    <w:p>
      <w:pPr>
        <w:spacing w:after="0" w:line="102" w:lineRule="exact"/>
        <w:rPr>
          <w:sz w:val="20"/>
          <w:szCs w:val="20"/>
          <w:color w:val="auto"/>
        </w:rPr>
      </w:pPr>
    </w:p>
    <w:p>
      <w:pPr>
        <w:ind w:left="5520" w:right="5440" w:hanging="5003"/>
        <w:spacing w:after="0" w:line="852" w:lineRule="auto"/>
        <w:tabs>
          <w:tab w:leader="none" w:pos="1022"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advance the clinical development of CAN-2409 and CAN-3110;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3" w:name="page34"/>
    <w:bookmarkEnd w:id="33"/>
    <w:p>
      <w:pPr>
        <w:ind w:left="1020" w:right="240" w:hanging="503"/>
        <w:spacing w:after="0" w:line="249"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develop our manufacturing capabilities, including through relationships with contract manufacturers for commercial manufacturing of our product candidate CAN-2409 and the development, construction and qualification of our clinical manufacturing capabilities, internally or through CDMOs for our product candidate CAN-3110;</w:t>
      </w:r>
    </w:p>
    <w:p>
      <w:pPr>
        <w:spacing w:after="0" w:line="65"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pursue the preclinical and clinical development of other product candidates using our enLIGHTEN™ Discovery Platform, an HSV-based platform; and</w:t>
      </w:r>
    </w:p>
    <w:p>
      <w:pPr>
        <w:spacing w:after="0" w:line="51"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expand our operational, financial, and management systems and increase personnel, including personnel to support our operations as a public company.</w:t>
      </w:r>
    </w:p>
    <w:p>
      <w:pPr>
        <w:spacing w:after="0" w:line="52"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We believe that our existing cash and cash equivalents as of March 31, 2024, will enable us to fund our operating expenses and capital expense requirements into the fourth quarter of 2024. We have based this estimate on assumptions that may prove to be incorrect, and we could utilize our available capital resources sooner than we currently expect.</w:t>
      </w:r>
    </w:p>
    <w:p>
      <w:pPr>
        <w:spacing w:after="0" w:line="67"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Because of the numerous risks and uncertainties associated with the research, development, and commercialization of therapeutics, it is difficult to estimate with certainty the amount of our working capital requirements. Our future funding requirements will depend on many factors, including:</w:t>
      </w:r>
    </w:p>
    <w:p>
      <w:pPr>
        <w:spacing w:after="0" w:line="51"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clinical development and clinical trials for CAN-2409 and CAN-3110;</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additional research and preclinical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114" w:lineRule="exact"/>
        <w:rPr>
          <w:rFonts w:ascii="Times New Roman" w:cs="Times New Roman" w:eastAsia="Times New Roman" w:hAnsi="Times New Roman"/>
          <w:sz w:val="17"/>
          <w:szCs w:val="17"/>
          <w:color w:val="auto"/>
        </w:rPr>
      </w:pPr>
    </w:p>
    <w:p>
      <w:pPr>
        <w:ind w:left="1020" w:right="840" w:hanging="503"/>
        <w:spacing w:after="0" w:line="266"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outcome, timing and cost of meeting regulatory requirements established by the FDA and comparable foreign regulatory authorities, if applicable, for our product candidates;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internal and external process development for our manufacturing capabilities;</w:t>
      </w:r>
    </w:p>
    <w:p>
      <w:pPr>
        <w:spacing w:after="0" w:line="114" w:lineRule="exact"/>
        <w:rPr>
          <w:rFonts w:ascii="Times New Roman" w:cs="Times New Roman" w:eastAsia="Times New Roman" w:hAnsi="Times New Roman"/>
          <w:sz w:val="17"/>
          <w:szCs w:val="17"/>
          <w:color w:val="auto"/>
        </w:rPr>
      </w:pPr>
    </w:p>
    <w:p>
      <w:pPr>
        <w:ind w:left="1020" w:right="980" w:hanging="503"/>
        <w:spacing w:after="0" w:line="266"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any product candidates that we may derive from our HSV-based platform or with collaborators;</w:t>
      </w:r>
    </w:p>
    <w:p>
      <w:pPr>
        <w:spacing w:after="0" w:line="51" w:lineRule="exact"/>
        <w:rPr>
          <w:rFonts w:ascii="Times New Roman" w:cs="Times New Roman" w:eastAsia="Times New Roman" w:hAnsi="Times New Roman"/>
          <w:sz w:val="17"/>
          <w:szCs w:val="17"/>
          <w:color w:val="auto"/>
        </w:rPr>
      </w:pPr>
    </w:p>
    <w:p>
      <w:pPr>
        <w:ind w:left="1020" w:right="240" w:hanging="503"/>
        <w:spacing w:after="0" w:line="249"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obtaining, maintaining and enforcing our intellectual property rights and defending intellectual property-related claims; hire additional personnel in research, manufacturing, and regulatory and clinical development, as well as management personnel;</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in-license or acquire rights to other products, product candidates, or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additions or departures of key scientific or management personnel;</w:t>
      </w:r>
    </w:p>
    <w:p>
      <w:pPr>
        <w:spacing w:after="0" w:line="114"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51"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amount of revenue, if any, received from commercial sales of our product candidates, should any of our product candidates receive marketing approval;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operating as a public company.</w:t>
      </w:r>
    </w:p>
    <w:p>
      <w:pPr>
        <w:spacing w:after="0" w:line="11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Until such time as we can generate significant revenue from product sales, if ever, we expect to finance our cash needs through a combination of public or private equity or debt financings and other sources, which may include collaborations strategic alliances and licensing arrangements with third parties.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could adversely affect your rights as a common stockholder. Debt financing and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to those restrictive covenants contained in the Loan Agreement. If we raise additional funds through other sources, such as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Our primary contractual obligations are our facility lease, the Loan Agreement with SVB, and the Periphagen Note. The table below summarizes the contractual obligations that will become due as of March 31, 2024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4"/>
          </w:tcPr>
          <w:p>
            <w:pPr>
              <w:jc w:val="right"/>
              <w:ind w:right="796"/>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2"/>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79"/>
              <w:spacing w:after="0"/>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76"/>
              <w:spacing w:after="0"/>
              <w:rPr>
                <w:sz w:val="20"/>
                <w:szCs w:val="20"/>
                <w:color w:val="auto"/>
              </w:rPr>
            </w:pPr>
            <w:r>
              <w:rPr>
                <w:rFonts w:ascii="Arial" w:cs="Arial" w:eastAsia="Arial" w:hAnsi="Arial"/>
                <w:sz w:val="14"/>
                <w:szCs w:val="14"/>
                <w:b w:val="1"/>
                <w:bCs w:val="1"/>
                <w:color w:val="auto"/>
              </w:rPr>
              <w:t>1 TO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76"/>
              <w:spacing w:after="0"/>
              <w:rPr>
                <w:sz w:val="20"/>
                <w:szCs w:val="20"/>
                <w:color w:val="auto"/>
              </w:rPr>
            </w:pPr>
            <w:r>
              <w:rPr>
                <w:rFonts w:ascii="Arial" w:cs="Arial" w:eastAsia="Arial" w:hAnsi="Arial"/>
                <w:sz w:val="14"/>
                <w:szCs w:val="14"/>
                <w:b w:val="1"/>
                <w:bCs w:val="1"/>
                <w:color w:val="auto"/>
              </w:rPr>
              <w:t>3 TO 5</w:t>
            </w:r>
          </w:p>
        </w:tc>
      </w:tr>
      <w:tr>
        <w:trPr>
          <w:trHeight w:val="185"/>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YEARS</w:t>
            </w:r>
          </w:p>
        </w:tc>
      </w:tr>
      <w:tr>
        <w:trPr>
          <w:trHeight w:val="223"/>
        </w:trPr>
        <w:tc>
          <w:tcPr>
            <w:tcW w:w="5820" w:type="dxa"/>
            <w:vAlign w:val="bottom"/>
            <w:shd w:val="clear" w:color="auto" w:fill="CFF0FC"/>
          </w:tcPr>
          <w:p>
            <w:pPr>
              <w:ind w:left="20"/>
              <w:spacing w:after="0" w:line="222" w:lineRule="exact"/>
              <w:rPr>
                <w:sz w:val="20"/>
                <w:szCs w:val="20"/>
                <w:color w:val="auto"/>
              </w:rPr>
            </w:pPr>
            <w:r>
              <w:rPr>
                <w:rFonts w:ascii="Arial" w:cs="Arial" w:eastAsia="Arial" w:hAnsi="Arial"/>
                <w:sz w:val="18"/>
                <w:szCs w:val="18"/>
                <w:color w:val="auto"/>
              </w:rPr>
              <w:t xml:space="preserve">Operating lease obligation </w:t>
            </w:r>
            <w:r>
              <w:rPr>
                <w:rFonts w:ascii="Arial" w:cs="Arial" w:eastAsia="Arial" w:hAnsi="Arial"/>
                <w:sz w:val="24"/>
                <w:szCs w:val="24"/>
                <w:color w:val="auto"/>
                <w:vertAlign w:val="superscript"/>
              </w:rPr>
              <w:t>(1)</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1,478</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602</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876</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Loan Agreement with SVB </w:t>
            </w:r>
            <w:r>
              <w:rPr>
                <w:rFonts w:ascii="Arial" w:cs="Arial" w:eastAsia="Arial" w:hAnsi="Arial"/>
                <w:sz w:val="22"/>
                <w:szCs w:val="22"/>
                <w:color w:val="auto"/>
                <w:vertAlign w:val="superscript"/>
              </w:rPr>
              <w:t>(2)</w:t>
            </w:r>
          </w:p>
        </w:tc>
        <w:tc>
          <w:tcPr>
            <w:tcW w:w="24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21,199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11,537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9,662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18"/>
                <w:szCs w:val="18"/>
                <w:color w:val="auto"/>
              </w:rPr>
              <w:t xml:space="preserve">Periphagen Note </w:t>
            </w:r>
            <w:r>
              <w:rPr>
                <w:rFonts w:ascii="Arial" w:cs="Arial" w:eastAsia="Arial" w:hAnsi="Arial"/>
                <w:sz w:val="22"/>
                <w:szCs w:val="22"/>
                <w:color w:val="auto"/>
                <w:vertAlign w:val="superscript"/>
              </w:rPr>
              <w:t>(3)</w:t>
            </w: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1,352</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1,352</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24,029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12,139</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10,538</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1,352</w:t>
            </w: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-179070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-179070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-179070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0" w:lineRule="exact"/>
        <w:rPr>
          <w:sz w:val="20"/>
          <w:szCs w:val="20"/>
          <w:color w:val="auto"/>
        </w:rPr>
      </w:pPr>
    </w:p>
    <w:p>
      <w:pPr>
        <w:ind w:left="380" w:right="120" w:hanging="372"/>
        <w:spacing w:after="0" w:line="205" w:lineRule="auto"/>
        <w:tabs>
          <w:tab w:leader="none" w:pos="38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Represents future minimum lease payments under our operating lease for office and laboratory space at our Needham, Massachusetts facility. Our facility lease extends to August of 2026.</w:t>
      </w:r>
    </w:p>
    <w:p>
      <w:pPr>
        <w:spacing w:after="0" w:line="1" w:lineRule="exact"/>
        <w:rPr>
          <w:rFonts w:ascii="Arial" w:cs="Arial" w:eastAsia="Arial" w:hAnsi="Arial"/>
          <w:sz w:val="23"/>
          <w:szCs w:val="23"/>
          <w:color w:val="auto"/>
          <w:vertAlign w:val="superscript"/>
        </w:rPr>
      </w:pPr>
    </w:p>
    <w:p>
      <w:pPr>
        <w:ind w:left="380" w:hanging="372"/>
        <w:spacing w:after="0" w:line="187" w:lineRule="auto"/>
        <w:tabs>
          <w:tab w:leader="none" w:pos="3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Represents future principal, interest payments, and the final payment fee on our Loan Agreement with SVB, which matures on January 1, 2026.</w:t>
      </w:r>
    </w:p>
    <w:p>
      <w:pPr>
        <w:ind w:left="380" w:right="820" w:hanging="372"/>
        <w:spacing w:after="0" w:line="207" w:lineRule="auto"/>
        <w:tabs>
          <w:tab w:leader="none" w:pos="38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Represents a $1.0 million promissory note plus interest under the terms of our asset purchase agreements with Periphagen, Inc. The promissory note is due upon maturity in November 2027.</w:t>
      </w:r>
    </w:p>
    <w:p>
      <w:pPr>
        <w:spacing w:after="0" w:line="73" w:lineRule="exact"/>
        <w:rPr>
          <w:sz w:val="20"/>
          <w:szCs w:val="20"/>
          <w:color w:val="auto"/>
        </w:rPr>
      </w:pPr>
    </w:p>
    <w:p>
      <w:pPr>
        <w:ind w:right="720"/>
        <w:spacing w:after="0" w:line="267" w:lineRule="auto"/>
        <w:rPr>
          <w:sz w:val="20"/>
          <w:szCs w:val="20"/>
          <w:color w:val="auto"/>
        </w:rPr>
      </w:pPr>
      <w:r>
        <w:rPr>
          <w:rFonts w:ascii="Arial" w:cs="Arial" w:eastAsia="Arial" w:hAnsi="Arial"/>
          <w:sz w:val="17"/>
          <w:szCs w:val="17"/>
          <w:color w:val="auto"/>
        </w:rPr>
        <w:t>See our condensed consolidated financial statements and related footnotes elsewhere in this Form 10-Q for additional information on these agreements.</w:t>
      </w:r>
    </w:p>
    <w:p>
      <w:pPr>
        <w:spacing w:after="0" w:line="5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We also enter into contracts in the normal course of business with hospitals, clinics, universities, and other third parties for clinical trials and testing and with construction contractors and process developers for the construction of our manufacturing facility. These contracts do not contain minimum purchase commitments and are cancelable by us upon prior written notice. Payments due upon cancelation consist only of payments for services provided or expenses incurred, including noncancelable obligations of our service providers, up to the date of cancelation. These payments are not included in the table above as the amount and timing of such payments are not known.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7"/>
          <w:szCs w:val="17"/>
          <w:color w:val="auto"/>
        </w:rPr>
        <w:t>management’s discussion and analysis of financial condition and results of operations is based on our financial statements, which have been</w:t>
      </w:r>
      <w:r>
        <w:rPr>
          <w:rFonts w:ascii="Arial" w:cs="Arial" w:eastAsia="Arial" w:hAnsi="Arial"/>
          <w:sz w:val="18"/>
          <w:szCs w:val="18"/>
          <w:color w:val="auto"/>
        </w:rPr>
        <w:t xml:space="preserve"> </w:t>
      </w:r>
      <w:r>
        <w:rPr>
          <w:rFonts w:ascii="Arial" w:cs="Arial" w:eastAsia="Arial" w:hAnsi="Arial"/>
          <w:sz w:val="17"/>
          <w:szCs w:val="17"/>
          <w:color w:val="auto"/>
        </w:rPr>
        <w:t>prepared in accordance with U.S. generally accepted accounting principles (GAAP). The preparation of our condensed consolidated financial statements and related disclosures requires us to make estimates and assumptions that affect the reported amounts of assets and liabilities, costs and expenses, and the disclosure of contingent assets and liabilities in our financial statements.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materially differ from these estimates under different assumptions or conditions.</w:t>
      </w:r>
    </w:p>
    <w:p>
      <w:pPr>
        <w:spacing w:after="0" w:line="74"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During the three months ended March 31, 2024, there were no material changes to our critical accounting estimates as reported in our Annual Report on Form 10-K for the year ended December 31, 2023. For a full discussion of these estimates, see “</w:t>
      </w:r>
      <w:r>
        <w:rPr>
          <w:rFonts w:ascii="Arial" w:cs="Arial" w:eastAsia="Arial" w:hAnsi="Arial"/>
          <w:sz w:val="17"/>
          <w:szCs w:val="17"/>
          <w:i w:val="1"/>
          <w:iCs w:val="1"/>
          <w:color w:val="auto"/>
        </w:rPr>
        <w:t>Critical Accounting Estimates</w:t>
      </w:r>
      <w:r>
        <w:rPr>
          <w:rFonts w:ascii="Arial" w:cs="Arial" w:eastAsia="Arial" w:hAnsi="Arial"/>
          <w:sz w:val="17"/>
          <w:szCs w:val="17"/>
          <w:color w:val="auto"/>
        </w:rPr>
        <w:t>” within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 our Annual Report on Form 10-K for the year ended December 31, 2023.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 xml:space="preserve">A </w:t>
      </w:r>
      <w:r>
        <w:rPr>
          <w:rFonts w:ascii="Arial" w:cs="Arial" w:eastAsia="Arial" w:hAnsi="Arial"/>
          <w:sz w:val="17"/>
          <w:szCs w:val="17"/>
          <w:color w:val="auto"/>
        </w:rPr>
        <w:t>description of recent accounting pronouncements that may potentially impact our financial position, results of operations, or cash flows is</w:t>
      </w:r>
      <w:r>
        <w:rPr>
          <w:rFonts w:ascii="Arial" w:cs="Arial" w:eastAsia="Arial" w:hAnsi="Arial"/>
          <w:sz w:val="18"/>
          <w:szCs w:val="18"/>
          <w:color w:val="auto"/>
        </w:rPr>
        <w:t xml:space="preserve"> </w:t>
      </w:r>
      <w:r>
        <w:rPr>
          <w:rFonts w:ascii="Arial" w:cs="Arial" w:eastAsia="Arial" w:hAnsi="Arial"/>
          <w:sz w:val="17"/>
          <w:szCs w:val="17"/>
          <w:color w:val="auto"/>
        </w:rPr>
        <w:t>disclosed in Note 2 to our condensed consolidated financial statements included elsewhere in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In April 2012, the Jumpstart Our Business Startups Act of 2012 (the JOBS Act) was enacted. Section 107 of the JOBS Act provides that an “emerging growth company,” or an EGC, can take advantage of the extended transition period provided in Section 7(a)(2)(B) of the Securities Act of 1933, as amended (the Securities Act) for complying with new or revised accounting standards. Thus, an EGC can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7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 $1.235 billion in annual revenue; (2) the date we qualify as a “large accelerated filer,” with at least $700.0 million 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spacing w:after="0" w:line="267" w:lineRule="auto"/>
        <w:rPr>
          <w:sz w:val="20"/>
          <w:szCs w:val="20"/>
          <w:color w:val="auto"/>
        </w:rPr>
      </w:pPr>
      <w:r>
        <w:rPr>
          <w:rFonts w:ascii="Arial" w:cs="Arial" w:eastAsia="Arial" w:hAnsi="Arial"/>
          <w:sz w:val="17"/>
          <w:szCs w:val="17"/>
          <w:color w:val="auto"/>
        </w:rPr>
        <w:t>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6" w:right="3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We are a smaller reporting company as defined by Rule 12b-2 of the Securities Exchange Act of 1934, as amended, and are not required to provide the information under this item.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00"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and Exchange Act of 1934, as amended). 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7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Our management, with the participation of our Chief Executive Officer and Interim Chief Financial Officer (our principal executive officer and principal financial officer, respectively), evaluated the effectiveness of our disclosure controls and procedures as of March 31, 2024. Based on the evaluation of our disclosure controls and procedures as of March 31, 2024, our Chief Executive Officer and Interim Chief Financial Officer concluded that, as of such date, our disclosure controls and procedures were effective at the reasonable assurance level.</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From </w:t>
      </w:r>
      <w:r>
        <w:rPr>
          <w:rFonts w:ascii="Arial" w:cs="Arial" w:eastAsia="Arial" w:hAnsi="Arial"/>
          <w:sz w:val="17"/>
          <w:szCs w:val="17"/>
          <w:color w:val="auto"/>
        </w:rPr>
        <w:t>time to time, we may become involved in litigation or other legal proceedings.</w:t>
      </w:r>
    </w:p>
    <w:p>
      <w:pPr>
        <w:spacing w:after="0" w:line="100"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r>
        <w:rPr>
          <w:rFonts w:ascii="Arial" w:cs="Arial" w:eastAsia="Arial" w:hAnsi="Arial"/>
          <w:sz w:val="21"/>
          <w:szCs w:val="21"/>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Financial Position and Capital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biopharmaceutical company with a limited operating history and have not generated any revenue to date from product sales.</w:t>
      </w:r>
    </w:p>
    <w:p>
      <w:pPr>
        <w:spacing w:after="0" w:line="10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We were incorporated under the laws of the State of Delaware in June 2003. Since inception, we have focused substantially all of our efforts and financial resources on raising capital and developing our initial product candidates. To date, we have financed our operations primarily through the issuance and sale of our convertible preferred stock to outside investors in private equity financings and from the proceeds of the sale of our common stock. From our inception through March 31, 2024, we raised an aggregate of $145.6 million of gross proceeds from such transactions. In addition, in February 2022, we borrowed $20.0 million under the Loan Agreement with SVB. As of March 31, 2024, our cash and cash equivalents were $25.7 million. We have incurred net losses in each year since our inception, and we had an accumulated deficit of $145.2 million as of March 31, 2024. For the three months ended March 31, 2024 and 2023, we reported net losses of $8.2 million and $8.8 million, respectively. We have no products approved for commercial sale and therefore have never generated any revenue from product sales, and we do not expect to do so in the foreseeable future. We have not obtained regulatory approvals for any of our product candidates, and even if our clinical development efforts result in positive data, our product candidates may not receive regulatory approval or be successfully introduced and marketed at prices that would permit us to operate profitably.</w:t>
      </w:r>
    </w:p>
    <w:p>
      <w:pPr>
        <w:spacing w:after="0" w:line="226"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We expect to continue to incur significant expenses and operating losses over the next several years and for the foreseeable future. Our prior losses, combined with expected future losses, have had and will continue to have an adverse effect on our stockholders’ equity and working capital.</w:t>
      </w:r>
    </w:p>
    <w:p>
      <w:pPr>
        <w:spacing w:after="0" w:line="51" w:lineRule="exact"/>
        <w:rPr>
          <w:sz w:val="20"/>
          <w:szCs w:val="20"/>
          <w:color w:val="auto"/>
        </w:rPr>
      </w:pPr>
    </w:p>
    <w:p>
      <w:pPr>
        <w:ind w:right="260"/>
        <w:spacing w:after="0" w:line="280" w:lineRule="auto"/>
        <w:rPr>
          <w:sz w:val="20"/>
          <w:szCs w:val="20"/>
          <w:color w:val="auto"/>
        </w:rPr>
      </w:pPr>
      <w:r>
        <w:rPr>
          <w:rFonts w:ascii="Arial" w:cs="Arial" w:eastAsia="Arial" w:hAnsi="Arial"/>
          <w:sz w:val="17"/>
          <w:szCs w:val="17"/>
          <w:b w:val="1"/>
          <w:bCs w:val="1"/>
          <w:i w:val="1"/>
          <w:iCs w:val="1"/>
          <w:color w:val="auto"/>
        </w:rPr>
        <w:t>We have incurred significant operating losses since our inception and anticipate that we will incur continued losses for the foreseeable future.</w:t>
      </w:r>
    </w:p>
    <w:p>
      <w:pPr>
        <w:spacing w:after="0" w:line="30"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the commencement and continuation of clinical trials of our product candidates. In addition, if we obtain marketing approval for our product candidates, we will incur significant sales, marketing and manufacturing expenses. We are incurring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6" w:lineRule="exact"/>
        <w:rPr>
          <w:sz w:val="20"/>
          <w:szCs w:val="20"/>
          <w:color w:val="auto"/>
        </w:rPr>
      </w:pPr>
    </w:p>
    <w:p>
      <w:pPr>
        <w:ind w:right="700"/>
        <w:spacing w:after="0" w:line="267" w:lineRule="auto"/>
        <w:rPr>
          <w:sz w:val="20"/>
          <w:szCs w:val="20"/>
          <w:color w:val="auto"/>
        </w:rPr>
      </w:pPr>
      <w:r>
        <w:rPr>
          <w:rFonts w:ascii="Arial" w:cs="Arial" w:eastAsia="Arial" w:hAnsi="Arial"/>
          <w:sz w:val="17"/>
          <w:szCs w:val="17"/>
          <w:color w:val="auto"/>
        </w:rPr>
        <w:t>The amount of our future losses is uncertain, and our quarterly and annual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left="1020" w:right="20" w:hanging="503"/>
        <w:spacing w:after="0" w:line="266"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Our quarterly and annual operating results may fluctuate significantly in the future due to a variety of factors, many of which are outside of our control and may be difficult to predict, including the following: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8" w:name="page39"/>
    <w:bookmarkEnd w:id="38"/>
    <w:p>
      <w:pPr>
        <w:ind w:left="1020" w:right="260" w:hanging="503"/>
        <w:spacing w:after="0" w:line="266"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enroll and retain subjects for clinical trials, and any delays caused by difficulties in such efforts;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changing and volatile U.S. and global economic environments, including as a result of any future public health crisis;</w:t>
      </w:r>
    </w:p>
    <w:p>
      <w:pPr>
        <w:spacing w:after="0" w:line="114"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cost of, and level of investment in, research and development activities relating to our product candidates, which may change from time to time;</w:t>
      </w:r>
    </w:p>
    <w:p>
      <w:pPr>
        <w:spacing w:after="0" w:line="51" w:lineRule="exact"/>
        <w:rPr>
          <w:rFonts w:ascii="Times New Roman" w:cs="Times New Roman" w:eastAsia="Times New Roman" w:hAnsi="Times New Roman"/>
          <w:sz w:val="17"/>
          <w:szCs w:val="17"/>
          <w:color w:val="auto"/>
        </w:rPr>
      </w:pPr>
    </w:p>
    <w:p>
      <w:pPr>
        <w:ind w:left="1020" w:right="280" w:hanging="503"/>
        <w:spacing w:after="0" w:line="249"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manufacturing our product candidates, which may vary depending on the quantity of production, and the success of achieving clinical-scale manufacturing operations in our new facility or through CDMOs and commercial manufacturing at third-party manufacturers;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attract, hire and retain qualified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expenditures that we will or may incur to develop additional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demand for our product candidates should they receive approval, which may vary significantly;</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risk/benefit profile, cost and reimbursement policies with respect to our product candidates, if approved, and existing and potential future therapeutics that compete with our product candidates;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future accounting pronouncements or changes in our accounting policies.</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products approved for commercial sale and have not generated any revenue from product sales.</w:t>
      </w:r>
    </w:p>
    <w:p>
      <w:pPr>
        <w:spacing w:after="0" w:line="1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Our ability to become profitable depends upon our ability to generate revenue. To date, we have not generated any revenue from our product candidates,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spacing w:after="0" w:line="69"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complete our ongoing and planned preclinical studies and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and receive clearance of our Investigational New Drug applications (INDs), in order to commence our planned clinical trials or future clinical trials;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enroll subjects in, and complete,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marketing applications and receive regulatory approvals for our product candidates from the FDA and comparable foreign regulatory authorities;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initiate and successfully complete all safety studies required to obtain U.S. and foreign marketing approval for our product candidates;</w:t>
      </w:r>
    </w:p>
    <w:p>
      <w:pPr>
        <w:spacing w:after="0" w:line="114" w:lineRule="exact"/>
        <w:rPr>
          <w:rFonts w:ascii="Times New Roman" w:cs="Times New Roman" w:eastAsia="Times New Roman" w:hAnsi="Times New Roman"/>
          <w:sz w:val="17"/>
          <w:szCs w:val="17"/>
          <w:color w:val="auto"/>
        </w:rPr>
      </w:pPr>
    </w:p>
    <w:p>
      <w:pPr>
        <w:ind w:left="1020" w:right="900" w:hanging="503"/>
        <w:spacing w:after="0" w:line="266" w:lineRule="auto"/>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establish clinical supply capabilities through arrangements with third-party manufacturers for clinical supply and commercial manufacturing;</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patent and trade secret protection or regulatory exclusivity for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launch commercial sales of our product candidates, if and when approved, whether alone or in collaboration with others;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maintain a continued acceptable safety profile of the product candidates following approval;</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9" w:name="page40"/>
    <w:bookmarkEnd w:id="39"/>
    <w:p>
      <w:pPr>
        <w:ind w:left="1020" w:right="200" w:hanging="503"/>
        <w:spacing w:after="0" w:line="266"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acceptance of the product candidates, if and when approved, by patients, the medical community and third-party payors;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position our products to effectively compete with other therapies;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favorable coverage and adequate reimbursement by third-party payors for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enforce and defend intellectual property rights and claims with respect to our product candidates;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hire additional staff, including clinical, scientific and management personnel.</w:t>
      </w:r>
    </w:p>
    <w:p>
      <w:pPr>
        <w:spacing w:after="0" w:line="114"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7"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There is substantial doubt regarding our ability to continue as a going concern. We will need to raise substantial additional funding, which may not be available on acceptable terms, or at all. If we are unable to raise capital when needed, we would be forced to delay, reduce or eliminate some of our product development programs or commercialization efforts.</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development of pharmaceutical products is capital-intensive. We are currently advancing our product candidates through clinical development across a number of potential indications. We expect our expenses to significantly increase in connection with our ongoing activities, particularly as we continue our ongoing clinical trials or initiate future trials and pursue the research and development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 and may be unable to expand our operations or otherwise capitalize on our business opportunities, as desired, which could materially affect our business, financial condition and results of operations.</w:t>
      </w:r>
    </w:p>
    <w:p>
      <w:pPr>
        <w:spacing w:after="0" w:line="73"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We expect that our existing cash and cash equivalents will be sufficient to fund our current operating plan into the fourth quarter of 2024. However, our future capital requirements will depend on and could increase significantly as a result of many factors, including:</w:t>
      </w:r>
    </w:p>
    <w:p>
      <w:pPr>
        <w:spacing w:after="0" w:line="51" w:lineRule="exact"/>
        <w:rPr>
          <w:sz w:val="20"/>
          <w:szCs w:val="20"/>
          <w:color w:val="auto"/>
        </w:rPr>
      </w:pPr>
    </w:p>
    <w:p>
      <w:pPr>
        <w:ind w:left="1020" w:right="80" w:hanging="503"/>
        <w:spacing w:after="0" w:line="266"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product discovery, preclinical and clinical development, laboratory testing, manufacturing and clinical trials for the development of CAN-2409, CAN-3110, or our other potential product candidates;</w:t>
      </w:r>
    </w:p>
    <w:p>
      <w:pPr>
        <w:spacing w:after="0" w:line="51" w:lineRule="exact"/>
        <w:rPr>
          <w:rFonts w:ascii="Times New Roman" w:cs="Times New Roman" w:eastAsia="Times New Roman" w:hAnsi="Times New Roman"/>
          <w:sz w:val="17"/>
          <w:szCs w:val="17"/>
          <w:color w:val="auto"/>
        </w:rPr>
      </w:pPr>
    </w:p>
    <w:p>
      <w:pPr>
        <w:ind w:left="1020" w:right="180" w:hanging="503"/>
        <w:spacing w:after="0" w:line="249"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and the costs involved in, obtaining marketing approvals for CAN-2409 in newly diagnosed localized prostate cancer, NSCLC, and borderline resectable pancreatic cancer as well as for CAN-3110 in our initial target indication of recurrent HGG and our other potential product candidates that we may develop;</w:t>
      </w:r>
    </w:p>
    <w:p>
      <w:pPr>
        <w:spacing w:after="0" w:line="65" w:lineRule="exact"/>
        <w:rPr>
          <w:rFonts w:ascii="Times New Roman" w:cs="Times New Roman" w:eastAsia="Times New Roman" w:hAnsi="Times New Roman"/>
          <w:sz w:val="17"/>
          <w:szCs w:val="17"/>
          <w:color w:val="auto"/>
        </w:rPr>
      </w:pPr>
    </w:p>
    <w:p>
      <w:pPr>
        <w:ind w:left="1020" w:right="260" w:hanging="503"/>
        <w:spacing w:after="0" w:line="249"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if approved, the costs of commercialization activities for CAN-2409 or CAN-3110 for any approved indications or any other product candidate that receives regulatory approval to the extent such costs are not the responsibility of a collaborator that we may contract with in the future, including the costs and timing of establishing product sales, marketing, distribution and manufacturing capabilities;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prioritization and number of our research and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additional collaborations on favorable terms, if at all;</w:t>
      </w:r>
    </w:p>
    <w:p>
      <w:pPr>
        <w:spacing w:after="0" w:line="114" w:lineRule="exact"/>
        <w:rPr>
          <w:rFonts w:ascii="Times New Roman" w:cs="Times New Roman" w:eastAsia="Times New Roman" w:hAnsi="Times New Roman"/>
          <w:sz w:val="17"/>
          <w:szCs w:val="17"/>
          <w:color w:val="auto"/>
        </w:rPr>
      </w:pPr>
    </w:p>
    <w:p>
      <w:pPr>
        <w:ind w:left="1020" w:right="820" w:hanging="503"/>
        <w:spacing w:after="0" w:line="266"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achievement of milestones or occurrence of other developments that trigger payments under any additional collaboration agreements we may enter into;</w:t>
      </w:r>
    </w:p>
    <w:p>
      <w:pPr>
        <w:spacing w:after="0" w:line="51" w:lineRule="exact"/>
        <w:rPr>
          <w:rFonts w:ascii="Times New Roman" w:cs="Times New Roman" w:eastAsia="Times New Roman" w:hAnsi="Times New Roman"/>
          <w:sz w:val="17"/>
          <w:szCs w:val="17"/>
          <w:color w:val="auto"/>
        </w:rPr>
      </w:pPr>
    </w:p>
    <w:p>
      <w:pPr>
        <w:ind w:left="1020" w:right="720" w:hanging="503"/>
        <w:spacing w:after="0" w:line="266"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51" w:lineRule="exact"/>
        <w:rPr>
          <w:rFonts w:ascii="Times New Roman" w:cs="Times New Roman" w:eastAsia="Times New Roman" w:hAnsi="Times New Roman"/>
          <w:sz w:val="17"/>
          <w:szCs w:val="17"/>
          <w:color w:val="auto"/>
        </w:rPr>
      </w:pPr>
    </w:p>
    <w:p>
      <w:pPr>
        <w:ind w:left="1020" w:right="720" w:hanging="503"/>
        <w:spacing w:after="0" w:line="266"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acquire or in-license other product candidates and technologies;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0" w:name="page41"/>
    <w:bookmarkEnd w:id="40"/>
    <w:p>
      <w:pPr>
        <w:ind w:left="1020" w:hanging="503"/>
        <w:spacing w:after="0"/>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securing manufacturing arrangements for commercial production;</w:t>
      </w:r>
    </w:p>
    <w:p>
      <w:pPr>
        <w:spacing w:after="0" w:line="114"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the emergence of competing viral immunotherapies as well as immuno-oncology therapies in general and other adverse market developments;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clinical manufacturing operations through CDMOs;</w:t>
      </w:r>
    </w:p>
    <w:p>
      <w:pPr>
        <w:spacing w:after="0" w:line="114" w:lineRule="exact"/>
        <w:rPr>
          <w:rFonts w:ascii="Times New Roman" w:cs="Times New Roman" w:eastAsia="Times New Roman" w:hAnsi="Times New Roman"/>
          <w:sz w:val="17"/>
          <w:szCs w:val="17"/>
          <w:color w:val="auto"/>
        </w:rPr>
      </w:pPr>
    </w:p>
    <w:p>
      <w:pPr>
        <w:ind w:left="1020" w:right="420" w:hanging="503"/>
        <w:spacing w:after="0" w:line="266" w:lineRule="auto"/>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or contracting for sales and marketing capabilities if we obtain regulatory approvals to market our product candidates;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future public health crisis, which may exacerbate the magnitude of the factors discussed above.</w:t>
      </w:r>
    </w:p>
    <w:p>
      <w:pPr>
        <w:spacing w:after="0" w:line="11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72"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As of March 31, 2024, our cash and cash equivalents were $25.7 million. Based on our current business plan, there is substantial doubt regarding our ability to continue as a going concern for a period of one year after the date that our financial statements for the quarter ended March 31, 2024 are issued and we need to raise significant amounts of additional funding to complete all of our ongoing trials and execute on our business plan.</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Financing may not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In addition, our efforts to raise additional capital may divert our management from their day-to-day activities, which may adversely affect our ability to develop our product candidates in a timely manner.</w:t>
      </w:r>
    </w:p>
    <w:p>
      <w:pPr>
        <w:spacing w:after="0" w:line="7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4" w:lineRule="exact"/>
        <w:rPr>
          <w:sz w:val="20"/>
          <w:szCs w:val="20"/>
          <w:color w:val="auto"/>
        </w:rPr>
      </w:pPr>
    </w:p>
    <w:p>
      <w:pPr>
        <w:jc w:val="both"/>
        <w:ind w:right="260"/>
        <w:spacing w:after="0" w:line="244" w:lineRule="auto"/>
        <w:rPr>
          <w:sz w:val="20"/>
          <w:szCs w:val="20"/>
          <w:color w:val="auto"/>
        </w:rPr>
      </w:pPr>
      <w:r>
        <w:rPr>
          <w:rFonts w:ascii="Arial" w:cs="Arial" w:eastAsia="Arial" w:hAnsi="Arial"/>
          <w:sz w:val="17"/>
          <w:szCs w:val="17"/>
          <w:color w:val="auto"/>
        </w:rPr>
        <w:t>If we are unable to obtain adequate funding on a timely basis, we may be required to revise our business plan and strategy and potentially curtail, delay, or discontinue one or more of our clinical trials, our research efforts, product development, future commercialization efforts, or may result in our being unable to expand our operations or otherwise capitalize on our business opportunities. As a result, our business, financial condition and results of operations could be materially affected.</w:t>
      </w:r>
    </w:p>
    <w:p>
      <w:pPr>
        <w:spacing w:after="0" w:line="6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3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November 2023, we undertook an organizational restructuring that significantly reduced our workforce.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restructuring plan may be disruptive to our operations. For example, our headcount reductions could yield unanticipated consequences, such as increased difficulties in implementing our business strategy, including retention of our remaining employees. Our restructuring may lead to employee litigation related to the headcount reduction, which could be costly and prevent management from fully concentrating on the business.</w:t>
      </w:r>
    </w:p>
    <w:p>
      <w:pPr>
        <w:spacing w:after="0" w:line="74"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Any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 For example, the workforce reduction may negatively impact our clinical, regulatory, technical operations, and commercial functions, should we choose to continue to pursue them, which would have a negative impact on our ability to successfully develop, and ultimately, commercialize our product candidates. Our future financial performance and our ability to develop our product candidates or additional assets will depend, in part, on our ability to effectively manage any future growth or restructuring, as the case may be.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indebtedness, and we may incur additional indebtedness, which could adversely affect our financial condition.</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1" w:name="page42"/>
    <w:bookmarkEnd w:id="41"/>
    <w:p>
      <w:pPr>
        <w:jc w:val="both"/>
        <w:ind w:right="140"/>
        <w:spacing w:after="0" w:line="249" w:lineRule="auto"/>
        <w:rPr>
          <w:sz w:val="20"/>
          <w:szCs w:val="20"/>
          <w:color w:val="auto"/>
        </w:rPr>
      </w:pPr>
      <w:r>
        <w:rPr>
          <w:rFonts w:ascii="Arial" w:cs="Arial" w:eastAsia="Arial" w:hAnsi="Arial"/>
          <w:sz w:val="17"/>
          <w:szCs w:val="17"/>
          <w:color w:val="auto"/>
        </w:rPr>
        <w:t>On February 24, 2022, we entered into a loan and security agreement (the Loan Agreement) with Silicon Valley Bank, as lender (SVB), pursuant to which SVB has agreed to provide term loans to us in an aggregate principal amount of up to $25.0 million. Our indebtedness could have important consequences to our stockholders. For example, it:</w:t>
      </w:r>
    </w:p>
    <w:p>
      <w:pPr>
        <w:spacing w:after="0" w:line="6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increases our vulnerability to adverse general economic and industry conditions;</w:t>
      </w:r>
    </w:p>
    <w:p>
      <w:pPr>
        <w:spacing w:after="0" w:line="114"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51" w:lineRule="exact"/>
        <w:rPr>
          <w:rFonts w:ascii="Times New Roman" w:cs="Times New Roman" w:eastAsia="Times New Roman" w:hAnsi="Times New Roman"/>
          <w:sz w:val="17"/>
          <w:szCs w:val="17"/>
          <w:color w:val="auto"/>
        </w:rPr>
      </w:pPr>
    </w:p>
    <w:p>
      <w:pPr>
        <w:ind w:left="1020" w:right="180" w:hanging="503"/>
        <w:spacing w:after="0" w:line="266" w:lineRule="auto"/>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ability to obtain additional financing or refinancing in the future for working capital, clinical trials, research and development, or other purposes.</w:t>
      </w:r>
    </w:p>
    <w:p>
      <w:pPr>
        <w:spacing w:after="0" w:line="5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Any of the above-listed factors could materially adversely affect our business, financial condition, results of operations, and cash flows. The Loan Agreement also contains certain covenants, including limitations on, among other things, additional indebtedness, making certain dispositions, paying dividends in certain circumstances, and making certain acquisitions and investments. Any failure to comply with the terms, covenants and conditions of the Loan Agreement may limit our ability to draw upon additional tranches of term loans and may result in an event of default under such agreement entitling the lender to accelerate our indebtedness, which could have a material adverse effect on our business, financial condition, and results of operations.</w:t>
      </w:r>
    </w:p>
    <w:p>
      <w:pPr>
        <w:spacing w:after="0" w:line="7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Recent increases in interest rates have increased our borrowing costs and may also affect our ability to obtain working capital through borrowings such as bank credit lines and public or private sales of debt securities, which may result in lower liquidity, reduced working capital and other adverse impacts on our business.</w:t>
      </w:r>
    </w:p>
    <w:p>
      <w:pPr>
        <w:spacing w:after="0" w:line="67"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A portion of our outstanding debt under the Loan Agreement, bears interest at variable interest rates. To meet our liquidity needs, we have relied in part on borrowed funds with variable interest rates and may continue to do so in the future. Continued increase in interest rates may increase the cost of new indebtedness and the servicing of our outstanding indebtedness, and could materially and adversely affect our results of operations, financial condition, liquidity and cash flows.</w:t>
      </w:r>
    </w:p>
    <w:p>
      <w:pPr>
        <w:spacing w:after="0" w:line="69"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lenders or counterparties to any such instruments were to be placed into receivership, we may be unable to access such funds. We currently have a $20 million loan outstanding pursuant to a $25 million term loan facility with SVB, which was entered into in February 2022 and amended in June 2023. We no longer have access to borrow the $5 million of additional aggregate principle per the terms of the Loan Agreement.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such as us,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8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7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42" w:name="page43"/>
    <w:bookmarkEnd w:id="42"/>
    <w:p>
      <w:pPr>
        <w:ind w:right="140"/>
        <w:spacing w:after="0" w:line="239" w:lineRule="auto"/>
        <w:rPr>
          <w:sz w:val="20"/>
          <w:szCs w:val="20"/>
          <w:color w:val="auto"/>
        </w:rPr>
      </w:pPr>
      <w:r>
        <w:rPr>
          <w:rFonts w:ascii="Arial" w:cs="Arial" w:eastAsia="Arial" w:hAnsi="Arial"/>
          <w:sz w:val="17"/>
          <w:szCs w:val="17"/>
          <w:color w:val="auto"/>
        </w:rPr>
        <w:t>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74"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6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Delayed access to deposits or other financial assets or the uninsured loss of deposits or other financial assets;</w:t>
      </w:r>
    </w:p>
    <w:p>
      <w:pPr>
        <w:spacing w:after="0" w:line="114"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Delayed or lost access to, or reductions in borrowings available under revolving existing credit facilities or other working capital sources and/or delays, inability or reductions in our ability to refund, roll over or extend the maturity of, or enter into new credit facilities or other working capital resources;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contractual obligations that require us to maintain letters of credit or other credit support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financial covenants in our credit agreements or credit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cross-defaults in other credit agreements, credit arrangements or operating or financing agreements; or</w:t>
      </w:r>
    </w:p>
    <w:p>
      <w:pPr>
        <w:spacing w:after="0" w:line="114"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Termination of cash management arrangements and/or delays in accessing or actual loss of funds subject to cash management arrangements.</w:t>
      </w:r>
    </w:p>
    <w:p>
      <w:pPr>
        <w:spacing w:after="0" w:line="5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74" w:lineRule="exact"/>
        <w:rPr>
          <w:sz w:val="20"/>
          <w:szCs w:val="20"/>
          <w:color w:val="auto"/>
        </w:rPr>
      </w:pPr>
    </w:p>
    <w:p>
      <w:pPr>
        <w:ind w:firstLine="47"/>
        <w:spacing w:after="0" w:line="236" w:lineRule="auto"/>
        <w:rPr>
          <w:sz w:val="20"/>
          <w:szCs w:val="20"/>
          <w:color w:val="auto"/>
        </w:rPr>
      </w:pPr>
      <w:r>
        <w:rPr>
          <w:rFonts w:ascii="Arial" w:cs="Arial" w:eastAsia="Arial" w:hAnsi="Arial"/>
          <w:sz w:val="17"/>
          <w:szCs w:val="17"/>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a material adverse impact on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Product Development</w:t>
      </w:r>
    </w:p>
    <w:p>
      <w:pPr>
        <w:spacing w:after="0" w:line="102"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b w:val="1"/>
          <w:bCs w:val="1"/>
          <w:i w:val="1"/>
          <w:iCs w:val="1"/>
          <w:color w:val="auto"/>
        </w:rPr>
        <w:t>Our business is dependent on the success of our most advanced product candidate, CAN-2409, as well as CAN-3110 and any other product candidates that we advance into the clinic. All of our product candidates will require additional development before we may be able to seek regulatory approval for and launch a product commercially.</w:t>
      </w:r>
    </w:p>
    <w:p>
      <w:pPr>
        <w:spacing w:after="0" w:line="4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expect that a substantial portion of our efforts and expenditures over the next several years will be devoted to our CAN-2409 program, which is currently our most advanced product candidate.</w:t>
      </w:r>
    </w:p>
    <w:p>
      <w:pPr>
        <w:spacing w:after="0" w:line="67"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If CAN-2409, CAN-3110 or any other product candidate we develop encounters safety or efficacy issues, development delays, regulatory issues or other problems, our development plans and business would be significantly harmed. We can provide no assurance that CAN-2409, CAN-3110 or any other product candidates we develop will receive regulatory approval or be successfully commercialized even if we receive regulatory approval. If we were required to discontinue development of CAN-2409, CAN-3110 or any future product candidate, or if CAN-2409, CAN-3110, or any future product candidate do not receive regulatory approval or fail to achieve significant market acceptance, we would be delayed by many years in our ability to achieve profitability, if ever.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43" w:name="page44"/>
    <w:bookmarkEnd w:id="43"/>
    <w:p>
      <w:pPr>
        <w:ind w:right="80"/>
        <w:spacing w:after="0" w:line="241" w:lineRule="auto"/>
        <w:rPr>
          <w:sz w:val="20"/>
          <w:szCs w:val="20"/>
          <w:color w:val="auto"/>
        </w:rPr>
      </w:pPr>
      <w:r>
        <w:rPr>
          <w:rFonts w:ascii="Arial" w:cs="Arial" w:eastAsia="Arial" w:hAnsi="Arial"/>
          <w:sz w:val="17"/>
          <w:szCs w:val="17"/>
          <w:color w:val="auto"/>
        </w:rPr>
        <w:t>Furthermore, even if we obtain regulatory approval for CAN-2409, CAN-3110 or any other product candidates we develop, we will still need to develop a commercial infrastructure, expand our manufacturing capabilities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CAN-2409, CAN-3110 or any other product candidates we develop, we may not be able to generate sufficient revenue to continue our business.</w:t>
      </w:r>
    </w:p>
    <w:p>
      <w:pPr>
        <w:spacing w:after="0" w:line="72" w:lineRule="exact"/>
        <w:rPr>
          <w:sz w:val="20"/>
          <w:szCs w:val="20"/>
          <w:color w:val="auto"/>
        </w:rPr>
      </w:pPr>
    </w:p>
    <w:p>
      <w:pPr>
        <w:ind w:right="420"/>
        <w:spacing w:after="0" w:line="280"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3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Before obtaining regulatory approvals for the commercial sale of our product candidates, including CAN-2409, CAN-3110 or any other product candidates we develop, we must demonstrate the safety and efficacy of our product candidates for use in each target indication through lengthy, complex, and expensive preclinical studies and clinical trials. Failure can occur at any time during the preclinical study and clinical trial processes and there is a high risk of failure, so we may never succeed in developing marketable products. Any preclinical studies or clinical trials that we may conduct may not demonstrate the safety and efficacy necessary to obtain regulatory approval to market any of our product candidates. If the results of our ongoing or future preclinical studies and clinical trials are inconclusive with respect to the safety or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are currently in a phase 3 clinical trial for CAN-2409 for prostate cancer and are in early stages of clinical development for CAN-3110,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8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product candidates have caused side effects in clinical trials related to on-target toxicity such as fever, chills and muscle aches and other flu-like symptoms. The most common side effects observed in our clinical trials have been transient, injection site-related reactions, and flu-like symptoms. The specific symptoms are largely dependent on the tumor site (site of injection). Patients who have participated in our trials have experienced grade 3 and grade 4 treatment-related side effects, including blood abnormalities. Those include pyrexia, genitourinary toxicity, increased aspartate transaminase / alanine transaminase (AST/ALT), increased bilirubin, hemiparesis or worsening of speech impairment (in studies of HGG), insomnia, headache, wound complications, empyema, motor-neuropathy symptoms/signs, transient lymphopenia, dehydration with renal insufficiency, urinary retention, worsening abdominal pain and increased lipase. Different nomenclature for the same side effect can be used in different trials (i.e. lymphopenia or low lymphocyte count). If on-target toxicity is observed at unacceptable levels,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observed yet to date. Many compounds that initially showed promise in early-stage testing for treating cancer have later been found to cause side effects that prevented further development of the compound. In addition to our ongoing clinical trials of CAN-2409 and CAN-3110, patients have been, and may continue to be, treated with CAN-2409 and/or CAN-3110 under an expanded access or “compassionate use” program. To the extent the experiences of patients being treated in this program are inconsistent with or less favorable than the results of our ongoing or planned company-sponsored trials with CAN-2409 and/or CAN-3110, it may negatively affect perceptions of CAN-2409 and/or CAN-3110, our other product candidates, or our business. In addition, the FDA or comparable foreign regulatory authorities may require us to obtain and submit additional clinical data due to these inconsistent or unfavorable results, which could delay clinical development or marketing approval of CAN-2409 and/or CAN-3110 or potentially our other product candidates.</w:t>
      </w:r>
    </w:p>
    <w:p>
      <w:pPr>
        <w:spacing w:after="0" w:line="79" w:lineRule="exact"/>
        <w:rPr>
          <w:sz w:val="20"/>
          <w:szCs w:val="20"/>
          <w:color w:val="auto"/>
        </w:rPr>
      </w:pPr>
    </w:p>
    <w:p>
      <w:pPr>
        <w:jc w:val="both"/>
        <w:ind w:right="320"/>
        <w:spacing w:after="0" w:line="256"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regulatory audit and verification procedures that could result in material changes in the final data.</w:t>
      </w:r>
    </w:p>
    <w:p>
      <w:pPr>
        <w:spacing w:after="0" w:line="49"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From time to time, we may publish interim, topline or preliminary data from our clinical trials. We may decide to conduct an interim analysis of the data after a certain number or percentage of patients have been enrolled, or after only a part of the full follow-up period but before completion of the trial. Similarly, we may report topline or preliminary results of primary and key secondary endpoints before the final trial results are completed. Preliminary, topline and interim data from our clinical trials may change as more patient data or analyses become available. Preliminary, topline or interim data from our clinical trials are not necessarily predictive of final results and are subject to the risk that one or more of the clinical outcomes may materially change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4" w:name="page45"/>
    <w:bookmarkEnd w:id="44"/>
    <w:p>
      <w:pPr>
        <w:ind w:right="40"/>
        <w:spacing w:after="0" w:line="244" w:lineRule="auto"/>
        <w:rPr>
          <w:sz w:val="20"/>
          <w:szCs w:val="20"/>
          <w:color w:val="auto"/>
        </w:rPr>
      </w:pPr>
      <w:r>
        <w:rPr>
          <w:rFonts w:ascii="Arial" w:cs="Arial" w:eastAsia="Arial" w:hAnsi="Arial"/>
          <w:sz w:val="17"/>
          <w:szCs w:val="17"/>
          <w:color w:val="auto"/>
        </w:rPr>
        <w:t>as patient enrollment continues, more patient data become available and we issue our final clinical trial report. These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Material adverse changes in the final data compared to the interim data could significantly harm our business prospects.</w:t>
      </w:r>
    </w:p>
    <w:p>
      <w:pPr>
        <w:spacing w:after="0" w:line="6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2"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spacing w:after="0" w:line="67"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b w:val="1"/>
          <w:bCs w:val="1"/>
          <w:i w:val="1"/>
          <w:iCs w:val="1"/>
          <w:color w:val="auto"/>
        </w:rPr>
        <w:t>We may not be successful in our efforts to identify additional product candidates or indications. Due to our limited resources and access to capital, we must prioritize development of certain product candidates and indications; these decisions may prove to be wrong and may adversely affect our business.</w:t>
      </w:r>
    </w:p>
    <w:p>
      <w:pPr>
        <w:spacing w:after="0" w:line="4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Although we intend to explore other therapeutic opportunities, in addition to the product candidates and indications that we are currently developing, we may fail to identify successful product candidates or additional indications for clinical development for a number of reasons. If we fail to identify additional potential product candidates or indications for development, our business could be materially harmed.</w:t>
      </w:r>
    </w:p>
    <w:p>
      <w:pPr>
        <w:spacing w:after="0" w:line="67"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Research programs to pursue the development of our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69"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the research methodology used may not be successful in identifying potential indications and/or product candidates;</w:t>
      </w:r>
    </w:p>
    <w:p>
      <w:pPr>
        <w:spacing w:after="0" w:line="114" w:lineRule="exact"/>
        <w:rPr>
          <w:rFonts w:ascii="Times New Roman" w:cs="Times New Roman" w:eastAsia="Times New Roman" w:hAnsi="Times New Roman"/>
          <w:sz w:val="17"/>
          <w:szCs w:val="17"/>
          <w:color w:val="auto"/>
        </w:rPr>
      </w:pPr>
    </w:p>
    <w:p>
      <w:pPr>
        <w:ind w:left="1020" w:right="300" w:hanging="503"/>
        <w:spacing w:after="0" w:line="266" w:lineRule="auto"/>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candidates may, after further study, be shown to have harmful adverse effects or other characteristics that indicate they are unlikely to be effective drugs; or</w:t>
      </w:r>
    </w:p>
    <w:p>
      <w:pPr>
        <w:spacing w:after="0" w:line="51" w:lineRule="exact"/>
        <w:rPr>
          <w:rFonts w:ascii="Times New Roman" w:cs="Times New Roman" w:eastAsia="Times New Roman" w:hAnsi="Times New Roman"/>
          <w:sz w:val="17"/>
          <w:szCs w:val="17"/>
          <w:color w:val="auto"/>
        </w:rPr>
      </w:pPr>
    </w:p>
    <w:p>
      <w:pPr>
        <w:ind w:left="1020" w:right="460" w:hanging="503"/>
        <w:spacing w:after="0" w:line="249" w:lineRule="auto"/>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6"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at the Annual Meeting of SITC in Boston in November 2022, due to promising clinical activity of CAN-3110 in recurrent HGG, we made a portfolio and resource decision to prioritize CAN-3110 in recurrent HGG and not to pursue a phase 3 clinical trial of CAN-2409 in HGG.</w:t>
      </w:r>
    </w:p>
    <w:p>
      <w:pPr>
        <w:spacing w:after="0" w:line="72"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earlier studies and trials of our product candidates may not be predictive of future trial results.</w:t>
      </w:r>
    </w:p>
    <w:p>
      <w:pPr>
        <w:spacing w:after="0" w:line="10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Success in preclinical studies and early clinical trials does not ensure that later clinical trials will be successful. Product candidates in later stages of clinical trials may fail to show the desired safety and efficacy traits despite having progressed through preclinical studies and initial clinical trials. As we commence new clinical trials and continue our ongoing clinical trials, issues may arise that could suspend or terminate such clinical trials.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In addition, the results of our preclinical animal studies, including our oncology mouse studies and other animal studies, may not be predictive of the results of outcomes in human clinical trials. For example, our oncology product candidates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5" w:name="page46"/>
    <w:bookmarkEnd w:id="45"/>
    <w:p>
      <w:pPr>
        <w:ind w:right="20"/>
        <w:spacing w:after="0" w:line="267" w:lineRule="auto"/>
        <w:rPr>
          <w:sz w:val="20"/>
          <w:szCs w:val="20"/>
          <w:color w:val="auto"/>
        </w:rPr>
      </w:pPr>
      <w:r>
        <w:rPr>
          <w:rFonts w:ascii="Arial" w:cs="Arial" w:eastAsia="Arial" w:hAnsi="Arial"/>
          <w:sz w:val="17"/>
          <w:szCs w:val="17"/>
          <w:color w:val="auto"/>
        </w:rPr>
        <w:t>that are in preclinical development may demonstrate different chemical and biological properties in patients than they do in laboratory animal studies or may interact with human biological systems in unforeseen or harmful ways.</w:t>
      </w:r>
    </w:p>
    <w:p>
      <w:pPr>
        <w:spacing w:after="0" w:line="5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Additionally, some of past, ongoing and planned clinical trials utilize an “open-label” study design including our NSCLC trial in combination with ICI.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improved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trials when studied in a controlled environment with a placebo or active control.</w:t>
      </w:r>
    </w:p>
    <w:p>
      <w:pPr>
        <w:spacing w:after="0" w:line="113"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b w:val="1"/>
          <w:bCs w:val="1"/>
          <w:i w:val="1"/>
          <w:iCs w:val="1"/>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30"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We have concentrated our research and development efforts on our CAN-2409 and CAN-3110 product candidates, and our future success largely depends on the successful development of these therapeutic approaches. In particular, CAN-2409 utilizes an adenovirus to activate the innate and adaptive immune system. To our knowledge, there are no FDA-approved products for the treatment of cancer that utilize the adenovirus.</w:t>
      </w:r>
    </w:p>
    <w:p>
      <w:pPr>
        <w:spacing w:after="0" w:line="67"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expect the novel nature of our product candidates to create further challenges in obtaining regulatory approval. Few viral immunotherapies have been approved globally or by the FDA to date. While the first oncolytic viral immunotherapy, talimogene laherparepvec (Imlygic, Amgen), has received FDA approval, regulatory agencies have reviewed relatively few viral immunotherapy product candidates such as CAN-2409 and CAN-3110.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74"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obtained.</w:t>
      </w:r>
    </w:p>
    <w:p>
      <w:pPr>
        <w:spacing w:after="0" w:line="6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our product candidates are live, gene-modified viruses for which the FDA, the European Medicines Agency (EMA)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Furthermore, there has been limited historical clinical trial experience for the development of products that utilize the adenovirus. Moreover, the design and conduct of our clinical trials differs from the design and conduct of previously conducted clinical trials in this area. In particular, regulatory authorities in the United States and in other jurisdictions, including Europe, have not issued definitive guidance as to how to measure and demonstrate efficacy in newly diagnosed localized prostate cancer in intermediate- to high-risk patients in combination with the standard of care (SoC). As a result, there is substantial risk that the design or outcomes of our clinical trials will not be satisfactory to support marketing approval. For example, the endpoint in our phase 3 clinical trial investigating CAN-2409 in prostate cancer is a disease-free survival (DFS) endpoint with final results expected 24 months after last patient treated, which has not been utilized in prior trials and may not be accepted by regulators as a basis for approval despite the existence of the SPA. Even if this type of novel endpoint is accepted as a basis for approval in the United States, we cannot be certain that regulators outside of the United States will accept such endpoints or will not require us to conduct additional validation studies to support the suitability of such endpoints for approval in these jurisdictions.</w:t>
      </w:r>
    </w:p>
    <w:p>
      <w:pPr>
        <w:spacing w:after="0" w:line="76"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b w:val="1"/>
          <w:bCs w:val="1"/>
          <w:i w:val="1"/>
          <w:iCs w:val="1"/>
          <w:color w:val="auto"/>
        </w:rPr>
        <w:t>We are developing, and in the future may develop, other product candidates, in combination with other therapies, which exposes us to additional risks related to any prodrugs or any agents used in combination with our product candidates.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46" w:name="page47"/>
    <w:bookmarkEnd w:id="46"/>
    <w:p>
      <w:pPr>
        <w:ind w:right="40"/>
        <w:spacing w:after="0" w:line="237" w:lineRule="auto"/>
        <w:rPr>
          <w:sz w:val="20"/>
          <w:szCs w:val="20"/>
          <w:color w:val="auto"/>
        </w:rPr>
      </w:pPr>
      <w:r>
        <w:rPr>
          <w:rFonts w:ascii="Arial" w:cs="Arial" w:eastAsia="Arial" w:hAnsi="Arial"/>
          <w:sz w:val="17"/>
          <w:szCs w:val="17"/>
          <w:color w:val="auto"/>
        </w:rPr>
        <w:t>Our CAN-2409 product candidate is being developed to be used in combination with the prodrug valacyclovir, which is an oral small molecule drug marketed for treatment of herpes infections. In the future, we may develop other product candidates to be used with one or more currently approved other therapies. Even if any product candidate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76"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If the FDA or comparable foreign regulatory authorities revoke their approval of these other drugs or revoke their approval of, or if safety, efficacy, manufacturing or supply issues arise with, the drugs we choose to evaluate in combination with any product candidate we develop, we may be unable to obtain approval.</w:t>
      </w:r>
    </w:p>
    <w:p>
      <w:pPr>
        <w:spacing w:after="0" w:line="67"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may also evaluate our future product candidates in combination with one or more other cancer therapies that have not yet been approved for marketing by the FDA or comparable foreign regulatory authorities. We will not be able to market any product candidate we develop in combination with any such unapproved cancer therapies that do not ultimately obtain marketing approval. In addition, unapproved therapies face the same risks described with respect to our product candidates currently in development and clinical trials, including the potential for serious adverse effects, delays in their clinical trials and lack of FDA approval.</w:t>
      </w:r>
    </w:p>
    <w:p>
      <w:pPr>
        <w:spacing w:after="0" w:line="72"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Negative developments in the field of immuno-oncology and, in particular, viral immunotherapy, could damage public perception of any of our product candidates and negatively affect our business.</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commercial success of adenovirus- or HSV-based product candidates will depend in part on public acceptance of the use of immuno-oncology, and, in particular, viral immunotherapy. Adverse events in clinical trials of CAN-2409, CAN-3110 or any other adenovirus- or HSV-based product candidates which we may develop,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any adenovirus- or HSV-based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77"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Our product candidates consist of modified viruses. Adverse developments in clinical trials of other immunotherapy products based on viruses, like oncolytic viruses, may result in a disproportionately negative effect for our technologies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72"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b w:val="1"/>
          <w:bCs w:val="1"/>
          <w:i w:val="1"/>
          <w:iCs w:val="1"/>
          <w:color w:val="auto"/>
        </w:rPr>
        <w:t>Difficulty in enrolling patients could delay or prevent clinical trials of our product candidates, and ultimately delay or prevent regulatory approval.</w:t>
      </w:r>
    </w:p>
    <w:p>
      <w:pPr>
        <w:spacing w:after="0" w:line="3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brain cancer for the development of CAN-3110, our ability to enroll eligible patients may be limited or enrollment may be slower than we anticipate due to the small eligible patient population. In addition, our ability to enroll patients may be delayed by any future public health crisis and we are unable to predict the full extent and scope of such delays.</w:t>
      </w:r>
    </w:p>
    <w:p>
      <w:pPr>
        <w:spacing w:after="0" w:line="76"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In addition to the potentially small target populations for our planned clinical trials, particularly in brain cancer, the eligibility criteria will further limit the pool of available trial participants as we will require that patients have specific characteristics, such as a certain severity or stage of disease progression, to include them in a trial. Additionally, the process of finding eligible patients may prove costly. We also may not be able to identify, recruit, and enroll a sufficient number of patients to complete our clinical trials because of the perceived risks and benefits of the product candidate under evaluation, the availability and efficacy of</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7" w:name="page48"/>
    <w:bookmarkEnd w:id="47"/>
    <w:p>
      <w:pPr>
        <w:ind w:right="80"/>
        <w:spacing w:after="0" w:line="244" w:lineRule="auto"/>
        <w:rPr>
          <w:sz w:val="20"/>
          <w:szCs w:val="20"/>
          <w:color w:val="auto"/>
        </w:rPr>
      </w:pPr>
      <w:r>
        <w:rPr>
          <w:rFonts w:ascii="Arial" w:cs="Arial" w:eastAsia="Arial" w:hAnsi="Arial"/>
          <w:sz w:val="17"/>
          <w:szCs w:val="17"/>
          <w:color w:val="auto"/>
        </w:rPr>
        <w:t>competing therapies and clinical trials, the proximity and availability of clinical trial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 The enrollment of patients further depends on many factors, including:</w:t>
      </w:r>
    </w:p>
    <w:p>
      <w:pPr>
        <w:spacing w:after="0" w:line="69"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proximity of patients to clinical trial sites;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patient referral practices of physicians;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design of the clinical trial, including the number of site visits and invasive assessments required;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patient consents;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reporting of the preliminary results of any of our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risk that patients enrolled in clinical trials will drop out of the clinical trials before clinical trial completion; and</w:t>
      </w:r>
    </w:p>
    <w:p>
      <w:pPr>
        <w:spacing w:after="0" w:line="114"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factors we may not be able to control, such as any future public health crisis, that may limit patient participation, hiring of principal investigators or staff or clinical site availability.</w:t>
      </w:r>
    </w:p>
    <w:p>
      <w:pPr>
        <w:spacing w:after="0" w:line="5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patients and their doctors may be inclined to use conventional therapies, such as chemotherapy, rather than enroll patients in any future clinical trial of our product candidates.</w:t>
      </w:r>
    </w:p>
    <w:p>
      <w:pPr>
        <w:spacing w:after="0" w:line="76"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51"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30"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9" w:lineRule="exact"/>
        <w:rPr>
          <w:sz w:val="20"/>
          <w:szCs w:val="20"/>
          <w:color w:val="auto"/>
        </w:rPr>
      </w:pPr>
    </w:p>
    <w:p>
      <w:pPr>
        <w:ind w:left="1020" w:right="200" w:hanging="503"/>
        <w:spacing w:after="0" w:line="249"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to other available medicines;</w:t>
      </w:r>
    </w:p>
    <w:p>
      <w:pPr>
        <w:spacing w:after="0" w:line="65" w:lineRule="exact"/>
        <w:rPr>
          <w:rFonts w:ascii="Times New Roman" w:cs="Times New Roman" w:eastAsia="Times New Roman" w:hAnsi="Times New Roman"/>
          <w:sz w:val="17"/>
          <w:szCs w:val="17"/>
          <w:color w:val="auto"/>
        </w:rPr>
      </w:pPr>
    </w:p>
    <w:p>
      <w:pPr>
        <w:ind w:left="1020" w:right="180" w:hanging="503"/>
        <w:spacing w:after="0" w:line="266"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limitations or warnings contained in the labeling approved for our current or future product candidates by the FDA or other applicable regulatory authorities;</w:t>
      </w:r>
    </w:p>
    <w:p>
      <w:pPr>
        <w:spacing w:after="0" w:line="51" w:lineRule="exact"/>
        <w:rPr>
          <w:rFonts w:ascii="Times New Roman" w:cs="Times New Roman" w:eastAsia="Times New Roman" w:hAnsi="Times New Roman"/>
          <w:sz w:val="17"/>
          <w:szCs w:val="17"/>
          <w:color w:val="auto"/>
        </w:rPr>
      </w:pPr>
    </w:p>
    <w:p>
      <w:pPr>
        <w:ind w:left="1020" w:right="220" w:hanging="503"/>
        <w:spacing w:after="0" w:line="266"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adverse events associated with our product candidates or those products with which they may be co-administered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our current or future product candidates are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availability of alternative treatments already approved or expected to be commercially launched in the near future;</w:t>
      </w:r>
    </w:p>
    <w:p>
      <w:pPr>
        <w:spacing w:after="0" w:line="114"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our current or future product candidates over current treatment options or alternative treatments, including future alternative treatments;</w:t>
      </w:r>
    </w:p>
    <w:p>
      <w:pPr>
        <w:spacing w:after="0" w:line="51" w:lineRule="exact"/>
        <w:rPr>
          <w:rFonts w:ascii="Times New Roman" w:cs="Times New Roman" w:eastAsia="Times New Roman" w:hAnsi="Times New Roman"/>
          <w:sz w:val="17"/>
          <w:szCs w:val="17"/>
          <w:color w:val="auto"/>
        </w:rPr>
      </w:pPr>
    </w:p>
    <w:p>
      <w:pPr>
        <w:ind w:left="1020" w:right="640" w:hanging="503"/>
        <w:spacing w:after="0" w:line="266"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willingness of the target patient populations to try new therapies or treatment methods and of physicians to prescribe these therapies or methods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need to dose such product candidates in combination with other therapeutic agents, and related costs;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strength of marketing and distribution support and timing of market introduction of competitive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publicity concerning our products or competing products and treatments;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48" w:name="page49"/>
    <w:bookmarkEnd w:id="48"/>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pricing and cost effectiveness;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strategies;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increase awareness of our current or future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sufficient third-party coverage or reimbursement;</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or willingness of patients to pay out-of-pocket in the absence of third-party coverage;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liability claims.</w:t>
      </w:r>
    </w:p>
    <w:p>
      <w:pPr>
        <w:spacing w:after="0" w:line="114"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72"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 candidates before or more successfully than we do.</w:t>
      </w:r>
    </w:p>
    <w:p>
      <w:pPr>
        <w:spacing w:after="0" w:line="3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from major pharmaceutical, specialty pharmaceutical and biotechnology companies among others with respect to CAN-2409 and CAN-3110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Bristol-Myers Squibb, Gilead Sciences, Merck, Novartis, Pfizer, Regeneron and Roche/Genentech.</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Replimune, TILT and ImmVira,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concentration of even more resources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74"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 and Commercialization of Our Product Candidates</w:t>
      </w:r>
    </w:p>
    <w:p>
      <w:pPr>
        <w:spacing w:after="0" w:line="102"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56"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9" w:name="page50"/>
    <w:bookmarkEnd w:id="49"/>
    <w:p>
      <w:pPr>
        <w:ind w:right="40"/>
        <w:spacing w:after="0" w:line="241" w:lineRule="auto"/>
        <w:rPr>
          <w:sz w:val="20"/>
          <w:szCs w:val="20"/>
          <w:color w:val="auto"/>
        </w:rPr>
      </w:pPr>
      <w:r>
        <w:rPr>
          <w:rFonts w:ascii="Arial" w:cs="Arial" w:eastAsia="Arial" w:hAnsi="Arial"/>
          <w:sz w:val="17"/>
          <w:szCs w:val="17"/>
          <w:color w:val="auto"/>
        </w:rPr>
        <w:t>jurisdictions. These regulatory requirements may require us to amend our clinical trial protocols, including to comply with the protocols of any applicable SPA we receive from the FDA; conduct additional preclinical studies or clinical trials that may require regulatory or independent IRB approval; or otherwise cause delays in obtaining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7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It is possible that CAN-2409, CAN-3110 and future product candidates will never obtain the appropriate regulatory approvals necessary for us to commence product sales.</w:t>
      </w:r>
    </w:p>
    <w:p>
      <w:pPr>
        <w:spacing w:after="0" w:line="79"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If we experience delays in obtaining approval, if we fail to obtain regulatory approval of CAN-2409, CAN-3110 or any future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6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CAN-2409, CAN-3110 or future product candidates may cause undesirable side effects or have other properties that could delay or prevent their regulatory approval, limit the commercial profile of an approved label, or result in significant negative consequences following marketing approval, if any. Serious adverse events or undesirable side effects caused by CAN-2409, CAN-3110 and future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For example, patients enrolled in our ongoing clinical trials of CAN-2409 and CAN-3110 have experienced mild to moderate adverse events, consisting mainly of flu-like symptoms and injection site reactions. In response to these adverse events, we have implemented prophylactic measures, including intravenous fluids, antiemetics and antipyretics. The FDA’s or a comparable foreign regulatory authority’s requests for additional data or information could also result in substantial delays in the approval of CAN-2409, CAN-3110 and future product candidates.</w:t>
      </w:r>
    </w:p>
    <w:p>
      <w:pPr>
        <w:spacing w:after="0" w:line="8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a product candidate may only be uncovered when a significantly larger number of patients are exposed to the product candidate or when patients are exposed for a longer period of time.</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Undesirable side effects caused by CAN-2409, CAN-3110 or any future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the submission of a Risk Evaluation and Mitigation Strategy (REMS) to monitor the safety or efficacy of the products, and in turn prevent us from commercializing and generating revenues from the sale of CAN-2409, CAN-3110 and future product candidates. Any such limitations or restrictions could similarly impact any supplemental marketing approvals we may obtain for CAN-2409 and CAN-3110. Undesirable side effects may limit the potential market for any approved products or could result in restrictions on manufacturing processes, the discontinuation of the sales and marketing of the product, or withdrawal of product approvals. We could also be sued and held liable for harm caused to patients, or become subject to fines, injunctions or the imposition of civil or criminal penalties.</w:t>
      </w:r>
    </w:p>
    <w:p>
      <w:pPr>
        <w:spacing w:after="0" w:line="75"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If CAN-2409, CAN-3110 and future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0" w:name="page51"/>
    <w:bookmarkEnd w:id="50"/>
    <w:p>
      <w:pPr>
        <w:ind w:right="620"/>
        <w:spacing w:after="0" w:line="267" w:lineRule="auto"/>
        <w:rPr>
          <w:sz w:val="20"/>
          <w:szCs w:val="20"/>
          <w:color w:val="auto"/>
        </w:rPr>
      </w:pPr>
      <w:r>
        <w:rPr>
          <w:rFonts w:ascii="Arial" w:cs="Arial" w:eastAsia="Arial" w:hAnsi="Arial"/>
          <w:sz w:val="17"/>
          <w:szCs w:val="17"/>
          <w:color w:val="auto"/>
        </w:rPr>
        <w:t>ability of enrolled patients to complete the trial or result in potential product liability claims. Any of these occurrences may materially harm our business, financial condition, results of operations, stock price and prospects.</w:t>
      </w:r>
    </w:p>
    <w:p>
      <w:pPr>
        <w:spacing w:after="0" w:line="51"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The FDA’s agreement to a Special Protocol Assessment with respect to the study design of our pivotal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4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have obtained agreement from the FDA on the design and size of our pivotal phase 3 clinical trial of CAN-2409 in newly diagnosed localized prostate cancer in intermediate- and high-risk patients in combination with the SoC through a Special Protocol Assessment (SPA). 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Upon specific request by a clinical trial sponsor, the FDA will evaluate the protocol and respond to a sponsor’s questions regarding protocol design and scientific and regulatory requirements. The FDA aims to complete SPA reviews within 45 days of receipt of the request. The FDA ultimately assesses whether specific elements of the protocol design of the trial, such as entry criteria, dose selection, endpoints and/or planned analyses, are acceptable to support regulatory approval of the product with respect to the effectiveness of the indication studied. All exchanges between the FDA and the sponsor regarding an SPA must be clearly documented in an SPA letter or the minutes of a meeting between the sponsor and the FDA.</w:t>
      </w:r>
    </w:p>
    <w:p>
      <w:pPr>
        <w:spacing w:after="0" w:line="7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 While we have obtained an SPA agreement for our phase 3 clinical trial, we have subsequently made minor amendments to the protocol and have not obtained an SPA amendment in connection with the amended protocol.</w:t>
      </w:r>
    </w:p>
    <w:p>
      <w:pPr>
        <w:spacing w:after="0" w:line="7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even after an SPA agreement is finalized, the SPA agreement may be modified, and such modification will be deemed binding on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spacing w:after="0" w:line="6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Moreover, if the FDA revokes or alters its agreement under the SPA, or interprets the data collected from the clinical trial differently than we do, the FDA may not deem the data sufficient to support an application for regulatory approval of CAN-2409 in prostate cancer.</w:t>
      </w:r>
    </w:p>
    <w:p>
      <w:pPr>
        <w:spacing w:after="0" w:line="51"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A fast track designation by the FDA, even though granted for CAN-2409 and CAN-3110, or if received for any other future product candidates, may not lead to a faster development or regulatory review or approval process, and does not increase the likelihood that our product candidates will receive marketing approval.</w:t>
      </w:r>
    </w:p>
    <w:p>
      <w:pPr>
        <w:spacing w:after="0" w:line="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have been granted fast track designation for the use of CAN-2409 for: (1) the treatment of localized, primary prostate cancer in combination with radiation therapy to improve the local control rate; (2) with valacyclovir in combination with pembrolizumab in order to improve survival or delay progression in patients with stage III/IV NSCLC who are resistant to first line PD-(L)1 inhibitor therapy and who do not have activating molecular driver mutations; and (3) with prodrug (valacyclovir) for the treatment of patients with pancreatic ductal adenocarcinoma (PDAC) to improve overall survival. CAN-3110 was also granted fast track designation for the treatment of patients with recurrent high-grade glioma to improve overall survival. We may also seek fast track designation for certain of our future product candidates, as appropriate. However, there is no assurance that the FDA will grant this status to CAN-3110, CAN-2409, or any of our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though we have received fast track designation for CAN-2409 and CAN-3110 or even if we receive fast track designation for our future product candidates or additional indications in CAN-2409 and CAN-3110,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1" w:name="page52"/>
    <w:bookmarkEnd w:id="51"/>
    <w:p>
      <w:pPr>
        <w:ind w:right="160"/>
        <w:spacing w:after="0" w:line="256" w:lineRule="auto"/>
        <w:rPr>
          <w:sz w:val="20"/>
          <w:szCs w:val="20"/>
          <w:color w:val="auto"/>
        </w:rPr>
      </w:pPr>
      <w:r>
        <w:rPr>
          <w:rFonts w:ascii="Arial" w:cs="Arial" w:eastAsia="Arial" w:hAnsi="Arial"/>
          <w:sz w:val="17"/>
          <w:szCs w:val="17"/>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4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We may seek breakthrough therapy designation for some or all of our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Sponsors of product candidates that have been designated as breakthrough therapies are eligible to receive more intensive FDA guidance on developing an efficient drug development program, an organizational commitment involving senior managers, and eligibility for rolling review and priority review. Drugs and biologics designated as breakthrough therapies by the FDA may also be eligible for other expedited approval programs, including accelerated approval.</w:t>
      </w:r>
    </w:p>
    <w:p>
      <w:pPr>
        <w:spacing w:after="0" w:line="74"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developed and considered for approval that have not received breakthrough therapy designation and does not assure ultimate approval by the FDA. In addition, even if one or more of our product candidates qualify as breakthrough therapies, the FDA may later decide that the product no longer meets the conditions for qualification. Thus, even though we may seek breakthrough therapy designation for CAN-2409, CAN-3110 or some or all of our future product candidates for the treatment of various cancers, there can be no assurance that we will receive breakthrough therapy designation.</w:t>
      </w:r>
    </w:p>
    <w:p>
      <w:pPr>
        <w:spacing w:after="0" w:line="76"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We have received orphan drug designation from the FDA for CAN-2409 for the treatment of pancreatic cancer. We may seek orphan drug designation from regulatory authorities in other jurisdictions for CAN-2409, and we may seek orphan drug designation for our other product candidates. In any of these instances, we may not receive the requested designation or we may be unable to realize the benefits associated with orphan drug designation, including the potential for market exclusivity.</w:t>
      </w:r>
    </w:p>
    <w:p>
      <w:pPr>
        <w:spacing w:after="0" w:line="5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received orphan drug designation from the FDA for CAN-2409 for the treatment of pancreatic cancer. Even if CAN-2409 were to obtain orphan drug exclusivity for this use upon marketing approval by the FDA, the benefit of that exclusivity may be limited if the approval is in an indication that is broader than the orphan-designated indication, or exclusivity could be revoked under certain circumstances, for example if the FDA later determines that the request for designation was materially defective or if the sponsor is unable to assure sufficient quantities of the product to meet the needs of patients with the rare disease or condition. Further, orphan drug exclusivity may not effectively protect the product from competition during the exclusivity period because different drugs with different active moieties can be approved for the same condition, and the same product can be approved for different uses. Also, the FDA may grant approval to the same drug for the same orphan indication if the second applicant can establish in its application that its product is safer, more effective or otherwise clinically superior to the previously approved product, or if the application holder of the previously approved product consents.</w:t>
      </w:r>
    </w:p>
    <w:p>
      <w:pPr>
        <w:spacing w:after="0" w:line="79" w:lineRule="exact"/>
        <w:rPr>
          <w:sz w:val="20"/>
          <w:szCs w:val="20"/>
          <w:color w:val="auto"/>
        </w:rPr>
      </w:pPr>
    </w:p>
    <w:p>
      <w:pPr>
        <w:ind w:right="400"/>
        <w:spacing w:after="0" w:line="256" w:lineRule="auto"/>
        <w:rPr>
          <w:sz w:val="20"/>
          <w:szCs w:val="20"/>
          <w:color w:val="auto"/>
        </w:rPr>
      </w:pPr>
      <w:r>
        <w:rPr>
          <w:rFonts w:ascii="Arial" w:cs="Arial" w:eastAsia="Arial" w:hAnsi="Arial"/>
          <w:sz w:val="17"/>
          <w:szCs w:val="17"/>
          <w:b w:val="1"/>
          <w:bCs w:val="1"/>
          <w:i w:val="1"/>
          <w:i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by the sponsor and, under the Food and Drug Omnibus Reform Act of 2022 (FDORA), the FDA is permitted to require, as appropriate, that such trials be underway prior to approval or within a specified time period after the date accelerated approval is granted. FDORA also requires sponsors to send updates to the FDA every 180 days on the status of such confirmatory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trials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that the product's accelerated approval will eventually be converted to a traditional FDA approval.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2" w:name="page53"/>
    <w:bookmarkEnd w:id="52"/>
    <w:p>
      <w:pPr>
        <w:ind w:right="60"/>
        <w:spacing w:after="0" w:line="280" w:lineRule="auto"/>
        <w:rPr>
          <w:sz w:val="20"/>
          <w:szCs w:val="20"/>
          <w:color w:val="auto"/>
        </w:rPr>
      </w:pPr>
      <w:r>
        <w:rPr>
          <w:rFonts w:ascii="Arial" w:cs="Arial" w:eastAsia="Arial" w:hAnsi="Arial"/>
          <w:sz w:val="17"/>
          <w:szCs w:val="17"/>
          <w:b w:val="1"/>
          <w:bCs w:val="1"/>
          <w:i w:val="1"/>
          <w:iCs w:val="1"/>
          <w:color w:val="auto"/>
        </w:rPr>
        <w:t>We may seek approval of our product candidate into Real-Time Oncology Review (RTOR). This program may not lead to a faster regulatory review or approval process and does not increase the likelihood that our product candidate(s) will receive marketing approval.</w:t>
      </w:r>
    </w:p>
    <w:p>
      <w:pPr>
        <w:spacing w:after="0" w:line="3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Participation in RTOR is voluntary. Our acceptance into RTOR does not guarantee or influence approval of our application, which is subject to the same statutory and regulatory requirements for approval as applications that are not included in RTOR. Although early approvals have occurred with applications selected for RTOR, this may not be the case for our application even if it is selected for RTOR. If at any time the FDA determines our participation in RTOR, if selected, is no longer appropriate, the FDA may rescind our acceptance and instruct us to follow routine submission procedures for marketing approval.</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i w:val="1"/>
          <w:iCs w:val="1"/>
          <w:color w:val="auto"/>
        </w:rPr>
        <w:t>Even if our development efforts are successful, we may not obtain regulatory approval of CAN-2409, CAN-3110 or any future product candidates in the United States or other jurisdictions, which would prevent us from commercializing CAN-2409, CAN-3110 and future product candidates. Even if we obtain regulatory approval for CAN-2409, CAN-3110 and future product candidates, any such approval may be subject to limitations, including with respect to the approved indications or patient populations, which could impair our ability to successfully commercialize CAN-2409, CAN-3110 or any future product candidates.</w:t>
      </w:r>
    </w:p>
    <w:p>
      <w:pPr>
        <w:spacing w:after="0" w:line="5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not permitted to market or promote or sell CAN-2409, CAN-3110 or any future product candidates before we receive regulatory approval from the FDA or comparable foreign regulatory authorities, and we may never receive such regulatory approval.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 CAN-2409, CAN-3110 and future product candidates, we will not be able to commercialize such product candidates in the United States or in other jurisdictions. If significant delays in obtaining approval for and commercializing CAN-2409, CAN-3110 and future product candidates occur in any jurisdictions, our business, financial condition, results of operations, stock price and prospects will be materially harmed. Even if CAN-2409, CAN-3110 and future product candidates are approved, they may:</w:t>
      </w:r>
    </w:p>
    <w:p>
      <w:pPr>
        <w:spacing w:after="0" w:line="76" w:lineRule="exact"/>
        <w:rPr>
          <w:sz w:val="20"/>
          <w:szCs w:val="20"/>
          <w:color w:val="auto"/>
        </w:rPr>
      </w:pPr>
    </w:p>
    <w:p>
      <w:pPr>
        <w:ind w:left="1020" w:right="120" w:hanging="503"/>
        <w:spacing w:after="0" w:line="266" w:lineRule="auto"/>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be subject to limitations on the indicated uses or patient populations for which they may be marketed, distribution restrictions, or other conditions of approval;</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not be approved with label statements necessary or desirable for successful commercialization; or</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contain requirements for costly post-market testing and surveillance, or other requirements, including the submission of a REMS, to monitor the safety or efficacy of the products.</w:t>
      </w:r>
    </w:p>
    <w:p>
      <w:pPr>
        <w:spacing w:after="0" w:line="5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We have not previously submitted a Biologics License Application (BLA), to the FDA, or a similar marketing application to comparable foreign regulatory authorities, for CAN-2409, CAN-3110 or any product candidate, and we can provide no assurance that we will ultimately be successful in obtaining regulatory approval for claims that are necessary or desirable for successful marketing, if at all.</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product candidate manufacturing or formulation may result in additional costs or delay.</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Any of these changes could cause CAN-2409, CAN-3110 or any future product candidates to perform differently and affect the results of planned clinical trials or other future clinical trials conducted with the altered materials. Changes in third-party manufacturers and manufacturing processes may also require additional testing, or notification to, or approval by the FDA or a comparable foreign regulatory authority. Such changes could be further delayed due to development of clinical-scale manufacturing and commercial-scale manufacturing operations. This could delay completion of clinical trials, require the conduct of bridging clinical trials or studies, require the repetition of one or more clinical trials, increase clinical trial costs, delay approval of CAN-2409, CAN-3110 and future product candidates and jeopardize our ability to commence product sales and generate revenue.</w:t>
      </w:r>
    </w:p>
    <w:p>
      <w:pPr>
        <w:spacing w:after="0" w:line="79"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6"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3" w:name="page54"/>
    <w:bookmarkEnd w:id="53"/>
    <w:p>
      <w:pPr>
        <w:ind w:right="140"/>
        <w:spacing w:after="0" w:line="237"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federal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A potential U.S. federal government shutdown may also increase uncertainty and volatility in the global economy and financial markets, which could negatively impact our business. Further, future government shutdowns could impact our ability to access the public markets and obtain necessary capital in order to properly capitalize and continue our operations.</w:t>
      </w:r>
    </w:p>
    <w:p>
      <w:pPr>
        <w:spacing w:after="0" w:line="76" w:lineRule="exact"/>
        <w:rPr>
          <w:sz w:val="20"/>
          <w:szCs w:val="20"/>
          <w:color w:val="auto"/>
        </w:rPr>
      </w:pPr>
    </w:p>
    <w:p>
      <w:pPr>
        <w:jc w:val="both"/>
        <w:ind w:right="140"/>
        <w:spacing w:after="0" w:line="280" w:lineRule="auto"/>
        <w:rPr>
          <w:sz w:val="20"/>
          <w:szCs w:val="20"/>
          <w:color w:val="auto"/>
        </w:rPr>
      </w:pPr>
      <w:r>
        <w:rPr>
          <w:rFonts w:ascii="Arial" w:cs="Arial" w:eastAsia="Arial" w:hAnsi="Arial"/>
          <w:sz w:val="17"/>
          <w:szCs w:val="17"/>
          <w:b w:val="1"/>
          <w:bCs w:val="1"/>
          <w:i w:val="1"/>
          <w:iCs w:val="1"/>
          <w:color w:val="auto"/>
        </w:rPr>
        <w:t>Even if CAN-2409, CAN-3110 or any future product candidates receive regulatory approval, we will be subject to ongoing obligations and continued regulatory review, which may result in significant additional expense and limit how we manufacture and market our products.</w:t>
      </w:r>
    </w:p>
    <w:p>
      <w:pPr>
        <w:spacing w:after="0" w:line="3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Any product candidate for which we may obtain marketing approval will be subject to extensive and ongoing requirements of and review by the FDA and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 (cGMP), requirements relating to manufacturing, quality control, quality assurance, and corresponding maintenance of records and documents, and good clinical practices (GCPs), for any clinical trials that we conduct post-approval.</w:t>
      </w:r>
    </w:p>
    <w:p>
      <w:pPr>
        <w:spacing w:after="0" w:line="74"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CAN-2409, CAN-3110 and future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and any of our suppliers or collaborators, including our CDMOs, could be subject to periodic unannounced inspections by the FDA to monitor and ensure compliance with cGMPs and other FDA regulatory requirements.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Application holders must further notify the FDA, and depending on the nature of the change, obtain FDA pre-approval for product and manufacturing changes.</w:t>
      </w:r>
    </w:p>
    <w:p>
      <w:pPr>
        <w:spacing w:after="0" w:line="7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addition, later discovery of previously unknown adverse events or that the product is less effective than previously thought or other problems with any products, manufacturers or manufacturing processes, or failure to comply with regulatory requirements both before and after approval, may yield various negative results, including:</w:t>
      </w:r>
    </w:p>
    <w:p>
      <w:pPr>
        <w:spacing w:after="0" w:line="6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manufacturing, distribution, or marketing of such products;</w:t>
      </w:r>
    </w:p>
    <w:p>
      <w:pPr>
        <w:spacing w:after="0" w:line="114"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the labeling, including required additional warnings, such as boxed warnings, contraindications, precautions, and restrictions on the approved indication or use;</w:t>
      </w:r>
    </w:p>
    <w:p>
      <w:pPr>
        <w:spacing w:after="0" w:line="51" w:lineRule="exact"/>
        <w:rPr>
          <w:rFonts w:ascii="Times New Roman" w:cs="Times New Roman" w:eastAsia="Times New Roman" w:hAnsi="Times New Roman"/>
          <w:sz w:val="17"/>
          <w:szCs w:val="17"/>
          <w:color w:val="auto"/>
        </w:rPr>
      </w:pPr>
    </w:p>
    <w:p>
      <w:pPr>
        <w:ind w:left="1020" w:right="900" w:hanging="503"/>
        <w:spacing w:after="0" w:line="266" w:lineRule="auto"/>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manufacturing delays and supply disruptions where regulatory inspections identify observations of noncompliance requiring remediation;</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modifications to promotional pieces;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issuance of corrective information;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conduct post-marketing studies or other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clinical holds or termination of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establish or modify a REMS or similar strategy;</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changes to the way the product is administered to patients;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liability for harm caused to patients or subjects;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reputational harm;</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product becoming less competitive;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warning or untitled letters;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4" w:name="page55"/>
    <w:bookmarkEnd w:id="54"/>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of marketing or withdrawal of the products from the market;</w:t>
      </w:r>
    </w:p>
    <w:p>
      <w:pPr>
        <w:spacing w:after="0" w:line="114" w:lineRule="exact"/>
        <w:rPr>
          <w:rFonts w:ascii="Times New Roman" w:cs="Times New Roman" w:eastAsia="Times New Roman" w:hAnsi="Times New Roman"/>
          <w:sz w:val="17"/>
          <w:szCs w:val="17"/>
          <w:color w:val="auto"/>
        </w:rPr>
      </w:pPr>
    </w:p>
    <w:p>
      <w:pPr>
        <w:ind w:left="1020" w:right="340" w:hanging="503"/>
        <w:spacing w:after="0" w:line="266" w:lineRule="auto"/>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product;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recalls of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fines, restitution or disgorgement of profits or revenues;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or withdrawal of marketing approvals;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permit the import or export of our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product seizure or detention;</w:t>
      </w:r>
    </w:p>
    <w:p>
      <w:pPr>
        <w:spacing w:after="0" w:line="114"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injunctions or the imposition of civil, criminal or administrative penalties, including imprisonment.</w:t>
      </w:r>
    </w:p>
    <w:p>
      <w:pPr>
        <w:spacing w:after="0" w:line="11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Any of these events could prevent us from achieving or maintaining market acceptance of any particular product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69" w:lineRule="exact"/>
        <w:rPr>
          <w:sz w:val="20"/>
          <w:szCs w:val="20"/>
          <w:color w:val="auto"/>
        </w:rPr>
      </w:pPr>
    </w:p>
    <w:p>
      <w:pPr>
        <w:ind w:right="300"/>
        <w:spacing w:after="0" w:line="241" w:lineRule="auto"/>
        <w:rPr>
          <w:sz w:val="20"/>
          <w:szCs w:val="20"/>
          <w:color w:val="auto"/>
        </w:rPr>
      </w:pPr>
      <w:r>
        <w:rPr>
          <w:rFonts w:ascii="Arial" w:cs="Arial" w:eastAsia="Arial" w:hAnsi="Arial"/>
          <w:sz w:val="17"/>
          <w:szCs w:val="17"/>
          <w:color w:val="auto"/>
        </w:rPr>
        <w:t>Further, the FDA’s policies or those of comparable foreign regulatory authorities may change and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 which would adversely affect our business, prospects and ability to achieve or sustain profitability.</w:t>
      </w:r>
    </w:p>
    <w:p>
      <w:pPr>
        <w:spacing w:after="0" w:line="72"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5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the Office of Inspector General for the Department of Health and Human Services (HHS),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CAN-2409, CAN-3110 and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any products, including claims comparing those products to other companies’ products, and must abide by the FDA’s strict requirements regarding the content of promotion and advertising.</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Physicians may choose to prescribe products for uses that are not described in the product’s labeling and for uses that differ from those tested in clinical trials and approved by the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6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If we are found to have impermissibly promoted any of CAN-2409, CAN-3110 and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In the United States, engaging in the impermissible promotion of any products, following approval, for off-label uses can also subject us to false claims and other litigation under federal and state statutes. These include fraud and abuse and consumer protection laws, which can lead to civil and criminal penalties and fines,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5" w:name="page56"/>
    <w:bookmarkEnd w:id="55"/>
    <w:p>
      <w:pPr>
        <w:ind w:right="60"/>
        <w:spacing w:after="0" w:line="236" w:lineRule="auto"/>
        <w:rPr>
          <w:sz w:val="20"/>
          <w:szCs w:val="20"/>
          <w:color w:val="auto"/>
        </w:rPr>
      </w:pPr>
      <w:r>
        <w:rPr>
          <w:rFonts w:ascii="Arial" w:cs="Arial" w:eastAsia="Arial" w:hAnsi="Arial"/>
          <w:sz w:val="17"/>
          <w:szCs w:val="17"/>
          <w:color w:val="auto"/>
        </w:rPr>
        <w:t>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leading to several substantial civil and criminal settlements pertaining to certain sales practices and promoting off-label uses. In addition, False Claims Act lawsuits may expose manufacturers to follow-on claims by private payers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the United States, the promotion of biopharmaceutical products is subject to additional FDA requirements and restrictions on promotional statements. If, after CAN-2409, CAN-3110 or any future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76"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i w:val="1"/>
          <w:iCs w:val="1"/>
          <w:color w:val="auto"/>
        </w:rPr>
        <w:t>We may not be able to file INDs or IND amendments to commence additional clinical trials on the timelines we expect, and even if we are able to, the FDA or a comparable foreign regulatory may not permit us to proceed.</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FDA or comparable foreign regulatory authorities may require us to file separate INDs for additional clinical trials we plan to conduct with our current most advanced product candidates, CAN-2409 and CAN-3110. We may not be able to file any additional INDs required for our current product candidates and any future product candidates on the timelines we expect. For example, we may experience delays if we are unable to access earlier data from inactive or withdrawn INDs. Moreover, we cannot be sure that submission of an IND will result in the FDA or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expected timelines to obtain regulatory approvals for our trials may prevent us from completing our clinical trials or commercializing our products on a timely basis, if at all. There are similar risks related to the review and authorization of our protocols and amendments by comparable foreign regulatory authorities.</w:t>
      </w:r>
    </w:p>
    <w:p>
      <w:pPr>
        <w:spacing w:after="0" w:line="76"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b w:val="1"/>
          <w:bCs w:val="1"/>
          <w:i w:val="1"/>
          <w:iCs w:val="1"/>
          <w:color w:val="auto"/>
        </w:rPr>
        <w:t>If approved, our investigational products regulated as biologics may face competition from biosimilars approved through an abbreviated regulatory pathway.</w:t>
      </w:r>
    </w:p>
    <w:p>
      <w:pPr>
        <w:spacing w:after="0" w:line="3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7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believe that any of our product candidates approved as a biologic product under a BLA should qualify for the 12-year period of exclusivity. However, there is a risk that this exclusivity could be shortened or unavailable due to congressional action, a determination that approval of one of our candidates does not constitute “first licensure” or otherwise, or that the FDA will not consider our investigational medicines to be reference products for competing products, potentially creating the opportunity for generic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2"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6" w:name="page57"/>
    <w:bookmarkEnd w:id="56"/>
    <w:p>
      <w:pPr>
        <w:ind w:right="40"/>
        <w:spacing w:after="0" w:line="280" w:lineRule="auto"/>
        <w:rPr>
          <w:sz w:val="20"/>
          <w:szCs w:val="20"/>
          <w:color w:val="auto"/>
        </w:rPr>
      </w:pPr>
      <w:r>
        <w:rPr>
          <w:rFonts w:ascii="Arial" w:cs="Arial" w:eastAsia="Arial" w:hAnsi="Arial"/>
          <w:sz w:val="17"/>
          <w:szCs w:val="17"/>
          <w:b w:val="1"/>
          <w:bCs w:val="1"/>
          <w:i w:val="1"/>
          <w:iCs w:val="1"/>
          <w:color w:val="auto"/>
        </w:rPr>
        <w:t>The size of the potential market for our product candidates is difficult to estimate and, if any of our assumptions are inaccurate, the actual markets for our product candidates may be smaller than our estimates.</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current and future target patient populations are based on our beliefs and estimates regarding the incidence or prevalence of certain types of the indications that may be addressable by our product candidates, which is derived from a variety of sources, including scientific literature and surveys of clinics. Our projections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Further, the market opportunity for viral immunotherapies is hard to estimate given that it is an emerging field with few globally or FDA-approved therapies, none of which have yet to enjoy broad market acceptance. Even if we obtain significant market share for our product candidates, because the potential target populations could be small, we may never achieve profitability without obtaining regulatory approval for additional indications.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measures may have a material adverse effect on our business and results of operations.</w:t>
      </w:r>
    </w:p>
    <w:p>
      <w:pPr>
        <w:spacing w:after="0" w:line="10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Among policy-makers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For more information, see “</w:t>
      </w:r>
      <w:r>
        <w:rPr>
          <w:rFonts w:ascii="Arial" w:cs="Arial" w:eastAsia="Arial" w:hAnsi="Arial"/>
          <w:sz w:val="17"/>
          <w:szCs w:val="17"/>
          <w:i w:val="1"/>
          <w:iCs w:val="1"/>
          <w:color w:val="auto"/>
        </w:rPr>
        <w:t>Business – Health Reform</w:t>
      </w:r>
      <w:r>
        <w:rPr>
          <w:rFonts w:ascii="Arial" w:cs="Arial" w:eastAsia="Arial" w:hAnsi="Arial"/>
          <w:sz w:val="17"/>
          <w:szCs w:val="17"/>
          <w:color w:val="auto"/>
        </w:rPr>
        <w:t>” in our Annual Report on Form 10-K for the year ended December 31, 2023.</w:t>
      </w:r>
    </w:p>
    <w:p>
      <w:pPr>
        <w:spacing w:after="0" w:line="7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continuing efforts of the government, insurance companies, managed care organizations and other payers of healthcare services to contain or reduce costs of healthcare may adversely affect:</w:t>
      </w:r>
    </w:p>
    <w:p>
      <w:pPr>
        <w:spacing w:after="0" w:line="51"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demand for any of our product candidates, if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to set a price that we believe is fair for any of our product candidates, if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generate revenues and achieve or maintain profitability;</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taxes that we are required to pay;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capital.</w:t>
      </w:r>
    </w:p>
    <w:p>
      <w:pPr>
        <w:spacing w:after="0" w:line="114"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72"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w:t>
      </w:r>
    </w:p>
    <w:p>
      <w:pPr>
        <w:spacing w:after="0" w:line="6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7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4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We do not currently have a sales or marketing infrastructure and have limited experience in the sales, marketing, patient support or distribution of products.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7" w:name="page58"/>
    <w:bookmarkEnd w:id="57"/>
    <w:p>
      <w:pPr>
        <w:ind w:right="380"/>
        <w:spacing w:after="0" w:line="267" w:lineRule="auto"/>
        <w:rPr>
          <w:sz w:val="20"/>
          <w:szCs w:val="20"/>
          <w:color w:val="auto"/>
        </w:rPr>
      </w:pPr>
      <w:r>
        <w:rPr>
          <w:rFonts w:ascii="Arial" w:cs="Arial" w:eastAsia="Arial" w:hAnsi="Arial"/>
          <w:sz w:val="17"/>
          <w:szCs w:val="17"/>
          <w:color w:val="auto"/>
        </w:rPr>
        <w:t>marketing infrastructure to sell, or participate in sales activities with our collaborators for, some of our current or future product candidates if and when they are approved.</w:t>
      </w:r>
    </w:p>
    <w:p>
      <w:pPr>
        <w:spacing w:after="0" w:line="51"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inhibit our efforts to commercialize our current or future product candidates on our own include:</w:t>
      </w:r>
    </w:p>
    <w:p>
      <w:pPr>
        <w:spacing w:after="0" w:line="102"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of sales personnel to obtain access to physicians or persuade adequate numbers of physicians to use any future products;</w:t>
      </w:r>
    </w:p>
    <w:p>
      <w:pPr>
        <w:spacing w:after="0" w:line="114" w:lineRule="exact"/>
        <w:rPr>
          <w:rFonts w:ascii="Times New Roman" w:cs="Times New Roman" w:eastAsia="Times New Roman" w:hAnsi="Times New Roman"/>
          <w:sz w:val="17"/>
          <w:szCs w:val="17"/>
          <w:color w:val="auto"/>
        </w:rPr>
      </w:pPr>
    </w:p>
    <w:p>
      <w:pPr>
        <w:ind w:left="1020" w:right="500" w:hanging="503"/>
        <w:spacing w:after="0" w:line="266" w:lineRule="auto"/>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114" w:lineRule="exact"/>
        <w:rPr>
          <w:sz w:val="20"/>
          <w:szCs w:val="20"/>
          <w:color w:val="auto"/>
        </w:rPr>
      </w:pPr>
    </w:p>
    <w:p>
      <w:pPr>
        <w:ind w:right="220"/>
        <w:spacing w:after="0" w:line="237" w:lineRule="auto"/>
        <w:rPr>
          <w:sz w:val="20"/>
          <w:szCs w:val="20"/>
          <w:color w:val="auto"/>
        </w:rPr>
      </w:pPr>
      <w:r>
        <w:rPr>
          <w:rFonts w:ascii="Arial" w:cs="Arial" w:eastAsia="Arial" w:hAnsi="Arial"/>
          <w:sz w:val="17"/>
          <w:szCs w:val="17"/>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76"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i w:val="1"/>
          <w:iCs w:val="1"/>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30"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Even if our product candidates receive regulatory approval, they may not gain market acceptance among physicians, patients, healthcare payors, and others in the medical community. Commercial success also will depend, in large part, on the coverage and reimbursement of our product candidates by third-party payors, including private insurance providers and government payors. The degree of market acceptance of any approved product would depend on a number of factors, including:</w:t>
      </w:r>
    </w:p>
    <w:p>
      <w:pPr>
        <w:spacing w:after="0" w:line="69"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safety and tolerability as demonstrated in clinical trials;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market introduction of such product candidate as well as competitive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the product is approved;</w:t>
      </w:r>
    </w:p>
    <w:p>
      <w:pPr>
        <w:spacing w:after="0" w:line="114"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acceptance by physicians, major operators of cancer or neurology clinics and patients of the product as a safe, tolerable and effective treatment;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the product candidate over alternative treatments;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safety and tolerability of the product candidate in a broader patient group;</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treatment in relation to alternative treatments;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adequate reimbursement by third party payors and government authorities;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regulatory requirements by government authorities for the product candidate;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relative convenience and ease of administration;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side effects and adverse events;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efforts;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favorable or unfavorable publicity relating to the product or relating to the Company.</w:t>
      </w:r>
    </w:p>
    <w:p>
      <w:pPr>
        <w:spacing w:after="0" w:line="7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healthcare payors and patients, we may not generate sufficient revenue from these products and we may not become profitable, which would have a material adverse effect on our business.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i w:val="1"/>
          <w:iCs w:val="1"/>
          <w:color w:val="auto"/>
        </w:rPr>
        <w:t>If we fail to develop additional product candidates, our commercial opportunity could be limited.</w:t>
      </w:r>
    </w:p>
    <w:p>
      <w:pPr>
        <w:spacing w:after="0" w:line="102"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We expect initially to develop our most advanced product candidates, CAN-2409 and CAN-3110. A key part of our strategy, however, is to pursue clinical development of additional product candidates. Developing, obtaining marketing approval for, and commercializing additional product candidates will require substantial additional funding and will be subject to the risks of failure inherent in medical product development. We cannot assure you that we will be able to successfully advance any of these additional product candidates through the development process.</w:t>
      </w:r>
    </w:p>
    <w:p>
      <w:pPr>
        <w:spacing w:after="0" w:line="6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Even if we obtain approval from the FDA or comparable foreign regulatory authorities to market additional product candidates for the treatment of solid tumors,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72"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4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Although we do not currently have any drugs on the market, if we begin commercializing our current or future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current or future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current or future product candidates for which we obtain marketing approval.</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potential liability if we obtain identifiable patient health information from clinical trials sponsored by us.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232"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Foreign data protection laws, including the European Union’s General Data Protection Regulation (the EU GDPR), and the United Kingdom (or UK) equivalent of the same (the UK GDPR, together with the EU GDPR, the GDPR) may also apply to our processing of health-related and other personal data.</w:t>
      </w:r>
    </w:p>
    <w:p>
      <w:pPr>
        <w:spacing w:after="0" w:line="67"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The GDPR imposes stringent requirements for controllers and processors of personal data of individuals within the European Economic Area (the EEA) or the UK. The GDPR applies to any company established in the EEA or UK as well as to those outside the EEA or UK if they collect and use personal data in connection with the offering of goods or services to individuals in the EEA or UK or the monitoring of their behavior. The GDPR, together with national legislation, regulations and guidelines of the EEA Member States and the UK governing the processing of personal data, impose strict obligations and restrictions on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9" w:name="page60"/>
    <w:bookmarkEnd w:id="59"/>
    <w:p>
      <w:pPr>
        <w:ind w:right="80"/>
        <w:spacing w:after="0" w:line="236" w:lineRule="auto"/>
        <w:rPr>
          <w:sz w:val="20"/>
          <w:szCs w:val="20"/>
          <w:color w:val="auto"/>
        </w:rPr>
      </w:pPr>
      <w:r>
        <w:rPr>
          <w:rFonts w:ascii="Arial" w:cs="Arial" w:eastAsia="Arial" w:hAnsi="Arial"/>
          <w:sz w:val="17"/>
          <w:szCs w:val="17"/>
          <w:color w:val="auto"/>
        </w:rPr>
        <w:t>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UK,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Currently, the EU GDPR and UK GDPR remain largely aligned, but the UK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UK, and we will need to amend our processes and procedures to align with the new framework.</w:t>
      </w:r>
    </w:p>
    <w:p>
      <w:pPr>
        <w:spacing w:after="0" w:line="76"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GDPR also imposes restrictions in relation to the international transfer of personal data from the EEA and UK and other countries in respect of which the European Commission or the UK government has not issued a so-called “adequacy decision” or “adequacy regulation” (known as “third countries”), unless the parties to the transfer have implemented specific safeguards to protect the transferred personal data. This includes putting in place the European Commission’s Standard Contractual Clauses for transfers outside of the EEA and a similar transfer mechanism for transfers of personal data outside of the UK, the International Data Transfer Agreement or Addendum (IDTA). Under both the EU GDPR and the UK GDPR, exporters are also required to assess the risk of the data transfer on a case-by-case basis, including an analysis of the laws in the destination country.</w:t>
      </w:r>
    </w:p>
    <w:p>
      <w:pPr>
        <w:spacing w:after="0" w:line="7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July 2023, the European Commission adopted its adequacy decision for the EU-U.S. Data Privacy Framework (Framework), the successor of the EU-U.S. Privacy Shield framework, which the Court of Justice of the European Union invalidated in 2020. On the basis of the new adequacy decision, personal data can flow safely from the EU to U.S. companies participating in the Framework, without having to put in place additional data protection safeguards. However, the Framework has already been challenged in European courts, which may lead to its invalidation.</w:t>
      </w:r>
    </w:p>
    <w:p>
      <w:pPr>
        <w:spacing w:after="0" w:line="6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 action-type litigation.</w:t>
      </w:r>
    </w:p>
    <w:p>
      <w:pPr>
        <w:spacing w:after="0" w:line="7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addition, governments in the United States are increasingly passing stringent privacy laws. California recently enacted and has proposed companion regulations to the California Consumer Privacy Act (CCPA), which went into effect January 1, 2020. The CCPA creates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As of March 28, 2020, the California State Attorney General has proposed varying versions of companion draft regulations which are not yet finalized. Despite the delay in adopting regulations, the California State Attorney General commenced enforcement actions against violators on July 1, 2020. While there are currently exceptions for protected health information that is subject to HIPAA and clinical trial regulations, as currently written, the CCPA may impact our business activities. On August 14, 2020, implementing regulations were finalized and became effective as of that date. While clinical trial data and information governed by HIPAA are currently exempt from the current version of the CCPA, other personal information may be applicable and possible changes to the CCPA may broaden its scope. We continue to monitor the impact the CCPA may have on our business activities.</w:t>
      </w:r>
    </w:p>
    <w:p>
      <w:pPr>
        <w:spacing w:after="0" w:line="7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Also, on March 2, 2021, Virginia enacted the Consumer Data Protection Act (CDPA). The CDPA will become effective January 1, 2023. The CDPA will regulate how businesses, which the CDPA refers to as “controllers”, collect and share personal information. The law applies to companies that conduct business in Virginia or product products or services that are targeted to residents of Virginia and either: (1) annually control or process personal data of at least 100,000 Virginia residents; or (2) control 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 In addition, on July 8, 2021, Colorado’s governor signed the</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0" w:name="page61"/>
    <w:bookmarkEnd w:id="60"/>
    <w:p>
      <w:pPr>
        <w:ind w:right="160"/>
        <w:spacing w:after="0" w:line="241" w:lineRule="auto"/>
        <w:rPr>
          <w:sz w:val="20"/>
          <w:szCs w:val="20"/>
          <w:color w:val="auto"/>
        </w:rPr>
      </w:pPr>
      <w:r>
        <w:rPr>
          <w:rFonts w:ascii="Arial" w:cs="Arial" w:eastAsia="Arial" w:hAnsi="Arial"/>
          <w:sz w:val="17"/>
          <w:szCs w:val="17"/>
          <w:color w:val="auto"/>
        </w:rPr>
        <w:t>Colorado Privacy Act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 (1) 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Moreover, on March 24, 2022, Utah’s governor signed the Utah Consumer Privacy Act (UCPA) into law. The UCPA will take effect on December 31, 2023. Also, in May 2022, Connecticut Governor Lamont signed the Connecticut Data Privacy Act (CTDPA) into laws. The UCPA and CTDPA draw heavily upon their predecessors in Virginia and Colorado. With the CTDPA, Connecticut became the fifth state to enact a comprehensive privacy law. New privacy and data security laws have been proposed in more than half of the states in the U.S. and in the U.S. Congress. With bills proposed in many other jurisdictions, it remains quite possible that other states will follow suit.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6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7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If we or third-party contract research organizations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2" w:lineRule="exact"/>
        <w:rPr>
          <w:sz w:val="20"/>
          <w:szCs w:val="20"/>
          <w:color w:val="auto"/>
        </w:rPr>
      </w:pPr>
    </w:p>
    <w:p>
      <w:pPr>
        <w:ind w:right="360"/>
        <w:spacing w:after="0" w:line="248" w:lineRule="auto"/>
        <w:rPr>
          <w:sz w:val="20"/>
          <w:szCs w:val="20"/>
          <w:color w:val="auto"/>
        </w:rPr>
      </w:pPr>
      <w:r>
        <w:rPr>
          <w:rFonts w:ascii="Arial" w:cs="Arial" w:eastAsia="Arial" w:hAnsi="Arial"/>
          <w:sz w:val="17"/>
          <w:szCs w:val="17"/>
          <w:color w:val="auto"/>
        </w:rPr>
        <w:t>Additionally, we are subject to other state and foreign equivalents of each of the healthcare laws described above, among others, some of which may be broader in scope and may apply regardless of the payor.</w:t>
      </w:r>
    </w:p>
    <w:p>
      <w:pPr>
        <w:spacing w:after="0" w:line="66"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0" w:lineRule="exact"/>
        <w:rPr>
          <w:sz w:val="20"/>
          <w:szCs w:val="20"/>
          <w:color w:val="auto"/>
        </w:rPr>
      </w:pPr>
    </w:p>
    <w:p>
      <w:pPr>
        <w:ind w:right="240"/>
        <w:spacing w:after="0" w:line="23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Managing Growth and General Business Operations</w:t>
      </w:r>
    </w:p>
    <w:p>
      <w:pPr>
        <w:spacing w:after="0" w:line="102" w:lineRule="exact"/>
        <w:rPr>
          <w:sz w:val="20"/>
          <w:szCs w:val="20"/>
          <w:color w:val="auto"/>
        </w:rPr>
      </w:pPr>
    </w:p>
    <w:p>
      <w:pPr>
        <w:ind w:right="300"/>
        <w:spacing w:after="0" w:line="256" w:lineRule="auto"/>
        <w:rPr>
          <w:sz w:val="20"/>
          <w:szCs w:val="20"/>
          <w:color w:val="auto"/>
        </w:rPr>
      </w:pPr>
      <w:r>
        <w:rPr>
          <w:rFonts w:ascii="Arial" w:cs="Arial" w:eastAsia="Arial" w:hAnsi="Arial"/>
          <w:sz w:val="17"/>
          <w:szCs w:val="17"/>
          <w:b w:val="1"/>
          <w:bCs w:val="1"/>
          <w:i w:val="1"/>
          <w:iCs w:val="1"/>
          <w:color w:val="auto"/>
        </w:rPr>
        <w:t>Any future public health crisis may affect our ability to complete our ongoing clinical trials and initiate and complete other preclinical studies, planned clinical trials or future clinical trials, disrupt regulatory activities, disrupt our manufacturing and supply chain or have other adverse effects on our business and operations. In addition, any future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1" w:name="page62"/>
    <w:bookmarkEnd w:id="61"/>
    <w:p>
      <w:pPr>
        <w:ind w:right="300"/>
        <w:spacing w:after="0" w:line="280" w:lineRule="auto"/>
        <w:rPr>
          <w:sz w:val="20"/>
          <w:szCs w:val="20"/>
          <w:color w:val="auto"/>
        </w:rPr>
      </w:pPr>
      <w:r>
        <w:rPr>
          <w:rFonts w:ascii="Arial" w:cs="Arial" w:eastAsia="Arial" w:hAnsi="Arial"/>
          <w:sz w:val="17"/>
          <w:szCs w:val="17"/>
          <w:b w:val="1"/>
          <w:bCs w:val="1"/>
          <w:i w:val="1"/>
          <w:iCs w:val="1"/>
          <w:color w:val="auto"/>
        </w:rPr>
        <w:t>public health crisis may cause substantial disruption in the financial markets and may adversely impact economies worldwide, both of which could result in adverse effects on our business, operations and ability to raise capital.</w:t>
      </w:r>
    </w:p>
    <w:p>
      <w:pPr>
        <w:spacing w:after="0" w:line="3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Any future public health crisis may cause governments to implement measures to slow the spread of the public health crisis through quarantines, travel restrictions, heightened border scrutiny and other measures. Government measures taken in response to any future public health crisis may also have a significant impact, both directly and indirectly, on businesses and commerce, as worker shortages may occur; supply chains may be disrupted; facilities and production may be suspended; and demand for certain goods and services, such as medical services and supplies, may spike, while demand for other goods and services, such as travel may fall. The extent to which any future public health crisis may in the future have an impact on our operations or those of the third parties on which we rely depends on many factors, which are highly uncertain and cannot be predicted with confidence. Additionally, the conduct of our clinical trials, preclinical studies and manufacturing activities is dependent upon the availability of clinical trial sites, CROs, CDMOs, researchers and investigators, regulatory agency personnel and logistics providers, all of which may in the future be adversely affected by any future public health crisis.</w:t>
      </w:r>
    </w:p>
    <w:p>
      <w:pPr>
        <w:spacing w:after="0" w:line="7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Any negative impact that any future public health crisis may have on enrolling or retaining patients in our clinical trials, the ability of our suppliers to provide materials for our product candidates, or the regulatory review process could cause delays with respect to product development activities, which could materially and adversely affect our ability to obtain marketing approval for and to commercialize our product candidates, increase our operating expenses, affect our ability to raise additional capital, and have a material adverse effect on our financial results.</w:t>
      </w:r>
    </w:p>
    <w:p>
      <w:pPr>
        <w:spacing w:after="0" w:line="69" w:lineRule="exact"/>
        <w:rPr>
          <w:sz w:val="20"/>
          <w:szCs w:val="20"/>
          <w:color w:val="auto"/>
        </w:rPr>
      </w:pPr>
    </w:p>
    <w:p>
      <w:pPr>
        <w:jc w:val="both"/>
        <w:ind w:right="180"/>
        <w:spacing w:after="0" w:line="249" w:lineRule="auto"/>
        <w:rPr>
          <w:sz w:val="20"/>
          <w:szCs w:val="20"/>
          <w:color w:val="auto"/>
        </w:rPr>
      </w:pPr>
      <w:r>
        <w:rPr>
          <w:rFonts w:ascii="Arial" w:cs="Arial" w:eastAsia="Arial" w:hAnsi="Arial"/>
          <w:sz w:val="17"/>
          <w:szCs w:val="17"/>
          <w:color w:val="auto"/>
        </w:rPr>
        <w:t>Any future public health crisis may cause disruptions in the future, which could adversely impact our ability to raise additional funds through public offerings or private placements and may also impact the volatility of our stock price and trading in our stock. Moreover, it is possible that any future public health crisis could impact economies worldwide, which could result in adverse effects on our business and operations.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 On December 11, 2023, Jason A. Amello resigned from his position as our Chief Financial Officer, principal financial officer and principal accounting officer, effective January 12, 2024. Mr. Amello will remain an advisor to us in order to support the transition of his responsibilities. On January 12, 2024, our board of directors unanimously appointed Charles Schoch as the Company’s interim Chief Financial Officer, principal financial officer and principal accounting officer, effective January 12, 2024.</w:t>
      </w:r>
    </w:p>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79" w:lineRule="exact"/>
        <w:rPr>
          <w:sz w:val="20"/>
          <w:szCs w:val="20"/>
          <w:color w:val="auto"/>
        </w:rPr>
      </w:pPr>
    </w:p>
    <w:p>
      <w:pPr>
        <w:ind w:right="520"/>
        <w:spacing w:after="0" w:line="280" w:lineRule="auto"/>
        <w:rPr>
          <w:sz w:val="20"/>
          <w:szCs w:val="20"/>
          <w:color w:val="auto"/>
        </w:rPr>
      </w:pPr>
      <w:r>
        <w:rPr>
          <w:rFonts w:ascii="Arial" w:cs="Arial" w:eastAsia="Arial" w:hAnsi="Arial"/>
          <w:sz w:val="17"/>
          <w:szCs w:val="17"/>
          <w:b w:val="1"/>
          <w:bCs w:val="1"/>
          <w:i w:val="1"/>
          <w:iCs w:val="1"/>
          <w:color w:val="auto"/>
        </w:rPr>
        <w:t>We expect to expand our development, manufacturing and regulatory capabilities and potentially implement sales, marketing and distribution capabilities, and as a result, we may encounter difficulties in managing our growth, which could disrupt our operations.</w:t>
      </w:r>
    </w:p>
    <w:p>
      <w:pPr>
        <w:spacing w:after="0" w:line="3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marketing and sales capabilities or contract with third parties to provide these capabilities. We expect the number of our employees and the scope of our operations to grow, particularly in the areas of drug development, clinical, regulatory affairs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2" w:name="page63"/>
    <w:bookmarkEnd w:id="62"/>
    <w:p>
      <w:pPr>
        <w:ind w:right="320"/>
        <w:spacing w:after="0" w:line="267" w:lineRule="auto"/>
        <w:rPr>
          <w:sz w:val="20"/>
          <w:szCs w:val="20"/>
          <w:color w:val="auto"/>
        </w:rPr>
      </w:pPr>
      <w:r>
        <w:rPr>
          <w:rFonts w:ascii="Arial" w:cs="Arial" w:eastAsia="Arial" w:hAnsi="Arial"/>
          <w:sz w:val="17"/>
          <w:szCs w:val="17"/>
          <w:color w:val="auto"/>
        </w:rPr>
        <w:t>expansion of our operations may lead to significant costs and may divert our management and business development resources. Any inability to manage growth could delay the execution of our business plans or disrupt our operations.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use of social media platforms presents new risks and challenges.</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candidates or products. If any of these events were to occur or we otherwise fail to comply with applicable regulations, we could incur liability, face regulatory actions or incur other harm to our business.</w:t>
      </w:r>
    </w:p>
    <w:p>
      <w:pPr>
        <w:spacing w:after="0" w:line="77"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that we may use in the future, or other contractors or consultants, may fail or suffer security incidents, which could result in a material disruption of our product candidates’ development programs.</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Despite our implementation of security measures, our internal computer systems, and those of our CROs that we may use in the future, information technology suppliers and other contractors and consultants are vulnerable to damage from computer viruses, cyberattacks and other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incident were to result in a loss of or damage to our data or applications, or inappropriate disclosure of personal, confidential or proprietary information, we could incur liability and the further development of any of our product candidates could be delayed. In addition, our liability and cyber insurance may not be sufficient in type or amount to cover us against claims related to security incidents, cyber-attacks or other related liabilities.</w:t>
      </w:r>
    </w:p>
    <w:p>
      <w:pPr>
        <w:spacing w:after="0" w:line="79"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Cyberattacks are increasing in their frequency, sophistication, and intensity, and are becoming increasingly difficult to detect. They are often carried out by well-resourced and skilled parties, including nation states, organized crime groups, “hacktivists” and employees or contractors acting carelessly or with malicious intent. Cyber-attacks include deployment of harmful malware and key loggers, ransomware, denial-of-service attacks, malicious websites, the use of social engineering (including phishing attacks),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privacy or security incident. Our business partners face similar risks, and any security incident related to their systems could adversely affect our security or the security of our systems or data.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Risk of cyber-attack is increased with employees working remotely. Remote work increases the risk we may be vulnerable to cybersecurity-related events such as phishing attacks and other security threats.</w:t>
      </w:r>
    </w:p>
    <w:p>
      <w:pPr>
        <w:spacing w:after="0" w:line="73"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Although we develop and maintain systems and controls designed to prevent these events from occurring,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incident, industrial espionage attacks or insider threat attacks which could result in financial, legal, business or reputational harm.</w:t>
      </w:r>
    </w:p>
    <w:p>
      <w:pPr>
        <w:spacing w:after="0" w:line="7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If a material security incident related to our information technology systems or those of our vendors occurs, the market perception of the effectiveness of our cybersecurity measures could be harmed and our reputation and credibility could be damaged. We could be required to expend significant amounts of money and other resources to repair or replace information systems or networks, including costs to deploy additional personnel and protection technologies, train employees, and engage third-party experts and consultants, which could materially and adversely affect our business, financial condition and results of operations. In addition, we could be subject to regulatory actions and/or claims made by individuals and groups in private</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63" w:name="page64"/>
    <w:bookmarkEnd w:id="63"/>
    <w:p>
      <w:pPr>
        <w:spacing w:after="0" w:line="267" w:lineRule="auto"/>
        <w:rPr>
          <w:sz w:val="20"/>
          <w:szCs w:val="20"/>
          <w:color w:val="auto"/>
        </w:rPr>
      </w:pPr>
      <w:r>
        <w:rPr>
          <w:rFonts w:ascii="Arial" w:cs="Arial" w:eastAsia="Arial" w:hAnsi="Arial"/>
          <w:sz w:val="17"/>
          <w:szCs w:val="17"/>
          <w:color w:val="auto"/>
        </w:rPr>
        <w:t>litigation involving privacy issues related to data collection and use practices and other data privacy laws and regulations, including claims for misuse or inappropriate disclosure of data, as well as unfair or deceptive practices.</w:t>
      </w:r>
    </w:p>
    <w:p>
      <w:pPr>
        <w:spacing w:after="0" w:line="51"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i w:val="1"/>
          <w:iCs w:val="1"/>
          <w:color w:val="auto"/>
        </w:rPr>
        <w:t>Our operations or those of the third parties upon whom we depend might be affected by the occurrence of a natural disaster, pandemic, war or other catastrophic event.</w:t>
      </w:r>
    </w:p>
    <w:p>
      <w:pPr>
        <w:spacing w:after="0" w:line="3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depend on our employees and consultants, CDMOs and CROs that we may use in the future,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attacks, pandemics, wars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For example, in late February 2022, Russian military forces launched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have an adverse effect on the Company’s operations. These countries may impose further sanctions or other restrictive actions against governmental or other individuals or organizations in Russia or elsewhere. In addition, in October 2023, Hamas launched an attack on Israel, and Israel declared war on Hamas, with the armed conflict ongoing as of the date of this filing. The effects of disruptive events could affect the global economy and financial and commodities markets in ways that cannot necessarily be foreseen at the present time.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CDMOs or CROs, regulatory agencies or other parties with which we are engaged could have a significant negative impact on our operations and financial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6"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 and the market price of our common stock.</w:t>
      </w:r>
    </w:p>
    <w:p>
      <w:pPr>
        <w:spacing w:after="0" w:line="49" w:lineRule="exact"/>
        <w:rPr>
          <w:sz w:val="20"/>
          <w:szCs w:val="20"/>
          <w:color w:val="auto"/>
        </w:rPr>
      </w:pPr>
    </w:p>
    <w:p>
      <w:pPr>
        <w:jc w:val="both"/>
        <w:ind w:right="280"/>
        <w:spacing w:after="0" w:line="244" w:lineRule="auto"/>
        <w:rPr>
          <w:sz w:val="20"/>
          <w:szCs w:val="20"/>
          <w:color w:val="auto"/>
        </w:rPr>
      </w:pPr>
      <w:r>
        <w:rPr>
          <w:rFonts w:ascii="Arial" w:cs="Arial" w:eastAsia="Arial" w:hAnsi="Arial"/>
          <w:sz w:val="17"/>
          <w:szCs w:val="17"/>
          <w:color w:val="auto"/>
        </w:rPr>
        <w:t>We are subject to the requirements of the Sarbanes-Oxley Act and the applicable SEC rules and regulations that require an annual management report on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69"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We cannot assure you that we will not identify material weaknesses in our internal control over financial reporting. In addition, our independent registered public accounting firm has not performed an evaluation of our internal control over financial reporting in accordance with the provisions of the SOX Act because no such evaluation has been required. Had our independent registered public accounting firm performed an evaluation of our internal control over financial reporting in accordance with the provisions of the SOX Act, one or more material weaknesses may have been identified. If future material weaknesses are identified in our internal control over financial reporting, or if we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p>
    <w:p>
      <w:pPr>
        <w:spacing w:after="0" w:line="76"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4" w:name="page65"/>
    <w:bookmarkEnd w:id="64"/>
    <w:p>
      <w:pPr>
        <w:ind w:right="40"/>
        <w:spacing w:after="0" w:line="238"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7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are required to assess the effectiveness of these controls annually. However, for as long as we are an EGC under the JOBS Act, our independent registered public accounting firm will not be required to attest to the effectiveness of our internal control over financial reporting pursuant to Section 404. We could be an EGC for up to five years. Our assessment of internal controls and procedures may not detect material weaknesses in our internal control over financial reporting. Material weaknesses in our internal control over financial reporting may go undetected and could lead to financial statement restatements and require us to incur the expense of remediation, which could have a negative effect on the trading price of our stock.</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and Compliance Matters</w:t>
      </w:r>
    </w:p>
    <w:p>
      <w:pPr>
        <w:spacing w:after="0" w:line="102"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30"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76"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loss of revenue from decreased demand for our products and/or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impairment of our business reputation or financial stability;</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costs of related litigation;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monetary awards to patients or other claimants;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diversion of management attention;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to commercialize our product candidates;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negative media attention;</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decreases in our stock price;</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initiation of investigations and enforcement actions by regulators;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product recalls, withdrawals or labeling, marketing or promotional restrictions, including withdrawal of marketing approval.</w:t>
      </w:r>
    </w:p>
    <w:p>
      <w:pPr>
        <w:spacing w:after="0" w:line="11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5" w:name="page66"/>
    <w:bookmarkEnd w:id="65"/>
    <w:p>
      <w:pPr>
        <w:ind w:right="360"/>
        <w:spacing w:after="0" w:line="267" w:lineRule="auto"/>
        <w:rPr>
          <w:sz w:val="20"/>
          <w:szCs w:val="20"/>
          <w:color w:val="auto"/>
        </w:rPr>
      </w:pPr>
      <w:r>
        <w:rPr>
          <w:rFonts w:ascii="Arial" w:cs="Arial" w:eastAsia="Arial" w:hAnsi="Arial"/>
          <w:sz w:val="17"/>
          <w:szCs w:val="17"/>
          <w:color w:val="auto"/>
        </w:rPr>
        <w:t>brought against us could cause our stock price to fall and, if judgments exceed our insurance coverage, could decrease our cash, and materially harm our business, financial condition, results of operations, stock price and prospects.</w:t>
      </w:r>
    </w:p>
    <w:p>
      <w:pPr>
        <w:spacing w:after="0" w:line="51"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5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operations are subject to anti-corruption laws, including the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also may participate in collaborations and relationships with third parties whose actions, if non-compliant,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2" w:lineRule="exact"/>
        <w:rPr>
          <w:sz w:val="20"/>
          <w:szCs w:val="20"/>
          <w:color w:val="auto"/>
        </w:rPr>
      </w:pPr>
    </w:p>
    <w:p>
      <w:pPr>
        <w:jc w:val="both"/>
        <w:ind w:right="160"/>
        <w:spacing w:after="0"/>
        <w:rPr>
          <w:sz w:val="20"/>
          <w:szCs w:val="20"/>
          <w:color w:val="auto"/>
        </w:rPr>
      </w:pPr>
      <w:r>
        <w:rPr>
          <w:rFonts w:ascii="Arial" w:cs="Arial" w:eastAsia="Arial" w:hAnsi="Arial"/>
          <w:sz w:val="17"/>
          <w:szCs w:val="17"/>
          <w:color w:val="auto"/>
        </w:rPr>
        <w:t>We are also subject to other laws and regulations governing our international operations, including regulations administered by the government of the United States, including applicable import and export control regulations, economic sanctions on countries and persons, anti-money laundering laws, customs requirements and currency exchange regulations, collectively referred to as the trade control laws.</w:t>
      </w:r>
    </w:p>
    <w:p>
      <w:pPr>
        <w:spacing w:after="0" w:line="73"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United States or other authorities could also have an adverse impact on our reputation, our business, financial condition, results of operations, stock price and prospects.</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subject to many federal and state healthcare laws, such as the federal Anti-Kickback Statute, the federal civil and criminal False Claims Acts, the civil monetary penalties statute, the Medicaid Drug Rebate statute and other price reporting requirements, the Veterans Health Care Act of 1992 (VHCA),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would be subject to healthcare fraud and abuse and patient privacy regulation by both the federal government and the states and foreign jurisdictions in which we conduct our business. In the European Union, the data privacy laws are generally stricter than those which apply in the United States and include specific requirements for the collection of personal data of European Union persons or the transfer of personal data outside of the European Union to the United States to ensure that European Union standards of data privacy will be applied to such data. For more information, see “</w:t>
      </w:r>
      <w:r>
        <w:rPr>
          <w:rFonts w:ascii="Arial" w:cs="Arial" w:eastAsia="Arial" w:hAnsi="Arial"/>
          <w:sz w:val="17"/>
          <w:szCs w:val="17"/>
          <w:i w:val="1"/>
          <w:iCs w:val="1"/>
          <w:color w:val="auto"/>
        </w:rPr>
        <w:t>Business –</w:t>
      </w:r>
      <w:r>
        <w:rPr>
          <w:rFonts w:ascii="Arial" w:cs="Arial" w:eastAsia="Arial" w:hAnsi="Arial"/>
          <w:sz w:val="17"/>
          <w:szCs w:val="17"/>
          <w:color w:val="auto"/>
        </w:rPr>
        <w:t xml:space="preserve"> </w:t>
      </w:r>
      <w:r>
        <w:rPr>
          <w:rFonts w:ascii="Arial" w:cs="Arial" w:eastAsia="Arial" w:hAnsi="Arial"/>
          <w:sz w:val="17"/>
          <w:szCs w:val="17"/>
          <w:i w:val="1"/>
          <w:iCs w:val="1"/>
          <w:color w:val="auto"/>
        </w:rPr>
        <w:t>Other Healthcare Laws and Compliance Requirements</w:t>
      </w:r>
      <w:r>
        <w:rPr>
          <w:rFonts w:ascii="Arial" w:cs="Arial" w:eastAsia="Arial" w:hAnsi="Arial"/>
          <w:sz w:val="17"/>
          <w:szCs w:val="17"/>
          <w:color w:val="auto"/>
        </w:rPr>
        <w:t>” in our Annual Report on Form 10-K for the year ended December 31, 2023.</w:t>
      </w:r>
    </w:p>
    <w:p>
      <w:pPr>
        <w:spacing w:after="0" w:line="76"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If we or our operations, including our arrangements with physicians and other healthcare providers, some of whom receive share options or other financial interest in the business as compensation for services provided, are found to be in violation of any federal or state healthcare law, or any other governmental laws or regulations that apply to us, we may be subject to penalties, including civil, criminal, and administrative penalties, damages, fines,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or they may be subject to criminal, civil or administrative sanctions, including but not limited to, exclusions from participation in government healthcare programs, which could also materially affect our business.</w:t>
      </w:r>
    </w:p>
    <w:p>
      <w:pPr>
        <w:spacing w:after="0" w:line="79"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state and foreign privacy, data protection, security, reimbursement, and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6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6" w:name="page67"/>
    <w:bookmarkEnd w:id="66"/>
    <w:p>
      <w:pPr>
        <w:spacing w:after="0" w:line="236" w:lineRule="auto"/>
        <w:rPr>
          <w:sz w:val="20"/>
          <w:szCs w:val="20"/>
          <w:color w:val="auto"/>
        </w:rPr>
      </w:pPr>
      <w:r>
        <w:rPr>
          <w:rFonts w:ascii="Arial" w:cs="Arial" w:eastAsia="Arial" w:hAnsi="Arial"/>
          <w:sz w:val="17"/>
          <w:szCs w:val="17"/>
          <w:color w:val="auto"/>
        </w:rPr>
        <w:t>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or in their implementation or interpretation may adversely affect our business and financial condition.</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Changes in tax law may adversely affect our business or financial condition. Any new taxes could adversely affect our business and financial performance. Further, existing tax laws, statutes, rules, regulations or ordinances could be interpreted, changed, modified or applied adversely to us. For example, under Section 174 of the Internal Revenue Code of 1986, as amended (the Code), in taxable years beginning after December 31, 2021, expenses that are incurred for research and development in the U.S. will be capitalized and amortized, which may have an adverse effect on our cash flow. In addition, it is uncertain if and to what extent various states will conform to changes to U.S. federal income tax law. We urge prospective investors in our common stock to consult with their legal and tax advisors with respect to any recently enacted tax legislation, or proposed changes in law, and the potential tax consequences of investing in or holding our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Under Sections 382 and 383 of the Code,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our most recent private placements, the initial public offering (the IPO), and other transactions that have occurred over the past three years, we may have experienced, an “ownership change.” We may also experience ownership changes in the future as a result of subsequent shifts in our stock ownership. As of December 31, 2023, we had U.S. federal and state net operating loss carryforwards of $86.2 million and $79.6 million, which begin to expire in 2027 and 2032, respectively, and which could be limited if we experience an “ownership change.” The reduction of the corporate tax rate under TCJA may cause a reduction in the economic benefit of our net operating loss carryforwards and other deferred tax assets available to us. Under current federal tax law, federal net operating losses generated after December 31, 2017 will not be subject to expiration but will not be permitted to be carried back. In addition, under current U.S. federal tax law, the amount of net operating losses generated after December 31, 2017 that we are permitted to deduct in any taxable year is limited to 80% of our taxable income in such year, where taxable income is determined without regard to the net operating loss deduction itself. Additionally, as of December 31, 2023, we had a U.S. federal net operating loss carryforward of $77.4 million which do not expire but is limited to an annual deduction equal to 80% of annual taxable income.</w:t>
      </w:r>
    </w:p>
    <w:p>
      <w:pPr>
        <w:spacing w:after="0" w:line="77"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If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both domestic and foreign markets, sales of our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If reimbursement is not available, or is available only to limited levels, our product candidates may be competitively disadvantaged, and we may not be able to successfully commercialize our product candidates. Even if coverage is provided, the approved reimbursement amount may not be high enough to allow us to establish or maintain a market share sufficient to realize a sufficient return on our or their investments. Alternatively, securing favorable reimbursement terms may require us to compromise pricing and prevent us from realizing an adequate margin over cost. For more information, see “</w:t>
      </w:r>
      <w:r>
        <w:rPr>
          <w:rFonts w:ascii="Arial" w:cs="Arial" w:eastAsia="Arial" w:hAnsi="Arial"/>
          <w:sz w:val="17"/>
          <w:szCs w:val="17"/>
          <w:i w:val="1"/>
          <w:iCs w:val="1"/>
          <w:color w:val="auto"/>
        </w:rPr>
        <w:t>Business – Coverage and Reimbursement</w:t>
      </w:r>
      <w:r>
        <w:rPr>
          <w:rFonts w:ascii="Arial" w:cs="Arial" w:eastAsia="Arial" w:hAnsi="Arial"/>
          <w:sz w:val="17"/>
          <w:szCs w:val="17"/>
          <w:color w:val="auto"/>
        </w:rPr>
        <w:t>” in our Annual Report on Form 10-K for the year ended December 31, 2023.</w:t>
      </w:r>
    </w:p>
    <w:p>
      <w:pPr>
        <w:spacing w:after="0" w:line="76"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67" w:name="page68"/>
    <w:bookmarkEnd w:id="67"/>
    <w:p>
      <w:pPr>
        <w:ind w:right="40"/>
        <w:spacing w:after="0" w:line="236" w:lineRule="auto"/>
        <w:rPr>
          <w:sz w:val="20"/>
          <w:szCs w:val="20"/>
          <w:color w:val="auto"/>
        </w:rPr>
      </w:pPr>
      <w:r>
        <w:rPr>
          <w:rFonts w:ascii="Arial" w:cs="Arial" w:eastAsia="Arial" w:hAnsi="Arial"/>
          <w:sz w:val="17"/>
          <w:szCs w:val="17"/>
          <w:color w:val="auto"/>
        </w:rPr>
        <w:t>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or their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w:t>
      </w:r>
    </w:p>
    <w:p>
      <w:pPr>
        <w:spacing w:after="0" w:line="7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74"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federal programs impose penalties on manufacturers of therapeutics in the form of mandatory additional rebates and/or discounts if commercial prices increase at a rate greater than the Consumer Price Index-Urban, and these rebates and/or discounts, which can be substantial, may impact our ability to raise commercial prices. A few states have also passed or are considering legislation intended to prevent significant price increases. Regulatory authorities and third-party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7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74"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principal investigators, CROs or CDMOs may engage in misconduct or other improper activities, including noncompliance with regulatory standards and requirements and insider trading, which could have a material adverse effect on our business.</w:t>
      </w:r>
    </w:p>
    <w:p>
      <w:pPr>
        <w:spacing w:after="0" w:line="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exposed to the risk of employee fraud or other misconduct. Misconduct by employees, independent contractors, consultants, commercial partners, principal investigators, CDMOs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spacing w:after="0" w:line="7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March 15, 2024, we notified Dr. Aguilar-Cordova that we had uncovered that, during his tenure as Chief Executive Officer and possibly his tenure as Chief Scientific Officer, he allegedly (i) instructed company personnel to falsify sterility testing results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68" w:name="page69"/>
    <w:bookmarkEnd w:id="68"/>
    <w:p>
      <w:pPr>
        <w:ind w:right="180"/>
        <w:spacing w:after="0" w:line="239" w:lineRule="auto"/>
        <w:rPr>
          <w:sz w:val="20"/>
          <w:szCs w:val="20"/>
          <w:color w:val="auto"/>
        </w:rPr>
      </w:pPr>
      <w:r>
        <w:rPr>
          <w:rFonts w:ascii="Arial" w:cs="Arial" w:eastAsia="Arial" w:hAnsi="Arial"/>
          <w:sz w:val="17"/>
          <w:szCs w:val="17"/>
          <w:color w:val="auto"/>
        </w:rPr>
        <w:t>that were submitted to the FDA for CAN-2409 and (ii) failed to implement an appropriate and compliant stability testing program for that same program. Upon identifying these deficiencies, we promptly updated our stability testing program to fully bring it into compliance and submitted additional information and data to the FDA regarding both the updated program and our prior testing results. Following an internal review and analysis, we also determined that trial participants who were dosed with CAN-2409 were not placed at risk, and that there was and is no risk to the integrity of our resulting clinical data related to the identified deficiencies. In the March 15, 2024 letter, we also requested that Dr. Aguilar-Cordova resign from the board of directors with immediate effect. On March 26, 2024, Dr. Aguilar-Cordova denied these allegations in response.</w:t>
      </w:r>
    </w:p>
    <w:p>
      <w:pPr>
        <w:spacing w:after="0" w:line="74"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30"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0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b w:val="1"/>
          <w:bCs w:val="1"/>
          <w:i w:val="1"/>
          <w:iCs w:val="1"/>
          <w:color w:val="auto"/>
        </w:rPr>
        <w:t>For certain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we depend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or will depend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on development and commercialization collaborators to develop and conduct clinical trials with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obtain regulatory approvals for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and if approved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market and sell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If such collaborators fail to perform as expected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the potential for us to generate future revenue from such product candidates would be significantly reduced and our business would be harmed</w:t>
      </w:r>
      <w:r>
        <w:rPr>
          <w:rFonts w:ascii="Arial" w:cs="Arial" w:eastAsia="Arial" w:hAnsi="Arial"/>
          <w:sz w:val="17"/>
          <w:szCs w:val="17"/>
          <w:i w:val="1"/>
          <w:iCs w:val="1"/>
          <w:color w:val="auto"/>
        </w:rPr>
        <w:t>.</w:t>
      </w:r>
    </w:p>
    <w:p>
      <w:pPr>
        <w:spacing w:after="0" w:line="5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For certain product candidates, we depend, or will depend, on our development and commercial collaborators to develop, conduct clinical trials of, and, if approved, commercialize product candidates. We cannot provide assurance that our collaborators will be successful in or that they will devote sufficient resources to these collaborations.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 Moreover, our ability to generate revenues from these collaborations and product candidates will depend on such collaborators’ abilities to perform in the manner we expect or fulfill their responsibilities in a timely manner, and delays by collaborators, or caused by other collaboration contract obligations, may result in a delay of our ability to disclose data.</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Our current collaborations and any future collaborations that we enter into are subject to numerous risks, including:</w:t>
      </w:r>
    </w:p>
    <w:p>
      <w:pPr>
        <w:spacing w:after="0" w:line="102"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have significant discretion in determining the efforts and resources that they will apply to the collaborations;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perform their obligations as expected or fail to fulfill their responsibilities in a timely manner, or at all;</w:t>
      </w:r>
    </w:p>
    <w:p>
      <w:pPr>
        <w:spacing w:after="0" w:line="114" w:lineRule="exact"/>
        <w:rPr>
          <w:rFonts w:ascii="Times New Roman" w:cs="Times New Roman" w:eastAsia="Times New Roman" w:hAnsi="Times New Roman"/>
          <w:sz w:val="17"/>
          <w:szCs w:val="17"/>
          <w:color w:val="auto"/>
        </w:rPr>
      </w:pPr>
    </w:p>
    <w:p>
      <w:pPr>
        <w:ind w:left="1020" w:right="40" w:hanging="503"/>
        <w:spacing w:after="0" w:line="243" w:lineRule="auto"/>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spacing w:after="0" w:line="7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fail to make timely regulatory submissions for a product candidate;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9" w:name="page70"/>
    <w:bookmarkEnd w:id="69"/>
    <w:p>
      <w:pPr>
        <w:ind w:left="1020" w:right="100" w:hanging="503"/>
        <w:spacing w:after="0" w:line="249"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65" w:lineRule="exact"/>
        <w:rPr>
          <w:rFonts w:ascii="Times New Roman" w:cs="Times New Roman" w:eastAsia="Times New Roman" w:hAnsi="Times New Roman"/>
          <w:sz w:val="17"/>
          <w:szCs w:val="17"/>
          <w:color w:val="auto"/>
        </w:rPr>
      </w:pPr>
    </w:p>
    <w:p>
      <w:pPr>
        <w:ind w:left="1020" w:right="20" w:hanging="503"/>
        <w:spacing w:after="0" w:line="249"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5"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collaborations may not result in product candidates to develop and/or preclinical studies or clinical trials conducted as part of the collaborations may not be successful;</w:t>
      </w:r>
    </w:p>
    <w:p>
      <w:pPr>
        <w:spacing w:after="0" w:line="5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51" w:lineRule="exact"/>
        <w:rPr>
          <w:rFonts w:ascii="Times New Roman" w:cs="Times New Roman" w:eastAsia="Times New Roman" w:hAnsi="Times New Roman"/>
          <w:sz w:val="17"/>
          <w:szCs w:val="17"/>
          <w:color w:val="auto"/>
        </w:rPr>
      </w:pPr>
    </w:p>
    <w:p>
      <w:pPr>
        <w:ind w:left="1020" w:right="80" w:hanging="503"/>
        <w:spacing w:after="0" w:line="266"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any such product candidate; and</w:t>
      </w:r>
    </w:p>
    <w:p>
      <w:pPr>
        <w:spacing w:after="0" w:line="51" w:lineRule="exact"/>
        <w:rPr>
          <w:rFonts w:ascii="Times New Roman" w:cs="Times New Roman" w:eastAsia="Times New Roman" w:hAnsi="Times New Roman"/>
          <w:sz w:val="17"/>
          <w:szCs w:val="17"/>
          <w:color w:val="auto"/>
        </w:rPr>
      </w:pPr>
    </w:p>
    <w:p>
      <w:pPr>
        <w:ind w:left="1020" w:right="140" w:hanging="503"/>
        <w:spacing w:after="0" w:line="249" w:lineRule="auto"/>
        <w:tabs>
          <w:tab w:leader="none" w:pos="102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For example, our license agreement with MGB may be terminated by MGB for our failure to pay, our failure to maintain proper insurance in accordance with the agreement, if we file for bankruptcy or if we remain in default for non-financial reasons following a specified cure period to remedy the breach. In the event of the termination of any collaboration or commercialization agreement,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 If one of our collaborators terminates its agreement with us, we may find it more difficult to attract new collaborators and our reputation in the business and financial communities could be adversely affected.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74"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If conflicts arise with our development and commercialization collaborators or licensors, they may act in their own self-interest, which may be adverse to the interests of our company</w:t>
      </w:r>
      <w:r>
        <w:rPr>
          <w:rFonts w:ascii="Arial" w:cs="Arial" w:eastAsia="Arial" w:hAnsi="Arial"/>
          <w:sz w:val="17"/>
          <w:szCs w:val="17"/>
          <w:i w:val="1"/>
          <w:iCs w:val="1"/>
          <w:color w:val="auto"/>
        </w:rPr>
        <w:t>.</w:t>
      </w:r>
    </w:p>
    <w:p>
      <w:pPr>
        <w:spacing w:after="0" w:line="30"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We may in the future experience disagreements with our development and commercialization collaborators or licensors. Conflicts may arise in our collaboration and license arrangements with third parties due to one or more of the following:</w:t>
      </w:r>
    </w:p>
    <w:p>
      <w:pPr>
        <w:spacing w:after="0" w:line="51"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milestone, royalty and other payments that are believed due under the applicable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ownership of intellectual property rights or scope of licenses;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scope of any reporting obligations;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contract interpretation or the preferred course of development;</w:t>
      </w:r>
    </w:p>
    <w:p>
      <w:pPr>
        <w:spacing w:after="0" w:line="114"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unwillingness on the part of a collaborator to keep us informed regarding the progress of its development and commercialization activities, or to permit public disclosure of these activities; and</w:t>
      </w:r>
    </w:p>
    <w:p>
      <w:pPr>
        <w:spacing w:after="0" w:line="51" w:lineRule="exact"/>
        <w:rPr>
          <w:rFonts w:ascii="Times New Roman" w:cs="Times New Roman" w:eastAsia="Times New Roman" w:hAnsi="Times New Roman"/>
          <w:sz w:val="17"/>
          <w:szCs w:val="17"/>
          <w:color w:val="auto"/>
        </w:rPr>
      </w:pPr>
    </w:p>
    <w:p>
      <w:pPr>
        <w:ind w:left="1020" w:right="460" w:hanging="503"/>
        <w:spacing w:after="0" w:line="266" w:lineRule="auto"/>
        <w:tabs>
          <w:tab w:leader="none" w:pos="10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a collaborator’s or our development or commercialization efforts with respect to our products and product candidates.</w:t>
      </w:r>
    </w:p>
    <w:p>
      <w:pPr>
        <w:spacing w:after="0" w:line="5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Conflicts with our development and commercialization collaborators or licensors could materially adversely affect our business, financial condition or results of operations and future growth prospects.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0" w:name="page71"/>
    <w:bookmarkEnd w:id="70"/>
    <w:p>
      <w:pPr>
        <w:ind w:right="80"/>
        <w:spacing w:after="0" w:line="256" w:lineRule="auto"/>
        <w:rPr>
          <w:sz w:val="20"/>
          <w:szCs w:val="20"/>
          <w:color w:val="auto"/>
        </w:rPr>
      </w:pPr>
      <w:r>
        <w:rPr>
          <w:rFonts w:ascii="Arial" w:cs="Arial" w:eastAsia="Arial" w:hAnsi="Arial"/>
          <w:sz w:val="17"/>
          <w:szCs w:val="17"/>
          <w:b w:val="1"/>
          <w:bCs w:val="1"/>
          <w:i w:val="1"/>
          <w:iCs w:val="1"/>
          <w:color w:val="auto"/>
        </w:rPr>
        <w:t>We rely on third parties, including independent clinical investigators and CROs to conduct and sponsor some of the clinical trials of our product candidates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Any failure by a third party to meet its obligations with respect to the clinical development of our product candidates may delay or impair our ability to obtain regulatory approval for our product candidates</w:t>
      </w:r>
      <w:r>
        <w:rPr>
          <w:rFonts w:ascii="Arial" w:cs="Arial" w:eastAsia="Arial" w:hAnsi="Arial"/>
          <w:sz w:val="17"/>
          <w:szCs w:val="17"/>
          <w:i w:val="1"/>
          <w:iCs w:val="1"/>
          <w:color w:val="auto"/>
        </w:rPr>
        <w:t>.</w:t>
      </w:r>
    </w:p>
    <w:p>
      <w:pPr>
        <w:spacing w:after="0" w:line="4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academic partners, medical institutions,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While we have, or will have, agreements governing the activities of such third parties, we will control only certain aspects of their activities and have limited influence over their actual performance.</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6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77"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7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spacing w:after="0" w:line="74"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i w:val="1"/>
          <w:iCs w:val="1"/>
          <w:color w:val="auto"/>
        </w:rPr>
        <w:t>If the manufacturers upon which we may rely fail to produce our product candidates in the volumes that we require on a timely basis, or fail to comply with stringent regulations applicable to biopharmaceutical manufacturers, we may face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1" w:name="page72"/>
    <w:bookmarkEnd w:id="71"/>
    <w:p>
      <w:pPr>
        <w:ind w:right="380"/>
        <w:spacing w:after="0" w:line="280" w:lineRule="auto"/>
        <w:rPr>
          <w:sz w:val="20"/>
          <w:szCs w:val="20"/>
          <w:color w:val="auto"/>
        </w:rPr>
      </w:pPr>
      <w:r>
        <w:rPr>
          <w:rFonts w:ascii="Arial" w:cs="Arial" w:eastAsia="Arial" w:hAnsi="Arial"/>
          <w:sz w:val="17"/>
          <w:szCs w:val="17"/>
          <w:b w:val="1"/>
          <w:bCs w:val="1"/>
          <w:i w:val="1"/>
          <w:iCs w:val="1"/>
          <w:color w:val="auto"/>
        </w:rPr>
        <w:t>delays in the development and commercialization of, or be unable to meet demand for, our product candidates and may lose potential revenues.</w:t>
      </w:r>
    </w:p>
    <w:p>
      <w:pPr>
        <w:spacing w:after="0" w:line="3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We also expect to develop commercial-scale manufacturing at third-party manufacturers for our product candidate CAN-2409. We may develop clinical manufacturing capabilities for CAN-3110 at third-party manufacturers. There can be no assurance that our supply of clinical product will not be limited, interrupted, or of satisfactory quality or continue to be available at acceptable prices. In particular, any replacement of our CDMOs could require significant effort and expertise because there may be a limited number of qualified replacements. Any delays in obtaining adequate supplies of our product candidates that meet the necessary quality standards, including delays caused by any future public health crisis, may delay our development or commercialization.</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product candidates or programs. Our product candidates may compete with other products and product candidates for access to manufacturing facilities. There are a limited number of manufacturers that operate under cGMP regulations and that are both capable of manufacturing and filling our viral product for us and willing to do so. If our existing third-party manufacturers,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therapeutic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7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Any problems or delays we experience in preparing for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spacing w:after="0" w:line="7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or key raw materials, and compliance with strictly enforced federal, state, and foreign regulations. Our CDMOs may not perform as agreed. If our manufacturers were to encounter these or other difficulties, our ability to provide product candidates to patients in our clinical trials could be jeopardized.</w:t>
      </w:r>
    </w:p>
    <w:p>
      <w:pPr>
        <w:spacing w:after="0" w:line="74"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CDMOs of our product candidates may be unable to comply with our specifications, applicable cGMP requirements or other FDA, state or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CDMOs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products or product candidates that comply with the applicable regulatory requirements may result in delays to clinical trials, product approvals, and commercialization. It may also require that we conduct additional studies.</w:t>
      </w:r>
    </w:p>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While we are ultimately responsible for the manufacturing of our product candidates and therapeutic substances,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approval from the FDA and applicable comparable foreign regulatory authorities for the use of any new manufacturers for commercial supply. The regulatory authorities may also require additional studies if a new manufacturer is relied upon for commercial production.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or approved by the FDA or another regulatory authority. The delays associated with the verification of a new CDMO</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2" w:name="page73"/>
    <w:bookmarkEnd w:id="72"/>
    <w:p>
      <w:pPr>
        <w:ind w:right="20"/>
        <w:spacing w:after="0" w:line="241" w:lineRule="auto"/>
        <w:rPr>
          <w:sz w:val="20"/>
          <w:szCs w:val="20"/>
          <w:color w:val="auto"/>
        </w:rPr>
      </w:pPr>
      <w:r>
        <w:rPr>
          <w:rFonts w:ascii="Arial" w:cs="Arial" w:eastAsia="Arial" w:hAnsi="Arial"/>
          <w:sz w:val="17"/>
          <w:szCs w:val="17"/>
          <w:color w:val="auto"/>
        </w:rPr>
        <w:t>could negatively affect our ability to develop product candidates or once approved, to commercialize those product candidates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72"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A failure to comply with the applicable regulatory requirements, including periodic regulatory inspections, may result in regulatory enforcement actions against our manufacturers or us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consent decrees, withdrawal of product approval, environmental or safety incidents and other liabilities.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7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Any failure or refusal to supply our product candidates or components for our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67" w:lineRule="exact"/>
        <w:rPr>
          <w:sz w:val="20"/>
          <w:szCs w:val="20"/>
          <w:color w:val="auto"/>
        </w:rPr>
      </w:pPr>
    </w:p>
    <w:p>
      <w:pPr>
        <w:jc w:val="both"/>
        <w:ind w:right="220"/>
        <w:spacing w:after="0" w:line="256" w:lineRule="auto"/>
        <w:rPr>
          <w:sz w:val="20"/>
          <w:szCs w:val="20"/>
          <w:color w:val="auto"/>
        </w:rPr>
      </w:pPr>
      <w:r>
        <w:rPr>
          <w:rFonts w:ascii="Arial" w:cs="Arial" w:eastAsia="Arial" w:hAnsi="Arial"/>
          <w:sz w:val="17"/>
          <w:szCs w:val="17"/>
          <w:b w:val="1"/>
          <w:bCs w:val="1"/>
          <w:i w:val="1"/>
          <w:iCs w:val="1"/>
          <w:color w:val="auto"/>
        </w:rPr>
        <w:t>Some of our product candidates are being and may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4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have supplied and may continue to supply and otherwise support third party research, including investigator-sponsored clinical trials. Investigator-sponsored clinical trials pose similar risks as those set forth elsewhere in this “Risk Factors” section relating to our internally-sponsored clinical trials, but because we are not be the sponsors of these trials, we have less control over the protocols, administration or conduct of these trials, including follow-up with patients and ongoing collection of data after treatment. Additionally, third party clinical research has been and may continue to be conducted with CAN-3110 and CAN-2409 which was not provided by us. The conduct or findings of these trials may have a negative impact on our development programs notwithstanding that we have little involvement or control over these trials. As a result, we are subject to additional risks associated with the way investigator-sponsored trials are conducted. In particular, for trials in which we supply drug product, we may be named in lawsuits that would lead to increased costs associated with legal defense.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As a result, our lack of control over the conduct and timing of and communications with the FDA and other regulatory authorities regarding investigator-sponsored trials may expose us to additional risks and uncertainties, many of which are outside our control, and the occurrence of which could adversely affect the commercial prospects for our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81"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We have completed and may in the future complete related party transactions that were not and may not be conducted on an arm’s length basis.</w:t>
      </w:r>
    </w:p>
    <w:p>
      <w:pPr>
        <w:spacing w:after="0" w:line="3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in the past been and continue to be party to certain transactions with certain entities affiliated with Estuardo Aguilar-Cordova, our founder and former Chief Scientific Officer, and Laura Aguilar, our former Chief Medical Officer. For instance, we have entered into an exclusive license agreement with Ventagen, LLC (Ventagen), an entity owned in part (49.5%), though not managed, by Estuardo Aguilar-Cordova and Laura Aguilar, for the use of worldwide patent rights and know-how owned or controlled by us which cover applicable technology utilizing the delivery method of the herpes derived TK protein to tumors or other tissues via a viral vector.</w:t>
      </w:r>
    </w:p>
    <w:p>
      <w:pPr>
        <w:spacing w:after="0" w:line="72"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In January 2008, we entered into an operating lease agreement with a term through December 31, 2022 with Ellka Holdings, LLC (Ellka), for the space in which we operated in Auburndale, MA. In May 2016, we entered into a second lease agreement with Ellka for living space for employees, also in Auburndale, MA. We entered into a second lease for this space on July 26, 2018, which expired on July 31, 2019. Ellka was originally established in 2007 as an LLC for the purpose of acquiring and managing investment properties owned by Laura Aguilar and Estuardo Aguilar-Cordova and their children’s trusts. Ellka is owned and operated by Laura Aguilar and Estuardo Aguilar-Cordova and members of their immediate family. Although we</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3" w:name="page74"/>
    <w:bookmarkEnd w:id="73"/>
    <w:p>
      <w:pPr>
        <w:ind w:right="80"/>
        <w:spacing w:after="0" w:line="267" w:lineRule="auto"/>
        <w:rPr>
          <w:sz w:val="20"/>
          <w:szCs w:val="20"/>
          <w:color w:val="auto"/>
        </w:rPr>
      </w:pPr>
      <w:r>
        <w:rPr>
          <w:rFonts w:ascii="Arial" w:cs="Arial" w:eastAsia="Arial" w:hAnsi="Arial"/>
          <w:sz w:val="17"/>
          <w:szCs w:val="17"/>
          <w:color w:val="auto"/>
        </w:rPr>
        <w:t>believe that these transactions were conducted on an arm’s length basis, it is possible that the terms were less favorable to us than they might have been in a transaction with an unrelated party.</w:t>
      </w:r>
    </w:p>
    <w:p>
      <w:pPr>
        <w:spacing w:after="0" w:line="5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As of May 6, 2024, Estuardo Aguilar-Cordova and Laura Aguilar beneficially owned 6,200,755 shares of our common stock, or approximately 20.8% of our total outstanding capital stock as of such date. Accordingly, they will continue to have significant influence over all business decisions, including with respect to such matters as amendments to our charter, other fundamental corporate transactions, such as mergers, asset sales, and the sale of the Company, and otherwise will be able to influence our business and affairs. In connection with the IPO, we adopted a written related-person transactions policy that sets forth our policies and procedures regarding the identification, review, consideration and oversight of related-person transactions.</w:t>
      </w:r>
    </w:p>
    <w:p>
      <w:pPr>
        <w:spacing w:after="0" w:line="74"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which increases the possibility that a competitor will discover them or that our trade secrets will be misappropriated or disclosed</w:t>
      </w:r>
      <w:r>
        <w:rPr>
          <w:rFonts w:ascii="Arial" w:cs="Arial" w:eastAsia="Arial" w:hAnsi="Arial"/>
          <w:sz w:val="17"/>
          <w:szCs w:val="17"/>
          <w:i w:val="1"/>
          <w:iCs w:val="1"/>
          <w:color w:val="auto"/>
        </w:rPr>
        <w:t>.</w:t>
      </w:r>
    </w:p>
    <w:p>
      <w:pPr>
        <w:spacing w:after="0" w:line="3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74"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7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02"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5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are and expect to continue to be reliant upon third-party licensors for certain patent and other intellectual property rights that are important or necessary to the development of some of our technology and product candidates. For example, we rely on licenses from MGB and Periphagen to certain patent rights. These license agreements impose,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p>
    <w:p>
      <w:pPr>
        <w:spacing w:after="0" w:line="7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any of our license agreements are terminated, we may lose our rights to develop and commercialize certain of our product candidates and technology, lose patent protection, experience significant delays in the development and commercialization of certain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color w:val="auto"/>
        </w:rPr>
        <w:t>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240" w:hanging="503"/>
        <w:spacing w:after="0" w:line="266" w:lineRule="auto"/>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our or our licensors’ ability to obtain, maintain and defend intellectual property and to enforce intellectual property rights against third parties;</w:t>
      </w:r>
    </w:p>
    <w:p>
      <w:pPr>
        <w:spacing w:after="0" w:line="51"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technology, product candidates and processes infringe, misappropriate or otherwise violate the intellectual property of the licensor that is not subject to the license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intellectual property rights under our license agreements;</w:t>
      </w:r>
    </w:p>
    <w:p>
      <w:pPr>
        <w:spacing w:after="0" w:line="114" w:lineRule="exact"/>
        <w:rPr>
          <w:rFonts w:ascii="Times New Roman" w:cs="Times New Roman" w:eastAsia="Times New Roman" w:hAnsi="Times New Roman"/>
          <w:sz w:val="17"/>
          <w:szCs w:val="17"/>
          <w:color w:val="auto"/>
        </w:rPr>
      </w:pPr>
    </w:p>
    <w:p>
      <w:pPr>
        <w:ind w:left="1020" w:right="700" w:hanging="503"/>
        <w:spacing w:after="0" w:line="266" w:lineRule="auto"/>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development, regulatory, commercialization, financial or other obligations under the license agreement and what activities satisfy those diligence obligations;</w:t>
      </w:r>
    </w:p>
    <w:p>
      <w:pPr>
        <w:spacing w:after="0" w:line="51"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current or future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spacing w:after="0" w:line="7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Moreover, some of our in-licensed patent and other intellectual property rights may in the future be subject to third-party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79"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w:t>
      </w:r>
    </w:p>
    <w:p>
      <w:pPr>
        <w:spacing w:after="0" w:line="72"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30"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Our business will depend in large part on obtaining and maintaining patent, trademark and trade secret protection of our proprietary technologies and our product candidates, their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5" w:name="page76"/>
    <w:bookmarkEnd w:id="75"/>
    <w:p>
      <w:pPr>
        <w:spacing w:after="0" w:line="244" w:lineRule="auto"/>
        <w:rPr>
          <w:sz w:val="20"/>
          <w:szCs w:val="20"/>
          <w:color w:val="auto"/>
        </w:rPr>
      </w:pPr>
      <w:r>
        <w:rPr>
          <w:rFonts w:ascii="Arial" w:cs="Arial" w:eastAsia="Arial" w:hAnsi="Arial"/>
          <w:sz w:val="17"/>
          <w:szCs w:val="17"/>
          <w:color w:val="auto"/>
        </w:rPr>
        <w:t>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6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and patents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3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and directed to our product candidates, and, if we were not, we may be precluded from obtaining patent protection for our technology, including our product candidates.</w:t>
      </w:r>
    </w:p>
    <w:p>
      <w:pPr>
        <w:spacing w:after="0" w:line="5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patents, and, if we are not, we may be subject to priority disputes.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and patents.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76" w:lineRule="exact"/>
        <w:rPr>
          <w:sz w:val="20"/>
          <w:szCs w:val="20"/>
          <w:color w:val="auto"/>
        </w:rPr>
      </w:pPr>
    </w:p>
    <w:p>
      <w:pPr>
        <w:jc w:val="both"/>
        <w:ind w:right="140"/>
        <w:spacing w:after="0" w:line="241"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the patents we in-license or narrow the scope of our patent protection. In addition, the laws of foreign countries may not protect our rights to the same extent or in the same manner as the laws of the United States. For example, European patent law is more restrictive than U.S. patent law in connection with the patentability of methods of treatment of the human body and Chinese bankruptcy law may not provide a licensee the same protections as U.S. bankruptcy law.</w:t>
      </w:r>
    </w:p>
    <w:p>
      <w:pPr>
        <w:spacing w:after="0" w:line="72"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Furthermore, in the United States, patent reform legislation could increase the uncertainties and costs surrounding the prosecution of our patent applications and the enforcement or defense of our issued patents. Under the Leahy-Smith America Invents Act (the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unclear as the USPTO continues to develop new regulations and procedures in connection with the America Invents Act. In addition, the patent positions of companies in the development and commercialization of biopharmaceuticals are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6" w:name="page77"/>
    <w:bookmarkEnd w:id="76"/>
    <w:p>
      <w:pPr>
        <w:spacing w:after="0" w:line="239" w:lineRule="auto"/>
        <w:rPr>
          <w:sz w:val="20"/>
          <w:szCs w:val="20"/>
          <w:color w:val="auto"/>
        </w:rPr>
      </w:pPr>
      <w:r>
        <w:rPr>
          <w:rFonts w:ascii="Arial" w:cs="Arial" w:eastAsia="Arial" w:hAnsi="Arial"/>
          <w:sz w:val="17"/>
          <w:szCs w:val="17"/>
          <w:color w:val="auto"/>
        </w:rPr>
        <w:t>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increase the uncertainties and costs surrounding the prosecution of our patent applications and have a material adverse effect on our existing patent portfolio and our ability to protect and enforce our intellectual property in the future.</w:t>
      </w:r>
    </w:p>
    <w:p>
      <w:pPr>
        <w:spacing w:after="0" w:line="74"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 xml:space="preserve">In addition, the European Union opened a Unified Patent Court (UPC) in June 2023. The UPC is a common patent court that hears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our European patents. We </w:t>
      </w:r>
      <w:r>
        <w:rPr>
          <w:rFonts w:ascii="Arial" w:cs="Arial" w:eastAsia="Arial" w:hAnsi="Arial"/>
          <w:sz w:val="17"/>
          <w:szCs w:val="17"/>
          <w:u w:val="single" w:color="auto"/>
          <w:color w:val="auto"/>
        </w:rPr>
        <w:t>have opted out of the UPC for our European</w:t>
      </w:r>
      <w:r>
        <w:rPr>
          <w:rFonts w:ascii="Arial" w:cs="Arial" w:eastAsia="Arial" w:hAnsi="Arial"/>
          <w:sz w:val="17"/>
          <w:szCs w:val="17"/>
          <w:color w:val="auto"/>
        </w:rPr>
        <w:t xml:space="preserve"> </w:t>
      </w:r>
      <w:r>
        <w:rPr>
          <w:rFonts w:ascii="Arial" w:cs="Arial" w:eastAsia="Arial" w:hAnsi="Arial"/>
          <w:sz w:val="17"/>
          <w:szCs w:val="17"/>
          <w:u w:val="single" w:color="auto"/>
          <w:color w:val="auto"/>
        </w:rPr>
        <w:t>patents and applications and</w:t>
      </w:r>
      <w:r>
        <w:rPr>
          <w:rFonts w:ascii="Arial" w:cs="Arial" w:eastAsia="Arial" w:hAnsi="Arial"/>
          <w:sz w:val="17"/>
          <w:szCs w:val="17"/>
          <w:color w:val="auto"/>
        </w:rPr>
        <w:t xml:space="preserve"> may decide to opt out of any future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even if we elected, or in the future elect, to opt out of the UPC.</w:t>
      </w:r>
    </w:p>
    <w:p>
      <w:pPr>
        <w:spacing w:after="0" w:line="7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cannot predict whether the patent applications we in-license currently being pursued will issue as patents, whether the claims of any patent that has or may issue will provide us with a competitive advantage or prevent competitors from designing around the claims to develop competing technologies in a non-infringing manner, or whether we or our licensors will be able to successfully pursue patent applications in the future relating to our current product candidates or future products and product candidates. Moreover, the patent application and approval process is expensive and time-consuming. We or our licensors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Even if the patent applications we in-license issue as patents, they may not issue in a form that will provide us with any meaningful protection, prevent competitors from competing with us or otherwise provide us with any competitive advantage. Our competitors may be able to circumvent our patent rights by developing similar or alternative technologies or products in a non-infringing manner. Our competitors may also seek approval to market their own products similar to or otherwise competitive with our product candidates. Alternatively, our competitors may seek to market generic versions of any approved products by submitting abbreviated BLAs to the FDA during which process they may claim that patents licensed by us are invalid, unenforceable or not infringed. In these circumstances, we may need to defend or assert our intellectual property rights, or both, including by filing lawsuits alleging patent infringement. In any of these types of proceedings, a court or other agency with jurisdiction may find the patents we in-license invalid or unenforceable, or that our competitors are competing in a non-infringing manner. Thus, even if we have in-licensed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73"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1" w:lineRule="exact"/>
        <w:rPr>
          <w:sz w:val="20"/>
          <w:szCs w:val="20"/>
          <w:color w:val="auto"/>
        </w:rPr>
      </w:pPr>
    </w:p>
    <w:p>
      <w:pPr>
        <w:ind w:left="1020" w:right="120" w:hanging="503"/>
        <w:spacing w:after="0" w:line="266"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5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14" w:lineRule="exact"/>
        <w:rPr>
          <w:rFonts w:ascii="Times New Roman" w:cs="Times New Roman" w:eastAsia="Times New Roman" w:hAnsi="Times New Roman"/>
          <w:sz w:val="17"/>
          <w:szCs w:val="17"/>
          <w:color w:val="auto"/>
        </w:rPr>
      </w:pPr>
    </w:p>
    <w:p>
      <w:pPr>
        <w:ind w:left="1020" w:right="260" w:hanging="503"/>
        <w:spacing w:after="0" w:line="266"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others may circumvent our owned or in-licensed patents;</w:t>
      </w:r>
    </w:p>
    <w:p>
      <w:pPr>
        <w:spacing w:after="0" w:line="114" w:lineRule="exact"/>
        <w:rPr>
          <w:rFonts w:ascii="Times New Roman" w:cs="Times New Roman" w:eastAsia="Times New Roman" w:hAnsi="Times New Roman"/>
          <w:sz w:val="17"/>
          <w:szCs w:val="17"/>
          <w:color w:val="auto"/>
        </w:rPr>
      </w:pPr>
    </w:p>
    <w:p>
      <w:pPr>
        <w:ind w:left="1020" w:right="500" w:hanging="503"/>
        <w:spacing w:after="0" w:line="266"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7" w:name="page78"/>
    <w:bookmarkEnd w:id="77"/>
    <w:p>
      <w:pPr>
        <w:ind w:left="1020" w:hanging="503"/>
        <w:spacing w:after="0" w:line="266" w:lineRule="auto"/>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14"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our owned, co-owned, or in-licensed issued patents may not provide us with any competitive advantages, may be narrowed in scope, or be held invalid or unenforceable as a result of legal challenges by third parties;</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 of our owned, co-owned,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65"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co-owners of certain of our patent applications may become involved with, or license or assign the co-owned applications to competitors, or become hostile to us or the patents or patent applications on which they are named as co-owners;</w:t>
      </w:r>
    </w:p>
    <w:p>
      <w:pPr>
        <w:spacing w:after="0" w:line="51" w:lineRule="exact"/>
        <w:rPr>
          <w:rFonts w:ascii="Times New Roman" w:cs="Times New Roman" w:eastAsia="Times New Roman" w:hAnsi="Times New Roman"/>
          <w:sz w:val="17"/>
          <w:szCs w:val="17"/>
          <w:color w:val="auto"/>
        </w:rPr>
      </w:pPr>
    </w:p>
    <w:p>
      <w:pPr>
        <w:jc w:val="both"/>
        <w:ind w:left="1020" w:right="540" w:hanging="503"/>
        <w:spacing w:after="0" w:line="249" w:lineRule="auto"/>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5"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patents of others may have an adverse effect on our business.</w:t>
      </w:r>
    </w:p>
    <w:p>
      <w:pPr>
        <w:spacing w:after="0" w:line="114"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4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14"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74"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8" w:name="page79"/>
    <w:bookmarkEnd w:id="78"/>
    <w:p>
      <w:pPr>
        <w:ind w:right="20"/>
        <w:spacing w:after="0" w:line="241" w:lineRule="auto"/>
        <w:rPr>
          <w:sz w:val="20"/>
          <w:szCs w:val="20"/>
          <w:color w:val="auto"/>
        </w:rPr>
      </w:pPr>
      <w:r>
        <w:rPr>
          <w:rFonts w:ascii="Arial" w:cs="Arial" w:eastAsia="Arial" w:hAnsi="Arial"/>
          <w:sz w:val="17"/>
          <w:szCs w:val="17"/>
          <w:color w:val="auto"/>
        </w:rPr>
        <w:t>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research development strategy includes the establishment of coculture cancer cells, immune cells and viruses. Our techniques for establishing these cocultures and testing our experimental agents in these assays are proprietary and confidential. If one or more third parties obtain or are otherwise able to replicate these techniques, an important feature and differentiator of our research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9" w:name="page80"/>
    <w:bookmarkEnd w:id="79"/>
    <w:p>
      <w:pPr>
        <w:ind w:left="1020" w:right="300" w:hanging="503"/>
        <w:spacing w:after="0" w:line="266"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51" w:lineRule="exact"/>
        <w:rPr>
          <w:rFonts w:ascii="Times New Roman" w:cs="Times New Roman" w:eastAsia="Times New Roman" w:hAnsi="Times New Roman"/>
          <w:sz w:val="17"/>
          <w:szCs w:val="17"/>
          <w:color w:val="auto"/>
        </w:rPr>
      </w:pPr>
    </w:p>
    <w:p>
      <w:pPr>
        <w:ind w:left="1020" w:right="60" w:hanging="503"/>
        <w:spacing w:after="0" w:line="249"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65"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65" w:lineRule="exact"/>
        <w:rPr>
          <w:rFonts w:ascii="Times New Roman" w:cs="Times New Roman" w:eastAsia="Times New Roman" w:hAnsi="Times New Roman"/>
          <w:sz w:val="17"/>
          <w:szCs w:val="17"/>
          <w:color w:val="auto"/>
        </w:rPr>
      </w:pPr>
    </w:p>
    <w:p>
      <w:pPr>
        <w:ind w:left="1020" w:right="660" w:hanging="503"/>
        <w:spacing w:after="0" w:line="266" w:lineRule="auto"/>
        <w:tabs>
          <w:tab w:leader="none" w:pos="102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5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72" w:lineRule="exact"/>
        <w:rPr>
          <w:sz w:val="20"/>
          <w:szCs w:val="20"/>
          <w:color w:val="auto"/>
        </w:rPr>
      </w:pPr>
    </w:p>
    <w:p>
      <w:pPr>
        <w:jc w:val="both"/>
        <w:ind w:right="300"/>
        <w:spacing w:after="0" w:line="280"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3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0" w:name="page81"/>
    <w:bookmarkEnd w:id="80"/>
    <w:p>
      <w:pPr>
        <w:ind w:right="120"/>
        <w:spacing w:after="0" w:line="280"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misappropriated trade secrets, or are in breach of non-competition or non-solicitation agreements with our competitors.</w:t>
      </w:r>
    </w:p>
    <w:p>
      <w:pPr>
        <w:spacing w:after="0" w:line="3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8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Uncertainties resulting from the initiation and continuation of patent litigation or other intellectual property related proceedings could adversely affect our ability to compete in the marketplace.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102"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5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7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74" w:lineRule="exact"/>
        <w:rPr>
          <w:sz w:val="20"/>
          <w:szCs w:val="20"/>
          <w:color w:val="auto"/>
        </w:rPr>
      </w:pPr>
    </w:p>
    <w:p>
      <w:pPr>
        <w:ind w:right="760"/>
        <w:spacing w:after="0" w:line="280"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3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1" w:name="page82"/>
    <w:bookmarkEnd w:id="81"/>
    <w:p>
      <w:pPr>
        <w:ind w:right="280"/>
        <w:spacing w:after="0" w:line="244" w:lineRule="auto"/>
        <w:rPr>
          <w:sz w:val="20"/>
          <w:szCs w:val="20"/>
          <w:color w:val="auto"/>
        </w:rPr>
      </w:pPr>
      <w:r>
        <w:rPr>
          <w:rFonts w:ascii="Arial" w:cs="Arial" w:eastAsia="Arial" w:hAnsi="Arial"/>
          <w:sz w:val="17"/>
          <w:szCs w:val="17"/>
          <w:color w:val="auto"/>
        </w:rPr>
        <w:t>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6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We may choose to challenge the patentability of claims in a third-party’s U.S. patent by requesting that the USPTO review the patent claims in an </w:t>
      </w:r>
      <w:r>
        <w:rPr>
          <w:rFonts w:ascii="Arial" w:cs="Arial" w:eastAsia="Arial" w:hAnsi="Arial"/>
          <w:sz w:val="17"/>
          <w:szCs w:val="17"/>
          <w:i w:val="1"/>
          <w:iCs w:val="1"/>
          <w:color w:val="auto"/>
        </w:rPr>
        <w:t xml:space="preserve">ex-parte </w:t>
      </w:r>
      <w:r>
        <w:rPr>
          <w:rFonts w:ascii="Arial" w:cs="Arial" w:eastAsia="Arial" w:hAnsi="Arial"/>
          <w:sz w:val="17"/>
          <w:szCs w:val="17"/>
          <w:color w:val="auto"/>
        </w:rPr>
        <w:t>re-examination,</w:t>
      </w:r>
      <w:r>
        <w:rPr>
          <w:rFonts w:ascii="Arial" w:cs="Arial" w:eastAsia="Arial" w:hAnsi="Arial"/>
          <w:sz w:val="17"/>
          <w:szCs w:val="17"/>
          <w:i w:val="1"/>
          <w:iCs w:val="1"/>
          <w:color w:val="auto"/>
        </w:rPr>
        <w:t xml:space="preserve"> inter partes </w:t>
      </w:r>
      <w:r>
        <w:rPr>
          <w:rFonts w:ascii="Arial" w:cs="Arial" w:eastAsia="Arial" w:hAnsi="Arial"/>
          <w:sz w:val="17"/>
          <w:szCs w:val="17"/>
          <w:color w:val="auto"/>
        </w:rPr>
        <w:t>review or post-grant review proceeding. These proceedings are expensive and may consume our time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We may choose to challenge a third-party’s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7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69" w:lineRule="exact"/>
        <w:rPr>
          <w:sz w:val="20"/>
          <w:szCs w:val="20"/>
          <w:color w:val="auto"/>
        </w:rPr>
      </w:pPr>
    </w:p>
    <w:p>
      <w:pPr>
        <w:jc w:val="both"/>
        <w:ind w:right="340"/>
        <w:spacing w:after="0" w:line="25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79"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Issued patents covering our product candidates could be found invalid or unenforceable if challenged in court or the USPTO or could expire before the first product achieves marketing approval.</w:t>
      </w:r>
    </w:p>
    <w:p>
      <w:pPr>
        <w:spacing w:after="0" w:line="3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2" w:name="page83"/>
    <w:bookmarkEnd w:id="82"/>
    <w:p>
      <w:pPr>
        <w:ind w:right="180"/>
        <w:spacing w:after="0" w:line="237" w:lineRule="auto"/>
        <w:rPr>
          <w:sz w:val="20"/>
          <w:szCs w:val="20"/>
          <w:color w:val="auto"/>
        </w:rPr>
      </w:pPr>
      <w:r>
        <w:rPr>
          <w:rFonts w:ascii="Arial" w:cs="Arial" w:eastAsia="Arial" w:hAnsi="Arial"/>
          <w:sz w:val="17"/>
          <w:szCs w:val="17"/>
          <w:color w:val="auto"/>
        </w:rPr>
        <w:t>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76"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Likewise, we own a U.S. patent relating to our CAN-2409 product candidate that expires in 2034, and our in-licensed U.S. and non-U.S. patents relating to our HSV-based product candidates, licensed from MGB and from Periphagen are expected to expire in 2036 and in 2037, respectively, without taking into account any possible patent term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and in-license pending patent applications relating to our proprietary technologies or our product candidates that if issued as patents are expected to expire from 2034 through 2044, without taking into account any possible patent term adjustments or extensions. However, we cannot be assured that the USPTO or relevant foreign patent offices will grant any of these patent applications or that the term of the patent will be sufficient to protect the proprietary technologies or product candidates.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0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7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4" w:lineRule="exact"/>
        <w:rPr>
          <w:sz w:val="20"/>
          <w:szCs w:val="20"/>
          <w:color w:val="auto"/>
        </w:rPr>
      </w:pPr>
    </w:p>
    <w:p>
      <w:pPr>
        <w:ind w:right="840"/>
        <w:spacing w:after="0" w:line="280"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3" w:name="page84"/>
    <w:bookmarkEnd w:id="83"/>
    <w:p>
      <w:pPr>
        <w:ind w:right="20"/>
        <w:spacing w:after="0" w:line="236"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73"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0"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to stockholders.</w:t>
      </w:r>
    </w:p>
    <w:p>
      <w:pPr>
        <w:spacing w:after="0" w:line="102"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Our stock price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price at which it was purchased. The market price for our common stock may be influenced by many factors, including:</w:t>
      </w:r>
    </w:p>
    <w:p>
      <w:pPr>
        <w:spacing w:after="0" w:line="69"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the success of competitive products or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results of clinical trials of our product candidates or those of our competitors;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commencement or termination of collaboration, licensing or similar arrangements for our development programs;</w:t>
      </w:r>
    </w:p>
    <w:p>
      <w:pPr>
        <w:spacing w:after="0" w:line="114" w:lineRule="exact"/>
        <w:rPr>
          <w:rFonts w:ascii="Times New Roman" w:cs="Times New Roman" w:eastAsia="Times New Roman" w:hAnsi="Times New Roman"/>
          <w:sz w:val="17"/>
          <w:szCs w:val="17"/>
          <w:color w:val="auto"/>
        </w:rPr>
      </w:pPr>
    </w:p>
    <w:p>
      <w:pPr>
        <w:ind w:left="1020" w:right="840" w:hanging="503"/>
        <w:spacing w:after="0" w:line="266" w:lineRule="auto"/>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announcements by our competitors of significant acquisitions, strategic partnerships, joint ventures, collaborations or capital commitments;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or legal developments in the United States and other countries;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the recruitment or departure of key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the results of our efforts to discover, develop, acquire or in-license additional product candidates or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setbacks related to drugs that are co-administered with any of our product candidates, such as checkpoint inhibitors;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expiration of market stand-off or lock-up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the structure of healthcare payment systems;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market conditions in the pharmaceutical and biotechnology sectors;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general economic, industry and market conditions and overall fluctuations in the financial markets in the United States and abroad;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the other factors described in this “Risk Factors” section.</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i w:val="1"/>
          <w:iCs w:val="1"/>
          <w:color w:val="auto"/>
        </w:rPr>
        <w:t>Our failure to maintain compliance with Nasdaq’s continued listing requirements could result in the delisting of our common stock.</w:t>
      </w:r>
    </w:p>
    <w:p>
      <w:pPr>
        <w:spacing w:after="0" w:line="102"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Our common stock is currently listed for trading on The Nasdaq Global Market (Nasdaq). We must satisfy the continued listing requirements of Nasdaq to maintain the listing of our common stock on Nasdaq. On November 15, 2023, we received a letter from the Listing Qualifications Department (the Staff) of The Nasdaq Stock Market LLC notifying us that, for the previous 30 consecutive business days, the closing bid price for our common stock had been below the minimum $1.00 per share required for continued listing on Nasdaq under Nasdaq Listing Rule 5450(a)(1) (the Bid Price Requirement). On December 28, 2023, the Staff notified us that, as of December 28, 2023, we had regained compliance with the Bid Price Requirement and that the matter was closed.</w:t>
      </w:r>
    </w:p>
    <w:p>
      <w:pPr>
        <w:spacing w:after="0" w:line="74"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If we are deficient in maintaining the necessary listing requirements, our common stock may be delisted. If our common stock is delisted, an active trading market for our common stock may not be sustained and the market price of our common stock could decline. Delisting of our common stock could adversely affect our ability to raise additional capital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74"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Raising additional capital through the sale of a substantial number of shares of our common stock, or the perception that sales of a substantial number of shares of our common stock might occur, may cause dilution to our stockholders, could cause our stock price to decline and could restrict our operations or require us to relinquish rights to our technologies or current or future product candidates.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may materially adversely affect your rights as a common stockholder. In August 2022, we filed a registration statement on Form S-3 (as amended, the Shelf) pursuant to which we may issue up to $75.0 million in shares of common stock in sales deemed to be “at-the-market offerings” (the ATM Program) as defined by the Securities Act of 1933, as amended (Securities Act), and up to $200.0 million in shares of our common stock, preferred stock, debt securities, warrants and/or units. As of May 6, 2024, we have sold and issued 109,485 shares of common stock under the ATM Program, with total net proceeds of $0.2 million. Any sale or issuance of securities pursuant to this registration statement or otherwise may result in dilution to our stockholders and may cause our stock price to decline. During the three months ended March 31, 2024, we were subject to the SEC’s “baby shelf rules,” which prohibit companies with a public float of less than $75.0 million from issuing securities under a shelf registration statement in excess of one third of such company’s public float in a 12-month period, and we were only able to issue a limited number of shares which aggregate to no more than one-third of our public float using our Shelf. On April 4, 2024, our public float increased above $75.0 million, and as a result, we are no longer subject to the “baby shelf rules.” If our public float is less than $75.0 million on the applicable measurement date in the future, we will again become subject to the baby shelf rules. Although alternative public and private transaction structures may be available, these may require additional time and cost, may impose operational restrictions on us, and may not be available on attractive terms.</w:t>
      </w:r>
    </w:p>
    <w:p>
      <w:pPr>
        <w:spacing w:after="0" w:line="193"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Debt financing, if available, would increase our fixed payment obligations and may involve agreements that include covenants limiting or restricting our ability to take specific actions, such as incurring additional debt, acquiring, selling or licensing intellectual property rights,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74"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We are an “emerging growth company” as defined in the JOBS Act and a “smaller reporting company” as defined in the Securities Exchange Act of 1934, as amended (the Exchange Act), and will be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5" w:name="page86"/>
    <w:bookmarkEnd w:id="85"/>
    <w:p>
      <w:pPr>
        <w:ind w:right="60"/>
        <w:spacing w:after="0" w:line="238"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We will remain an emerging growth company until the earlier of (i) the last day of the fiscal year in which we have total annual gross revenues of $1.235 billion or more; (ii) December 31, 2026;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4"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the auditor attestation requirements of Section 404 of the SOX Act (Section 404);</w:t>
      </w:r>
    </w:p>
    <w:p>
      <w:pPr>
        <w:spacing w:after="0" w:line="114" w:lineRule="exact"/>
        <w:rPr>
          <w:rFonts w:ascii="Times New Roman" w:cs="Times New Roman" w:eastAsia="Times New Roman" w:hAnsi="Times New Roman"/>
          <w:sz w:val="17"/>
          <w:szCs w:val="17"/>
          <w:color w:val="auto"/>
        </w:rPr>
      </w:pPr>
    </w:p>
    <w:p>
      <w:pPr>
        <w:ind w:left="1020" w:right="60" w:hanging="503"/>
        <w:spacing w:after="0" w:line="249"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5" w:lineRule="exact"/>
        <w:rPr>
          <w:rFonts w:ascii="Times New Roman" w:cs="Times New Roman" w:eastAsia="Times New Roman" w:hAnsi="Times New Roman"/>
          <w:sz w:val="17"/>
          <w:szCs w:val="17"/>
          <w:color w:val="auto"/>
        </w:rPr>
      </w:pPr>
    </w:p>
    <w:p>
      <w:pPr>
        <w:jc w:val="both"/>
        <w:ind w:left="1020" w:right="580" w:hanging="503"/>
        <w:spacing w:after="0" w:line="266"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reduced disclosure obligations regarding executive compensation; and</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5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may choose to take advantage of some, but not all, of the available exemptions. For example, we have taken advantage of reduced reporting burdens in our Annual Report on Form 10-K. In particular, we provided only two years of audited financial statements and a correspondingly reduced “Management’s Discussion and Analysis of Financial Condition and Results of Operations” disclosure, and did not include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7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69"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no longer qualify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Although we are still evaluating the JOBS Act, we currently intend to take advantage of some, but not all, of the reduced regulatory and reporting requirements that will be available to us so long as we qualify as an “emerging growth company” and “smaller reporting company.” We have elected to avail ourselves of this exemption and, therefore, we are not subject to the same new or revised accounting standards as other public companies that are not emerging growth companies or smaller reporting company. As a result, changes in rules of U.S. GAAP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 “smaller reporting company” or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117"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86" w:name="page87"/>
    <w:bookmarkEnd w:id="86"/>
    <w:p>
      <w:pPr>
        <w:ind w:right="20"/>
        <w:spacing w:after="0" w:line="235" w:lineRule="auto"/>
        <w:rPr>
          <w:sz w:val="20"/>
          <w:szCs w:val="20"/>
          <w:color w:val="auto"/>
        </w:rPr>
      </w:pPr>
      <w:r>
        <w:rPr>
          <w:rFonts w:ascii="Arial" w:cs="Arial" w:eastAsia="Arial" w:hAnsi="Arial"/>
          <w:sz w:val="17"/>
          <w:szCs w:val="17"/>
          <w:color w:val="auto"/>
        </w:rPr>
        <w:t>As a public company, and particularly after we are no longer an “emerging growth company,” we incur significant legal, accounting and other expenses that we did not incur as a private company. We are subject to the reporting requirements of the Exchange Act, which will require, among other things, that we file with the SEC annual, quarterly and current reports with respect to our business and financial condition. In addition, the SOX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may implement many of these requirements over a longer period and up to five years from the pricing of an initial public offering. We intend to take advantage of these extended transition periods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maintain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79"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b w:val="1"/>
          <w:bCs w:val="1"/>
          <w:i w:val="1"/>
          <w:iCs w:val="1"/>
          <w:color w:val="auto"/>
        </w:rPr>
        <w:t>Sales of a substantial number of shares of our common stock by our existing stockholders in the public market could cause our stock price to fall.</w:t>
      </w:r>
    </w:p>
    <w:p>
      <w:pPr>
        <w:spacing w:after="0" w:line="3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trading price of our common stock could decline. As of May 6, 2024, we had a total of 29,744,731 shares of common stock outstanding.</w:t>
      </w:r>
    </w:p>
    <w:p>
      <w:pPr>
        <w:spacing w:after="0" w:line="5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shares of common stock that are reserved for future issuance under our 2021 Plan and our 2021 Employee Stock Purchase Plan will become eligible for sale in the public market to the extent permitted by the provisions of various vesting schedules, Rule 144 and Rule 701 under the Securities Act. If these additional shares of common stock are sold, or if it is perceived that they will be sold, in the public market, the trading price of our common stock could decline.</w:t>
      </w:r>
    </w:p>
    <w:p>
      <w:pPr>
        <w:spacing w:after="0" w:line="6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Certain holders of shares of our common stock are entitled to rights with respect to the registration of their shares under the Securities Act. Registration of these shares under the Securities Act would result in such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69"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30"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color w:val="auto"/>
        </w:rPr>
        <w:t>us from paying dividends. As a result, capital appreciation, if any, of our common stock will be your sole source of gain for the foreseeable future.</w:t>
      </w:r>
    </w:p>
    <w:p>
      <w:pPr>
        <w:spacing w:after="0" w:line="102"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30"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existing holdings of our executive officers, directors, principal stockholders and their affiliates represent beneficial ownership, in the aggregate, of approximately 60.4% of our outstanding common stock with Estuardo Aguilar-Cordova and Laura Aguilar (together, both directly and indirectly) beneficially owning approximately 20.8% of our outstanding common stock, and with entities and persons affiliated with PBM Capital Group, LLC (PBM Capital), beneficially owning approximately 28.7%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76"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delaying, deferring or preventing a change of control of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impeding a merger, consolidation, takeover or other business combination involving us; or</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1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1" w:lineRule="exact"/>
        <w:rPr>
          <w:sz w:val="20"/>
          <w:szCs w:val="20"/>
          <w:color w:val="auto"/>
        </w:rPr>
      </w:pPr>
    </w:p>
    <w:p>
      <w:pPr>
        <w:ind w:left="1020" w:right="540" w:hanging="503"/>
        <w:spacing w:after="0" w:line="266" w:lineRule="auto"/>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51" w:lineRule="exact"/>
        <w:rPr>
          <w:rFonts w:ascii="Times New Roman" w:cs="Times New Roman" w:eastAsia="Times New Roman" w:hAnsi="Times New Roman"/>
          <w:sz w:val="17"/>
          <w:szCs w:val="17"/>
          <w:color w:val="auto"/>
        </w:rPr>
      </w:pPr>
    </w:p>
    <w:p>
      <w:pPr>
        <w:ind w:left="1020" w:right="360" w:hanging="503"/>
        <w:spacing w:after="0" w:line="266" w:lineRule="auto"/>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14" w:lineRule="exact"/>
        <w:rPr>
          <w:rFonts w:ascii="Times New Roman" w:cs="Times New Roman" w:eastAsia="Times New Roman" w:hAnsi="Times New Roman"/>
          <w:sz w:val="17"/>
          <w:szCs w:val="17"/>
          <w:color w:val="auto"/>
        </w:rPr>
      </w:pPr>
    </w:p>
    <w:p>
      <w:pPr>
        <w:ind w:left="1020" w:right="300" w:hanging="503"/>
        <w:spacing w:after="0" w:line="249" w:lineRule="auto"/>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5"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51" w:lineRule="exact"/>
        <w:rPr>
          <w:rFonts w:ascii="Times New Roman" w:cs="Times New Roman" w:eastAsia="Times New Roman" w:hAnsi="Times New Roman"/>
          <w:sz w:val="17"/>
          <w:szCs w:val="17"/>
          <w:color w:val="auto"/>
        </w:rPr>
      </w:pPr>
    </w:p>
    <w:p>
      <w:pPr>
        <w:ind w:left="1020" w:right="580" w:hanging="503"/>
        <w:spacing w:after="0" w:line="266" w:lineRule="auto"/>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2"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6"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8" w:name="page89"/>
    <w:bookmarkEnd w:id="88"/>
    <w:p>
      <w:pPr>
        <w:ind w:right="40"/>
        <w:spacing w:after="0" w:line="235" w:lineRule="auto"/>
        <w:rPr>
          <w:sz w:val="20"/>
          <w:szCs w:val="20"/>
          <w:color w:val="auto"/>
        </w:rPr>
      </w:pPr>
      <w:r>
        <w:rPr>
          <w:rFonts w:ascii="Arial" w:cs="Arial" w:eastAsia="Arial" w:hAnsi="Arial"/>
          <w:sz w:val="17"/>
          <w:szCs w:val="17"/>
          <w:color w:val="auto"/>
        </w:rPr>
        <w:t>Our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amended and restated bylaws or (iv) any action asserting a claim that is governed by the internal affairs doctrine, in each case subject to the Court of Chancery having personal jurisdiction over the indispensable parties named as defendants therein, or the Delaware Forum Provision. The Delaware Forum Provision does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as our principal office is located in Needham, Massachusetts.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77"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7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3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management's attention.</w:t>
      </w:r>
    </w:p>
    <w:p>
      <w:pPr>
        <w:spacing w:after="0" w:line="102"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were highly volatile as a result of the COVID-19 pandemic and may be volatile as a result of a similar public health crisis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74" w:lineRule="exact"/>
        <w:rPr>
          <w:sz w:val="20"/>
          <w:szCs w:val="20"/>
          <w:color w:val="auto"/>
        </w:rPr>
      </w:pPr>
    </w:p>
    <w:p>
      <w:pPr>
        <w:ind w:right="700"/>
        <w:spacing w:after="0" w:line="280" w:lineRule="auto"/>
        <w:rPr>
          <w:sz w:val="20"/>
          <w:szCs w:val="20"/>
          <w:color w:val="auto"/>
        </w:rPr>
      </w:pPr>
      <w:r>
        <w:rPr>
          <w:rFonts w:ascii="Arial" w:cs="Arial" w:eastAsia="Arial" w:hAnsi="Arial"/>
          <w:sz w:val="17"/>
          <w:szCs w:val="17"/>
          <w:b w:val="1"/>
          <w:bCs w:val="1"/>
          <w:i w:val="1"/>
          <w:iCs w:val="1"/>
          <w:color w:val="auto"/>
        </w:rPr>
        <w:t>The number of shares of our common stock outstanding may increase substantially as a result of our November 2018 issuance of warrants to purchase up to an aggregate of 7,344,968 shares of common stock.</w:t>
      </w:r>
    </w:p>
    <w:p>
      <w:pPr>
        <w:spacing w:after="0" w:line="33"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7"/>
          <w:szCs w:val="17"/>
          <w:color w:val="auto"/>
        </w:rPr>
        <w:t>connection with the November 13, 2018 issuance of Series B convertible preferred stock (the Series B Preferred), we issued to the purchaser of</w:t>
      </w:r>
      <w:r>
        <w:rPr>
          <w:rFonts w:ascii="Arial" w:cs="Arial" w:eastAsia="Arial" w:hAnsi="Arial"/>
          <w:sz w:val="18"/>
          <w:szCs w:val="18"/>
          <w:color w:val="auto"/>
        </w:rPr>
        <w:t xml:space="preserve"> </w:t>
      </w:r>
      <w:r>
        <w:rPr>
          <w:rFonts w:ascii="Arial" w:cs="Arial" w:eastAsia="Arial" w:hAnsi="Arial"/>
          <w:sz w:val="17"/>
          <w:szCs w:val="17"/>
          <w:color w:val="auto"/>
        </w:rPr>
        <w:t>the Series B Preferred, warrants to purchase 3,672,484 shares of common stock for $6.81 per share (the Series B Warrants) which were and remain fully exercisable upon issuance. The Series B Warrants contain provisions allowing cashless exercise.</w:t>
      </w:r>
    </w:p>
    <w:p>
      <w:pPr>
        <w:spacing w:after="0" w:line="71" w:lineRule="exact"/>
        <w:rPr>
          <w:sz w:val="20"/>
          <w:szCs w:val="20"/>
          <w:color w:val="auto"/>
        </w:rPr>
      </w:pPr>
    </w:p>
    <w:p>
      <w:pPr>
        <w:jc w:val="both"/>
        <w:ind w:right="260"/>
        <w:spacing w:after="0" w:line="249" w:lineRule="auto"/>
        <w:rPr>
          <w:sz w:val="20"/>
          <w:szCs w:val="20"/>
          <w:color w:val="auto"/>
        </w:rPr>
      </w:pPr>
      <w:r>
        <w:rPr>
          <w:rFonts w:ascii="Arial" w:cs="Arial" w:eastAsia="Arial" w:hAnsi="Arial"/>
          <w:sz w:val="17"/>
          <w:szCs w:val="17"/>
          <w:color w:val="auto"/>
        </w:rPr>
        <w:t>In addition, we issued to the same stockholder additional five-year warrants for the purchase of 3,672,484 shares of common stock for $6.81 per share (the Conditional Series B Warrants), which become exercisable in the event that we complete a future financing that meets certain financial milestones or achieves certain share prices as follows: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89" w:name="page90"/>
    <w:bookmarkEnd w:id="89"/>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w:t>
      </w:r>
    </w:p>
    <w:p>
      <w:pPr>
        <w:spacing w:after="0" w:line="8" w:lineRule="exact"/>
        <w:rPr>
          <w:rFonts w:ascii="Times New Roman" w:cs="Times New Roman" w:eastAsia="Times New Roman" w:hAnsi="Times New Roman"/>
          <w:sz w:val="17"/>
          <w:szCs w:val="17"/>
          <w:color w:val="auto"/>
        </w:rPr>
      </w:pPr>
    </w:p>
    <w:p>
      <w:pPr>
        <w:ind w:left="1020"/>
        <w:spacing w:after="0" w:line="248" w:lineRule="auto"/>
        <w:rPr>
          <w:rFonts w:ascii="Times New Roman" w:cs="Times New Roman" w:eastAsia="Times New Roman" w:hAnsi="Times New Roman"/>
          <w:sz w:val="17"/>
          <w:szCs w:val="17"/>
          <w:color w:val="auto"/>
        </w:rPr>
      </w:pPr>
      <w:r>
        <w:rPr>
          <w:rFonts w:ascii="Arial" w:cs="Arial" w:eastAsia="Arial" w:hAnsi="Arial"/>
          <w:sz w:val="17"/>
          <w:szCs w:val="17"/>
          <w:color w:val="auto"/>
        </w:rPr>
        <w:t>$20,000,000 in gross proceeds with a per share price of $12.47, or (2) an average market price (determined over a consecutive 10-day period) of $12.47 per share;</w:t>
      </w:r>
    </w:p>
    <w:p>
      <w:pPr>
        <w:spacing w:after="0" w:line="66" w:lineRule="exact"/>
        <w:rPr>
          <w:rFonts w:ascii="Times New Roman" w:cs="Times New Roman" w:eastAsia="Times New Roman" w:hAnsi="Times New Roman"/>
          <w:sz w:val="17"/>
          <w:szCs w:val="17"/>
          <w:color w:val="auto"/>
        </w:rPr>
      </w:pPr>
    </w:p>
    <w:p>
      <w:pPr>
        <w:ind w:left="1020" w:right="760" w:hanging="503"/>
        <w:spacing w:after="0" w:line="266" w:lineRule="auto"/>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760" w:hanging="503"/>
        <w:spacing w:after="0" w:line="266" w:lineRule="auto"/>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760" w:hanging="503"/>
        <w:spacing w:after="0" w:line="266" w:lineRule="auto"/>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5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On June 24, 2021, our board of directors approved, and on July 14, 2021, our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65"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recorded the Series B Warrants as a component of stockholder’s equity at the time of issuance at their estimated fair value of $2.1 million and recorded the Conditional Series B Warrants as a liability on the condensed consolidated balance sheet because the number of shares used to calculate the settlement is not a fixed number of shares. The Conditional Series B Warrants are remeasured to their fair value at each reporting date with changes in the fair value recognized as a component of other income (expense), net in the condensed consolidated statements of operations. We will continue to recognize changes in the fair value of the Conditional Series B Warrants until each Conditional Series B Warrant is exercised, expires or qualifies for equity classification.</w:t>
      </w:r>
    </w:p>
    <w:p>
      <w:pPr>
        <w:spacing w:after="0" w:line="7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exercise of these warrants in full, assuming vesting in full of the Conditional Series B Warrants and no net exercise, would result in an additional 7,344,968 shares of common stock outstanding, resulting in substantial dilution to stockholders who hold our common stock. In addition, if the holders of these warrants, including PBM Capital, were to exercise such warrants in full, these holders could then have significant influence over the outcome of any stockholder vote, including the election of directors and the approval of mergers or other business combination transactions.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6" w:right="3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1" w:lineRule="exact"/>
        <w:rPr>
          <w:sz w:val="20"/>
          <w:szCs w:val="20"/>
          <w:color w:val="auto"/>
        </w:rPr>
      </w:pPr>
    </w:p>
    <w:p>
      <w:pPr>
        <w:ind w:right="7140" w:firstLine="8"/>
        <w:spacing w:after="0" w:line="381" w:lineRule="auto"/>
        <w:tabs>
          <w:tab w:leader="none" w:pos="256"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Recent Sales of Unregistered Equity Securities </w:t>
      </w:r>
      <w:r>
        <w:rPr>
          <w:rFonts w:ascii="Arial" w:cs="Arial" w:eastAsia="Arial" w:hAnsi="Arial"/>
          <w:sz w:val="17"/>
          <w:szCs w:val="17"/>
          <w:color w:val="auto"/>
        </w:rPr>
        <w:t>None.</w:t>
      </w:r>
    </w:p>
    <w:p>
      <w:pPr>
        <w:ind w:left="280" w:hanging="272"/>
        <w:spacing w:after="0"/>
        <w:tabs>
          <w:tab w:leader="none" w:pos="28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Use of Proceeds from the Initial Public Offering of Common Stock</w:t>
      </w:r>
    </w:p>
    <w:p>
      <w:pPr>
        <w:spacing w:after="0" w:line="102"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The offer and sale of all the shares of our common stock in our initial public offering were registered under the Securities Act pursuant to a registration statement on Form S-1 (Reg. No. 333-257444), as amended, which was declared effective by the SEC on July 26, 2021. There has been no material change in the expected use of the net proceeds from our Annual Report on Form 10-K for the year ended December 31, 2023 as filed with the SEC on March 28, 2024.</w:t>
      </w:r>
    </w:p>
    <w:p>
      <w:pPr>
        <w:spacing w:after="0" w:line="110" w:lineRule="exact"/>
        <w:rPr>
          <w:sz w:val="20"/>
          <w:szCs w:val="20"/>
          <w:color w:val="auto"/>
        </w:rPr>
      </w:pPr>
    </w:p>
    <w:p>
      <w:pPr>
        <w:ind w:right="7900" w:firstLine="8"/>
        <w:spacing w:after="0" w:line="391" w:lineRule="auto"/>
        <w:tabs>
          <w:tab w:leader="none" w:pos="256"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Issuer Purchases of Equity Securities </w:t>
      </w:r>
      <w:r>
        <w:rPr>
          <w:rFonts w:ascii="Arial" w:cs="Arial" w:eastAsia="Arial" w:hAnsi="Arial"/>
          <w:sz w:val="17"/>
          <w:szCs w:val="17"/>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During the three months ended March 31, 2024, none of our directors or officers (as defined in Rule 16a-1(f) of the Securities Exchange Act of 1934, as amended) adopted, terminated or modified a Rule 10b5-1 trading arrangement or any “non-Rule 10b5-1 trading agreement” (as defined in Item 408(c) of Regulation S-K).</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7840" w:type="dxa"/>
            <w:vAlign w:val="bottom"/>
            <w:tcBorders>
              <w:bottom w:val="single" w:sz="8" w:color="auto"/>
            </w:tcBorders>
            <w:gridSpan w:val="16"/>
          </w:tcPr>
          <w:p>
            <w:pPr>
              <w:ind w:left="22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960" w:type="dxa"/>
            <w:vAlign w:val="bottom"/>
          </w:tcPr>
          <w:p>
            <w:pPr>
              <w:jc w:val="right"/>
              <w:ind w:right="390"/>
              <w:spacing w:after="0" w:line="169"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19"/>
          </w:tcPr>
          <w:p>
            <w:pPr>
              <w:spacing w:after="0" w:line="169" w:lineRule="exact"/>
              <w:rPr>
                <w:rFonts w:ascii="Arial" w:cs="Arial" w:eastAsia="Arial" w:hAnsi="Arial"/>
                <w:sz w:val="18"/>
                <w:szCs w:val="18"/>
                <w:color w:val="0000FF"/>
              </w:rPr>
            </w:pPr>
            <w:hyperlink r:id="rId207">
              <w:r>
                <w:rPr>
                  <w:rFonts w:ascii="Arial" w:cs="Arial" w:eastAsia="Arial" w:hAnsi="Arial"/>
                  <w:sz w:val="18"/>
                  <w:szCs w:val="18"/>
                  <w:color w:val="0000FF"/>
                </w:rPr>
                <w:t>Amended and Restated Certificate of Incorporation of Candel Therapeutics, Inc. (incorporated by reference to Exhibit 3.1 to the</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39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207">
              <w:r>
                <w:rPr>
                  <w:rFonts w:ascii="Arial" w:cs="Arial" w:eastAsia="Arial" w:hAnsi="Arial"/>
                  <w:sz w:val="18"/>
                  <w:szCs w:val="18"/>
                  <w:color w:val="0000FF"/>
                </w:rPr>
                <w:t>Registrant’s Current Report on Form 8-K filed with the SEC on July 30, 2021)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19"/>
          </w:tcPr>
          <w:p>
            <w:pPr>
              <w:spacing w:after="0" w:line="196" w:lineRule="exact"/>
              <w:rPr>
                <w:rFonts w:ascii="Arial" w:cs="Arial" w:eastAsia="Arial" w:hAnsi="Arial"/>
                <w:sz w:val="18"/>
                <w:szCs w:val="18"/>
                <w:color w:val="0000FF"/>
              </w:rPr>
            </w:pPr>
            <w:hyperlink r:id="rId208">
              <w:r>
                <w:rPr>
                  <w:rFonts w:ascii="Arial" w:cs="Arial" w:eastAsia="Arial" w:hAnsi="Arial"/>
                  <w:sz w:val="18"/>
                  <w:szCs w:val="18"/>
                  <w:color w:val="0000FF"/>
                </w:rPr>
                <w:t>Amended and Restated Bylaws of Candel Therapeutics, Inc. (incorporated by reference to Exhibit 3.2 to the Registrant’s</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39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208">
              <w:r>
                <w:rPr>
                  <w:rFonts w:ascii="Arial" w:cs="Arial" w:eastAsia="Arial" w:hAnsi="Arial"/>
                  <w:sz w:val="18"/>
                  <w:szCs w:val="18"/>
                  <w:color w:val="0000FF"/>
                </w:rPr>
                <w:t>Current Report on Form 8-K filed with the SEC on July 30, 2021)</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19"/>
          </w:tcPr>
          <w:p>
            <w:pPr>
              <w:spacing w:after="0" w:line="196" w:lineRule="exact"/>
              <w:rPr>
                <w:rFonts w:ascii="Arial" w:cs="Arial" w:eastAsia="Arial" w:hAnsi="Arial"/>
                <w:sz w:val="18"/>
                <w:szCs w:val="18"/>
                <w:color w:val="0000FF"/>
              </w:rPr>
            </w:pPr>
            <w:hyperlink r:id="rId209">
              <w:r>
                <w:rPr>
                  <w:rFonts w:ascii="Arial" w:cs="Arial" w:eastAsia="Arial" w:hAnsi="Arial"/>
                  <w:sz w:val="18"/>
                  <w:szCs w:val="18"/>
                  <w:color w:val="0000FF"/>
                </w:rPr>
                <w:t>Specimen Common Stock Certificate (incorporated by reference to Exhibit 4.1 to the Registrant’s Registration Statement on</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6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209">
              <w:r>
                <w:rPr>
                  <w:rFonts w:ascii="Arial" w:cs="Arial" w:eastAsia="Arial" w:hAnsi="Arial"/>
                  <w:sz w:val="18"/>
                  <w:szCs w:val="18"/>
                  <w:color w:val="0000FF"/>
                  <w:w w:val="99"/>
                </w:rPr>
                <w:t>Form S-1/A (File No. 333- 257444) filed with the SEC on July 16,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418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60" w:type="dxa"/>
            <w:vAlign w:val="bottom"/>
            <w:tcBorders>
              <w:bottom w:val="single" w:sz="8" w:color="0000FF"/>
            </w:tcBorders>
            <w:gridSpan w:val="10"/>
          </w:tcPr>
          <w:p>
            <w:pPr>
              <w:spacing w:after="0" w:line="196" w:lineRule="exact"/>
              <w:rPr>
                <w:rFonts w:ascii="Arial" w:cs="Arial" w:eastAsia="Arial" w:hAnsi="Arial"/>
                <w:sz w:val="18"/>
                <w:szCs w:val="18"/>
                <w:color w:val="0000FF"/>
              </w:rPr>
            </w:pPr>
            <w:hyperlink r:id="rId210">
              <w:r>
                <w:rPr>
                  <w:rFonts w:ascii="Arial" w:cs="Arial" w:eastAsia="Arial" w:hAnsi="Arial"/>
                  <w:sz w:val="18"/>
                  <w:szCs w:val="18"/>
                  <w:color w:val="0000FF"/>
                </w:rPr>
                <w:t>Consulting Agreement by and between Candel Therapeutics, Inc. and Jason A. Amello, dated as of January 12, 2024</w:t>
              </w:r>
            </w:hyperlink>
          </w:p>
        </w:tc>
        <w:tc>
          <w:tcPr>
            <w:tcW w:w="7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gridSpan w:val="19"/>
          </w:tcPr>
          <w:p>
            <w:pPr>
              <w:spacing w:after="0" w:line="182" w:lineRule="exact"/>
              <w:rPr>
                <w:rFonts w:ascii="Arial" w:cs="Arial" w:eastAsia="Arial" w:hAnsi="Arial"/>
                <w:sz w:val="18"/>
                <w:szCs w:val="18"/>
                <w:color w:val="0000FF"/>
              </w:rPr>
            </w:pPr>
            <w:hyperlink r:id="rId210">
              <w:r>
                <w:rPr>
                  <w:rFonts w:ascii="Arial" w:cs="Arial" w:eastAsia="Arial" w:hAnsi="Arial"/>
                  <w:sz w:val="18"/>
                  <w:szCs w:val="18"/>
                  <w:color w:val="0000FF"/>
                </w:rPr>
                <w:t>(incorporated by reference to Exhibit 10.19 to the Registrant’s Annual Report on Form 10-K filed with the SEC on March 28,</w:t>
              </w:r>
            </w:hyperlink>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330"/>
              <w:spacing w:after="0"/>
              <w:rPr>
                <w:sz w:val="20"/>
                <w:szCs w:val="20"/>
                <w:color w:val="auto"/>
              </w:rPr>
            </w:pPr>
            <w:r>
              <w:rPr>
                <w:rFonts w:ascii="Arial" w:cs="Arial" w:eastAsia="Arial" w:hAnsi="Arial"/>
                <w:sz w:val="18"/>
                <w:szCs w:val="18"/>
                <w:color w:val="auto"/>
              </w:rPr>
              <w:t>31.1*</w:t>
            </w:r>
          </w:p>
        </w:tc>
        <w:tc>
          <w:tcPr>
            <w:tcW w:w="140" w:type="dxa"/>
            <w:vAlign w:val="bottom"/>
            <w:gridSpan w:val="2"/>
          </w:tcPr>
          <w:p>
            <w:pPr>
              <w:spacing w:after="0"/>
              <w:rPr>
                <w:sz w:val="15"/>
                <w:szCs w:val="15"/>
                <w:color w:val="auto"/>
              </w:rPr>
            </w:pPr>
          </w:p>
        </w:tc>
        <w:tc>
          <w:tcPr>
            <w:tcW w:w="44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1"/>
              </w:rPr>
            </w:pPr>
            <w:hyperlink r:id="rId210">
              <w:r>
                <w:rPr>
                  <w:rFonts w:ascii="Arial" w:cs="Arial" w:eastAsia="Arial" w:hAnsi="Arial"/>
                  <w:sz w:val="18"/>
                  <w:szCs w:val="18"/>
                  <w:color w:val="0000FF"/>
                  <w:w w:val="91"/>
                </w:rPr>
                <w:t>2024)</w:t>
              </w:r>
            </w:hyperlink>
          </w:p>
        </w:tc>
        <w:tc>
          <w:tcPr>
            <w:tcW w:w="20" w:type="dxa"/>
            <w:vAlign w:val="bottom"/>
            <w:tcBorders>
              <w:top w:val="single" w:sz="8" w:color="0000FF"/>
              <w:bottom w:val="single" w:sz="8" w:color="0000EE"/>
            </w:tcBorders>
          </w:tcPr>
          <w:p>
            <w:pPr>
              <w:spacing w:after="0"/>
              <w:rPr>
                <w:sz w:val="15"/>
                <w:szCs w:val="15"/>
                <w:color w:val="auto"/>
              </w:rPr>
            </w:pPr>
          </w:p>
        </w:tc>
        <w:tc>
          <w:tcPr>
            <w:tcW w:w="1840" w:type="dxa"/>
            <w:vAlign w:val="bottom"/>
            <w:tcBorders>
              <w:top w:val="single" w:sz="8" w:color="0000FF"/>
            </w:tcBorders>
          </w:tcPr>
          <w:p>
            <w:pPr>
              <w:spacing w:after="0"/>
              <w:rPr>
                <w:sz w:val="15"/>
                <w:szCs w:val="15"/>
                <w:color w:val="auto"/>
              </w:rPr>
            </w:pPr>
          </w:p>
        </w:tc>
        <w:tc>
          <w:tcPr>
            <w:tcW w:w="282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1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19"/>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33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600" w:type="dxa"/>
            <w:vAlign w:val="bottom"/>
            <w:tcBorders>
              <w:top w:val="single" w:sz="8" w:color="0000FF"/>
            </w:tcBorders>
            <w:gridSpan w:val="6"/>
          </w:tcPr>
          <w:p>
            <w:pPr>
              <w:spacing w:after="0"/>
              <w:rPr>
                <w:sz w:val="15"/>
                <w:szCs w:val="15"/>
                <w:color w:val="auto"/>
              </w:rPr>
            </w:pPr>
          </w:p>
        </w:tc>
        <w:tc>
          <w:tcPr>
            <w:tcW w:w="3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19"/>
          </w:tcPr>
          <w:p>
            <w:pPr>
              <w:spacing w:after="0" w:line="196" w:lineRule="exact"/>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540" w:type="dxa"/>
            <w:vAlign w:val="bottom"/>
            <w:tcBorders>
              <w:top w:val="single" w:sz="8" w:color="0000FF"/>
            </w:tcBorders>
            <w:gridSpan w:val="5"/>
          </w:tcPr>
          <w:p>
            <w:pPr>
              <w:spacing w:after="0"/>
              <w:rPr>
                <w:sz w:val="15"/>
                <w:szCs w:val="15"/>
                <w:color w:val="auto"/>
              </w:rPr>
            </w:pPr>
          </w:p>
        </w:tc>
        <w:tc>
          <w:tcPr>
            <w:tcW w:w="3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19"/>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83"/>
        </w:trPr>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Sarbanes-Oxley Act of 2002.</w:t>
            </w:r>
          </w:p>
        </w:tc>
        <w:tc>
          <w:tcPr>
            <w:tcW w:w="4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right w:val="single" w:sz="8" w:color="0000EE"/>
            </w:tcBorders>
            <w:gridSpan w:val="3"/>
            <w:shd w:val="clear" w:color="auto" w:fill="0000FF"/>
          </w:tcPr>
          <w:p>
            <w:pPr>
              <w:spacing w:after="0" w:line="20" w:lineRule="exact"/>
              <w:rPr>
                <w:sz w:val="1"/>
                <w:szCs w:val="1"/>
                <w:color w:val="auto"/>
              </w:rPr>
            </w:pPr>
          </w:p>
        </w:tc>
        <w:tc>
          <w:tcPr>
            <w:tcW w:w="7360" w:type="dxa"/>
            <w:vAlign w:val="bottom"/>
            <w:gridSpan w:val="9"/>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19"/>
          </w:tcPr>
          <w:p>
            <w:pPr>
              <w:spacing w:after="0" w:line="196" w:lineRule="exact"/>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83"/>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Sarbanes-Oxley Act of 2002.</w:t>
            </w:r>
          </w:p>
        </w:tc>
        <w:tc>
          <w:tcPr>
            <w:tcW w:w="4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right w:val="single" w:sz="8" w:color="0000EE"/>
            </w:tcBorders>
            <w:gridSpan w:val="3"/>
            <w:shd w:val="clear" w:color="auto" w:fill="0000FF"/>
          </w:tcPr>
          <w:p>
            <w:pPr>
              <w:spacing w:after="0" w:line="20" w:lineRule="exact"/>
              <w:rPr>
                <w:sz w:val="1"/>
                <w:szCs w:val="1"/>
                <w:color w:val="auto"/>
              </w:rPr>
            </w:pPr>
          </w:p>
        </w:tc>
        <w:tc>
          <w:tcPr>
            <w:tcW w:w="78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19"/>
          </w:tcPr>
          <w:p>
            <w:pPr>
              <w:spacing w:after="0" w:line="204"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19"/>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39"/>
        </w:trPr>
        <w:tc>
          <w:tcPr>
            <w:tcW w:w="96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3880" w:firstLine="21"/>
        <w:spacing w:after="0" w:line="415" w:lineRule="auto"/>
        <w:tabs>
          <w:tab w:leader="none" w:pos="10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(embedded within the Inline XBRL document) </w:t>
      </w:r>
      <w:r>
        <w:rPr>
          <w:rFonts w:ascii="Arial" w:cs="Arial" w:eastAsia="Arial" w:hAnsi="Arial"/>
          <w:sz w:val="17"/>
          <w:szCs w:val="17"/>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9512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jc w:val="both"/>
        <w:ind w:right="180" w:firstLine="8"/>
        <w:spacing w:after="0" w:line="249" w:lineRule="auto"/>
        <w:tabs>
          <w:tab w:leader="none" w:pos="147"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certifications furnished in Exhibits 32.1 and 32.2 hereto are deemed to be furnished with this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2" w:name="page93"/>
    <w:bookmarkEnd w:id="9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0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Candel Therapeutics, Inc.</w:t>
      </w:r>
    </w:p>
    <w:p>
      <w:pPr>
        <w:spacing w:after="0" w:line="210" w:lineRule="exact"/>
        <w:rPr>
          <w:sz w:val="20"/>
          <w:szCs w:val="20"/>
          <w:color w:val="auto"/>
        </w:rPr>
      </w:pPr>
    </w:p>
    <w:p>
      <w:pPr>
        <w:ind w:left="20"/>
        <w:spacing w:after="0"/>
        <w:tabs>
          <w:tab w:leader="none" w:pos="5680" w:val="left"/>
          <w:tab w:leader="none" w:pos="7940" w:val="left"/>
        </w:tabs>
        <w:rPr>
          <w:sz w:val="20"/>
          <w:szCs w:val="20"/>
          <w:color w:val="auto"/>
        </w:rPr>
      </w:pPr>
      <w:r>
        <w:rPr>
          <w:rFonts w:ascii="Arial" w:cs="Arial" w:eastAsia="Arial" w:hAnsi="Arial"/>
          <w:sz w:val="17"/>
          <w:szCs w:val="17"/>
          <w:color w:val="auto"/>
        </w:rPr>
        <w:t>Date: May 14,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Paul Peter Tak</w:t>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President and Chief Executive Officer</w:t>
      </w:r>
    </w:p>
    <w:p>
      <w:pPr>
        <w:spacing w:after="0" w:line="207" w:lineRule="exact"/>
        <w:rPr>
          <w:sz w:val="20"/>
          <w:szCs w:val="20"/>
          <w:color w:val="auto"/>
        </w:rPr>
      </w:pPr>
    </w:p>
    <w:p>
      <w:pPr>
        <w:ind w:left="20"/>
        <w:spacing w:after="0"/>
        <w:tabs>
          <w:tab w:leader="none" w:pos="5680" w:val="left"/>
          <w:tab w:leader="none" w:pos="7900" w:val="left"/>
        </w:tabs>
        <w:rPr>
          <w:sz w:val="20"/>
          <w:szCs w:val="20"/>
          <w:color w:val="auto"/>
        </w:rPr>
      </w:pPr>
      <w:r>
        <w:rPr>
          <w:rFonts w:ascii="Arial" w:cs="Arial" w:eastAsia="Arial" w:hAnsi="Arial"/>
          <w:sz w:val="17"/>
          <w:szCs w:val="17"/>
          <w:color w:val="auto"/>
        </w:rPr>
        <w:t>Date: May 14,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18415</wp:posOffset>
            </wp:positionV>
            <wp:extent cx="33089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7" w:lineRule="exact"/>
        <w:rPr>
          <w:sz w:val="20"/>
          <w:szCs w:val="20"/>
          <w:color w:val="auto"/>
        </w:rPr>
      </w:pPr>
    </w:p>
    <w:p>
      <w:pPr>
        <w:ind w:left="8040"/>
        <w:spacing w:after="0"/>
        <w:rPr>
          <w:sz w:val="20"/>
          <w:szCs w:val="20"/>
          <w:color w:val="auto"/>
        </w:rPr>
      </w:pPr>
      <w:r>
        <w:rPr>
          <w:rFonts w:ascii="Arial" w:cs="Arial" w:eastAsia="Arial" w:hAnsi="Arial"/>
          <w:sz w:val="17"/>
          <w:szCs w:val="17"/>
          <w:color w:val="auto"/>
        </w:rPr>
        <w:t>Charles Schoch</w:t>
      </w:r>
    </w:p>
    <w:p>
      <w:pPr>
        <w:spacing w:after="0" w:line="1"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Interim Chief Financial Officer</w:t>
      </w:r>
    </w:p>
    <w:p>
      <w:pPr>
        <w:ind w:left="646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71" w:right="7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Exhibit 31.1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I, Paul Peter Tak, certify that:</w:t>
      </w:r>
    </w:p>
    <w:p>
      <w:pPr>
        <w:spacing w:after="0" w:line="112" w:lineRule="exact"/>
        <w:rPr>
          <w:sz w:val="20"/>
          <w:szCs w:val="20"/>
          <w:color w:val="auto"/>
        </w:rPr>
      </w:pPr>
    </w:p>
    <w:p>
      <w:pPr>
        <w:ind w:left="480" w:hanging="472"/>
        <w:spacing w:after="0"/>
        <w:tabs>
          <w:tab w:leader="none" w:pos="4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Candel Therapeutics, Inc.;</w:t>
      </w:r>
    </w:p>
    <w:p>
      <w:pPr>
        <w:spacing w:after="0" w:line="111" w:lineRule="exact"/>
        <w:rPr>
          <w:rFonts w:ascii="Arial" w:cs="Arial" w:eastAsia="Arial" w:hAnsi="Arial"/>
          <w:sz w:val="22"/>
          <w:szCs w:val="22"/>
          <w:color w:val="auto"/>
        </w:rPr>
      </w:pPr>
    </w:p>
    <w:p>
      <w:pPr>
        <w:ind w:left="520" w:right="260" w:hanging="512"/>
        <w:spacing w:after="0" w:line="245" w:lineRule="auto"/>
        <w:tabs>
          <w:tab w:leader="none" w:pos="491" w:val="left"/>
        </w:tabs>
        <w:numPr>
          <w:ilvl w:val="0"/>
          <w:numId w:val="55"/>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22"/>
          <w:szCs w:val="22"/>
          <w:color w:val="auto"/>
        </w:rPr>
      </w:pPr>
    </w:p>
    <w:p>
      <w:pPr>
        <w:jc w:val="both"/>
        <w:ind w:left="520" w:right="260" w:hanging="512"/>
        <w:spacing w:after="0" w:line="245" w:lineRule="auto"/>
        <w:tabs>
          <w:tab w:leader="none" w:pos="491" w:val="left"/>
        </w:tabs>
        <w:numPr>
          <w:ilvl w:val="0"/>
          <w:numId w:val="55"/>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22"/>
          <w:szCs w:val="22"/>
          <w:color w:val="auto"/>
        </w:rPr>
      </w:pPr>
    </w:p>
    <w:p>
      <w:pPr>
        <w:ind w:left="520" w:right="180" w:hanging="512"/>
        <w:spacing w:after="0" w:line="262" w:lineRule="auto"/>
        <w:tabs>
          <w:tab w:leader="none" w:pos="491"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21"/>
          <w:szCs w:val="21"/>
          <w:color w:val="auto"/>
        </w:rPr>
      </w:pPr>
    </w:p>
    <w:p>
      <w:pPr>
        <w:ind w:left="1020" w:right="140" w:hanging="479"/>
        <w:spacing w:after="0"/>
        <w:tabs>
          <w:tab w:leader="none" w:pos="1015" w:val="left"/>
        </w:tabs>
        <w:numPr>
          <w:ilvl w:val="1"/>
          <w:numId w:val="55"/>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22"/>
          <w:szCs w:val="22"/>
          <w:color w:val="auto"/>
        </w:rPr>
      </w:pPr>
    </w:p>
    <w:p>
      <w:pPr>
        <w:ind w:left="1020" w:right="20" w:hanging="479"/>
        <w:spacing w:after="0"/>
        <w:tabs>
          <w:tab w:leader="none" w:pos="1015" w:val="left"/>
        </w:tabs>
        <w:numPr>
          <w:ilvl w:val="1"/>
          <w:numId w:val="55"/>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22"/>
          <w:szCs w:val="22"/>
          <w:color w:val="auto"/>
        </w:rPr>
      </w:pPr>
    </w:p>
    <w:p>
      <w:pPr>
        <w:ind w:left="1020" w:right="200" w:hanging="479"/>
        <w:spacing w:after="0" w:line="245" w:lineRule="auto"/>
        <w:tabs>
          <w:tab w:leader="none" w:pos="1015" w:val="left"/>
        </w:tabs>
        <w:numPr>
          <w:ilvl w:val="1"/>
          <w:numId w:val="55"/>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22"/>
          <w:szCs w:val="22"/>
          <w:color w:val="auto"/>
        </w:rPr>
      </w:pPr>
    </w:p>
    <w:p>
      <w:pPr>
        <w:ind w:left="1020" w:right="120" w:hanging="479"/>
        <w:spacing w:after="0"/>
        <w:tabs>
          <w:tab w:leader="none" w:pos="1015" w:val="left"/>
        </w:tabs>
        <w:numPr>
          <w:ilvl w:val="1"/>
          <w:numId w:val="55"/>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22"/>
          <w:szCs w:val="22"/>
          <w:color w:val="auto"/>
        </w:rPr>
      </w:pPr>
    </w:p>
    <w:p>
      <w:pPr>
        <w:jc w:val="both"/>
        <w:ind w:left="520" w:right="240" w:hanging="512"/>
        <w:spacing w:after="0" w:line="245" w:lineRule="auto"/>
        <w:tabs>
          <w:tab w:leader="none" w:pos="491"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22"/>
          <w:szCs w:val="22"/>
          <w:color w:val="auto"/>
        </w:rPr>
      </w:pPr>
    </w:p>
    <w:p>
      <w:pPr>
        <w:ind w:left="1020" w:right="120" w:hanging="479"/>
        <w:spacing w:after="0" w:line="245" w:lineRule="auto"/>
        <w:tabs>
          <w:tab w:leader="none" w:pos="1015" w:val="left"/>
        </w:tabs>
        <w:numPr>
          <w:ilvl w:val="1"/>
          <w:numId w:val="55"/>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22"/>
          <w:szCs w:val="22"/>
          <w:color w:val="auto"/>
        </w:rPr>
      </w:pPr>
    </w:p>
    <w:p>
      <w:pPr>
        <w:ind w:left="1020" w:right="240" w:hanging="479"/>
        <w:spacing w:after="0" w:line="259" w:lineRule="auto"/>
        <w:tabs>
          <w:tab w:leader="none" w:pos="1015" w:val="left"/>
        </w:tabs>
        <w:numPr>
          <w:ilvl w:val="1"/>
          <w:numId w:val="55"/>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75" w:lineRule="exact"/>
        <w:rPr>
          <w:sz w:val="20"/>
          <w:szCs w:val="20"/>
          <w:color w:val="auto"/>
        </w:rPr>
      </w:pPr>
    </w:p>
    <w:p>
      <w:pPr>
        <w:ind w:left="20"/>
        <w:spacing w:after="0"/>
        <w:tabs>
          <w:tab w:leader="none" w:pos="5640" w:val="left"/>
          <w:tab w:leader="none" w:pos="7840" w:val="left"/>
        </w:tabs>
        <w:rPr>
          <w:sz w:val="20"/>
          <w:szCs w:val="20"/>
          <w:color w:val="auto"/>
        </w:rPr>
      </w:pPr>
      <w:r>
        <w:rPr>
          <w:rFonts w:ascii="Arial" w:cs="Arial" w:eastAsia="Arial" w:hAnsi="Arial"/>
          <w:sz w:val="22"/>
          <w:szCs w:val="22"/>
          <w:color w:val="auto"/>
        </w:rPr>
        <w:t>Date: May 14, 2024</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19050</wp:posOffset>
            </wp:positionV>
            <wp:extent cx="32061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1" w:lineRule="exact"/>
        <w:rPr>
          <w:sz w:val="20"/>
          <w:szCs w:val="20"/>
          <w:color w:val="auto"/>
        </w:rPr>
      </w:pPr>
    </w:p>
    <w:p>
      <w:pPr>
        <w:ind w:left="7980"/>
        <w:spacing w:after="0"/>
        <w:rPr>
          <w:sz w:val="20"/>
          <w:szCs w:val="20"/>
          <w:color w:val="auto"/>
        </w:rPr>
      </w:pPr>
      <w:r>
        <w:rPr>
          <w:rFonts w:ascii="Arial" w:cs="Arial" w:eastAsia="Arial" w:hAnsi="Arial"/>
          <w:sz w:val="22"/>
          <w:szCs w:val="22"/>
          <w:b w:val="1"/>
          <w:bCs w:val="1"/>
          <w:color w:val="auto"/>
        </w:rPr>
        <w:t>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640715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94" w:name="page95"/>
    <w:bookmarkEnd w:id="94"/>
    <w:p>
      <w:pPr>
        <w:jc w:val="center"/>
        <w:ind w:left="6160"/>
        <w:spacing w:after="0"/>
        <w:rPr>
          <w:sz w:val="20"/>
          <w:szCs w:val="20"/>
          <w:color w:val="auto"/>
        </w:rPr>
      </w:pPr>
      <w:r>
        <w:rPr>
          <w:rFonts w:ascii="Arial" w:cs="Arial" w:eastAsia="Arial" w:hAnsi="Arial"/>
          <w:sz w:val="21"/>
          <w:szCs w:val="21"/>
          <w:b w:val="1"/>
          <w:bCs w:val="1"/>
          <w:color w:val="auto"/>
        </w:rPr>
        <w:t>President and Chief Executive Officer</w:t>
      </w:r>
    </w:p>
    <w:p>
      <w:pPr>
        <w:spacing w:after="0" w:line="24" w:lineRule="exact"/>
        <w:rPr>
          <w:sz w:val="20"/>
          <w:szCs w:val="20"/>
          <w:color w:val="auto"/>
        </w:rPr>
      </w:pPr>
    </w:p>
    <w:p>
      <w:pPr>
        <w:jc w:val="center"/>
        <w:ind w:left="6160"/>
        <w:spacing w:after="0"/>
        <w:rPr>
          <w:sz w:val="20"/>
          <w:szCs w:val="20"/>
          <w:color w:val="auto"/>
        </w:rPr>
      </w:pPr>
      <w:r>
        <w:rPr>
          <w:rFonts w:ascii="Arial" w:cs="Arial" w:eastAsia="Arial" w:hAnsi="Arial"/>
          <w:sz w:val="22"/>
          <w:szCs w:val="22"/>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705485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20"/>
          </w:cols>
          <w:pgMar w:left="1440" w:top="1016" w:right="9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31.2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I, Charles Schoch, certify that:</w:t>
      </w:r>
    </w:p>
    <w:p>
      <w:pPr>
        <w:spacing w:after="0" w:line="112" w:lineRule="exact"/>
        <w:rPr>
          <w:sz w:val="20"/>
          <w:szCs w:val="20"/>
          <w:color w:val="auto"/>
        </w:rPr>
      </w:pPr>
    </w:p>
    <w:p>
      <w:pPr>
        <w:ind w:left="480" w:hanging="472"/>
        <w:spacing w:after="0"/>
        <w:tabs>
          <w:tab w:leader="none" w:pos="4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Candel Therapeutics, Inc.;</w:t>
      </w:r>
    </w:p>
    <w:p>
      <w:pPr>
        <w:spacing w:after="0" w:line="111" w:lineRule="exact"/>
        <w:rPr>
          <w:rFonts w:ascii="Arial" w:cs="Arial" w:eastAsia="Arial" w:hAnsi="Arial"/>
          <w:sz w:val="22"/>
          <w:szCs w:val="22"/>
          <w:color w:val="auto"/>
        </w:rPr>
      </w:pPr>
    </w:p>
    <w:p>
      <w:pPr>
        <w:ind w:left="520" w:right="260" w:hanging="512"/>
        <w:spacing w:after="0" w:line="245" w:lineRule="auto"/>
        <w:tabs>
          <w:tab w:leader="none" w:pos="491" w:val="left"/>
        </w:tabs>
        <w:numPr>
          <w:ilvl w:val="0"/>
          <w:numId w:val="5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22"/>
          <w:szCs w:val="22"/>
          <w:color w:val="auto"/>
        </w:rPr>
      </w:pPr>
    </w:p>
    <w:p>
      <w:pPr>
        <w:jc w:val="both"/>
        <w:ind w:left="520" w:right="260" w:hanging="512"/>
        <w:spacing w:after="0" w:line="245" w:lineRule="auto"/>
        <w:tabs>
          <w:tab w:leader="none" w:pos="491" w:val="left"/>
        </w:tabs>
        <w:numPr>
          <w:ilvl w:val="0"/>
          <w:numId w:val="5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22"/>
          <w:szCs w:val="22"/>
          <w:color w:val="auto"/>
        </w:rPr>
      </w:pPr>
    </w:p>
    <w:p>
      <w:pPr>
        <w:ind w:left="520" w:right="180" w:hanging="512"/>
        <w:spacing w:after="0" w:line="262" w:lineRule="auto"/>
        <w:tabs>
          <w:tab w:leader="none" w:pos="491"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21"/>
          <w:szCs w:val="21"/>
          <w:color w:val="auto"/>
        </w:rPr>
      </w:pPr>
    </w:p>
    <w:p>
      <w:pPr>
        <w:ind w:left="1020" w:right="140" w:hanging="479"/>
        <w:spacing w:after="0"/>
        <w:tabs>
          <w:tab w:leader="none" w:pos="1015" w:val="left"/>
        </w:tabs>
        <w:numPr>
          <w:ilvl w:val="1"/>
          <w:numId w:val="5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22"/>
          <w:szCs w:val="22"/>
          <w:color w:val="auto"/>
        </w:rPr>
      </w:pPr>
    </w:p>
    <w:p>
      <w:pPr>
        <w:ind w:left="1020" w:right="20" w:hanging="479"/>
        <w:spacing w:after="0"/>
        <w:tabs>
          <w:tab w:leader="none" w:pos="1015" w:val="left"/>
        </w:tabs>
        <w:numPr>
          <w:ilvl w:val="1"/>
          <w:numId w:val="56"/>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22"/>
          <w:szCs w:val="22"/>
          <w:color w:val="auto"/>
        </w:rPr>
      </w:pPr>
    </w:p>
    <w:p>
      <w:pPr>
        <w:ind w:left="1020" w:right="200" w:hanging="479"/>
        <w:spacing w:after="0" w:line="245" w:lineRule="auto"/>
        <w:tabs>
          <w:tab w:leader="none" w:pos="1015" w:val="left"/>
        </w:tabs>
        <w:numPr>
          <w:ilvl w:val="1"/>
          <w:numId w:val="5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22"/>
          <w:szCs w:val="22"/>
          <w:color w:val="auto"/>
        </w:rPr>
      </w:pPr>
    </w:p>
    <w:p>
      <w:pPr>
        <w:ind w:left="1020" w:right="120" w:hanging="479"/>
        <w:spacing w:after="0"/>
        <w:tabs>
          <w:tab w:leader="none" w:pos="1015" w:val="left"/>
        </w:tabs>
        <w:numPr>
          <w:ilvl w:val="1"/>
          <w:numId w:val="56"/>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22"/>
          <w:szCs w:val="22"/>
          <w:color w:val="auto"/>
        </w:rPr>
      </w:pPr>
    </w:p>
    <w:p>
      <w:pPr>
        <w:jc w:val="both"/>
        <w:ind w:left="520" w:right="240" w:hanging="512"/>
        <w:spacing w:after="0" w:line="245" w:lineRule="auto"/>
        <w:tabs>
          <w:tab w:leader="none" w:pos="491"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22"/>
          <w:szCs w:val="22"/>
          <w:color w:val="auto"/>
        </w:rPr>
      </w:pPr>
    </w:p>
    <w:p>
      <w:pPr>
        <w:ind w:left="1020" w:right="120" w:hanging="479"/>
        <w:spacing w:after="0" w:line="245" w:lineRule="auto"/>
        <w:tabs>
          <w:tab w:leader="none" w:pos="1015" w:val="left"/>
        </w:tabs>
        <w:numPr>
          <w:ilvl w:val="1"/>
          <w:numId w:val="56"/>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22"/>
          <w:szCs w:val="22"/>
          <w:color w:val="auto"/>
        </w:rPr>
      </w:pPr>
    </w:p>
    <w:p>
      <w:pPr>
        <w:ind w:left="1020" w:right="240" w:hanging="479"/>
        <w:spacing w:after="0" w:line="259" w:lineRule="auto"/>
        <w:tabs>
          <w:tab w:leader="none" w:pos="1015" w:val="left"/>
        </w:tabs>
        <w:numPr>
          <w:ilvl w:val="1"/>
          <w:numId w:val="5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75" w:lineRule="exact"/>
        <w:rPr>
          <w:sz w:val="20"/>
          <w:szCs w:val="20"/>
          <w:color w:val="auto"/>
        </w:rPr>
      </w:pPr>
    </w:p>
    <w:p>
      <w:pPr>
        <w:ind w:left="20"/>
        <w:spacing w:after="0"/>
        <w:tabs>
          <w:tab w:leader="none" w:pos="5640" w:val="left"/>
          <w:tab w:leader="none" w:pos="7780" w:val="left"/>
        </w:tabs>
        <w:rPr>
          <w:sz w:val="20"/>
          <w:szCs w:val="20"/>
          <w:color w:val="auto"/>
        </w:rPr>
      </w:pPr>
      <w:r>
        <w:rPr>
          <w:rFonts w:ascii="Arial" w:cs="Arial" w:eastAsia="Arial" w:hAnsi="Arial"/>
          <w:sz w:val="22"/>
          <w:szCs w:val="22"/>
          <w:color w:val="auto"/>
        </w:rPr>
        <w:t>Date: May 14, 2024</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19050</wp:posOffset>
            </wp:positionV>
            <wp:extent cx="32061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1" w:lineRule="exact"/>
        <w:rPr>
          <w:sz w:val="20"/>
          <w:szCs w:val="20"/>
          <w:color w:val="auto"/>
        </w:rPr>
      </w:pPr>
    </w:p>
    <w:p>
      <w:pPr>
        <w:ind w:left="7900"/>
        <w:spacing w:after="0"/>
        <w:rPr>
          <w:sz w:val="20"/>
          <w:szCs w:val="20"/>
          <w:color w:val="auto"/>
        </w:rPr>
      </w:pPr>
      <w:r>
        <w:rPr>
          <w:rFonts w:ascii="Arial" w:cs="Arial" w:eastAsia="Arial" w:hAnsi="Arial"/>
          <w:sz w:val="22"/>
          <w:szCs w:val="22"/>
          <w:b w:val="1"/>
          <w:bCs w:val="1"/>
          <w:color w:val="auto"/>
        </w:rPr>
        <w:t>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640715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96" w:name="page97"/>
    <w:bookmarkEnd w:id="96"/>
    <w:p>
      <w:pPr>
        <w:jc w:val="center"/>
        <w:ind w:left="6180"/>
        <w:spacing w:after="0"/>
        <w:rPr>
          <w:sz w:val="20"/>
          <w:szCs w:val="20"/>
          <w:color w:val="auto"/>
        </w:rPr>
      </w:pPr>
      <w:r>
        <w:rPr>
          <w:rFonts w:ascii="Arial" w:cs="Arial" w:eastAsia="Arial" w:hAnsi="Arial"/>
          <w:sz w:val="22"/>
          <w:szCs w:val="22"/>
          <w:b w:val="1"/>
          <w:bCs w:val="1"/>
          <w:color w:val="auto"/>
        </w:rPr>
        <w:t>Interim Chief Financial Officer</w:t>
      </w:r>
    </w:p>
    <w:p>
      <w:pPr>
        <w:spacing w:after="0" w:line="12" w:lineRule="exact"/>
        <w:rPr>
          <w:sz w:val="20"/>
          <w:szCs w:val="20"/>
          <w:color w:val="auto"/>
        </w:rPr>
      </w:pPr>
    </w:p>
    <w:p>
      <w:pPr>
        <w:jc w:val="center"/>
        <w:ind w:left="6120"/>
        <w:spacing w:after="0"/>
        <w:rPr>
          <w:sz w:val="20"/>
          <w:szCs w:val="20"/>
          <w:color w:val="auto"/>
        </w:rPr>
      </w:pPr>
      <w:r>
        <w:rPr>
          <w:rFonts w:ascii="Arial" w:cs="Arial" w:eastAsia="Arial" w:hAnsi="Arial"/>
          <w:sz w:val="21"/>
          <w:szCs w:val="21"/>
          <w:b w:val="1"/>
          <w:bCs w:val="1"/>
          <w:i w:val="1"/>
          <w:iCs w:val="1"/>
          <w:color w:val="auto"/>
        </w:rPr>
        <w:t>(principal financial officer and principal</w:t>
      </w:r>
    </w:p>
    <w:p>
      <w:pPr>
        <w:spacing w:after="0" w:line="2" w:lineRule="exact"/>
        <w:rPr>
          <w:sz w:val="20"/>
          <w:szCs w:val="20"/>
          <w:color w:val="auto"/>
        </w:rPr>
      </w:pPr>
    </w:p>
    <w:p>
      <w:pPr>
        <w:jc w:val="center"/>
        <w:ind w:left="6180"/>
        <w:spacing w:after="0"/>
        <w:rPr>
          <w:sz w:val="20"/>
          <w:szCs w:val="20"/>
          <w:color w:val="auto"/>
        </w:rPr>
      </w:pPr>
      <w:r>
        <w:rPr>
          <w:rFonts w:ascii="Arial" w:cs="Arial" w:eastAsia="Arial" w:hAnsi="Arial"/>
          <w:sz w:val="22"/>
          <w:szCs w:val="22"/>
          <w:b w:val="1"/>
          <w:bCs w:val="1"/>
          <w:i w:val="1"/>
          <w:i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628015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80"/>
          </w:cols>
          <w:pgMar w:left="1440" w:top="1016" w:right="87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2" w:lineRule="exact"/>
        <w:rPr>
          <w:sz w:val="20"/>
          <w:szCs w:val="20"/>
          <w:color w:val="auto"/>
        </w:rPr>
      </w:pPr>
    </w:p>
    <w:p>
      <w:pPr>
        <w:ind w:left="2760" w:right="2760" w:firstLine="32"/>
        <w:spacing w:after="0" w:line="275"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129" w:lineRule="exact"/>
        <w:rPr>
          <w:sz w:val="20"/>
          <w:szCs w:val="20"/>
          <w:color w:val="auto"/>
        </w:rPr>
      </w:pPr>
    </w:p>
    <w:p>
      <w:pPr>
        <w:ind w:right="260" w:firstLine="749"/>
        <w:spacing w:after="0"/>
        <w:rPr>
          <w:sz w:val="20"/>
          <w:szCs w:val="20"/>
          <w:color w:val="auto"/>
        </w:rPr>
      </w:pPr>
      <w:r>
        <w:rPr>
          <w:rFonts w:ascii="Arial" w:cs="Arial" w:eastAsia="Arial" w:hAnsi="Arial"/>
          <w:sz w:val="22"/>
          <w:szCs w:val="22"/>
          <w:color w:val="auto"/>
        </w:rPr>
        <w:t>In connection with the Quarterly Report of Candel Therapeutics, Inc. (the “Company”) on Form 10-Q for the period ended March 31, 2024 as filed with the Securities and Exchange Commission on the date hereof (the “Report”), I, Paul Peter Tak, certify, pursuant to 18 U.S.C. § 1350, as adopted pursuant to § 906 of the Sarbanes-Oxley Act of 2002, that, to the best of my knowledge:</w:t>
      </w:r>
    </w:p>
    <w:p>
      <w:pPr>
        <w:spacing w:after="0" w:line="176" w:lineRule="exact"/>
        <w:rPr>
          <w:sz w:val="20"/>
          <w:szCs w:val="20"/>
          <w:color w:val="auto"/>
        </w:rPr>
      </w:pPr>
    </w:p>
    <w:p>
      <w:pPr>
        <w:ind w:left="1140" w:right="80" w:hanging="383"/>
        <w:spacing w:after="0" w:line="259" w:lineRule="auto"/>
        <w:tabs>
          <w:tab w:leader="none" w:pos="1246"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156" w:lineRule="exact"/>
        <w:rPr>
          <w:rFonts w:ascii="Arial" w:cs="Arial" w:eastAsia="Arial" w:hAnsi="Arial"/>
          <w:sz w:val="22"/>
          <w:szCs w:val="22"/>
          <w:color w:val="auto"/>
        </w:rPr>
      </w:pPr>
    </w:p>
    <w:p>
      <w:pPr>
        <w:ind w:left="1140" w:right="340" w:hanging="383"/>
        <w:spacing w:after="0" w:line="259" w:lineRule="auto"/>
        <w:tabs>
          <w:tab w:leader="none" w:pos="1246"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6180" w:val="left"/>
          <w:tab w:leader="none" w:pos="8020" w:val="left"/>
        </w:tabs>
        <w:rPr>
          <w:sz w:val="20"/>
          <w:szCs w:val="20"/>
          <w:color w:val="auto"/>
        </w:rPr>
      </w:pPr>
      <w:r>
        <w:rPr>
          <w:rFonts w:ascii="Arial" w:cs="Arial" w:eastAsia="Arial" w:hAnsi="Arial"/>
          <w:sz w:val="22"/>
          <w:szCs w:val="22"/>
          <w:color w:val="auto"/>
        </w:rPr>
        <w:t>Date: May 14, 2024</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19050</wp:posOffset>
            </wp:positionV>
            <wp:extent cx="29832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 w:lineRule="exact"/>
        <w:rPr>
          <w:sz w:val="20"/>
          <w:szCs w:val="20"/>
          <w:color w:val="auto"/>
        </w:rPr>
      </w:pPr>
    </w:p>
    <w:p>
      <w:pPr>
        <w:ind w:left="8160"/>
        <w:spacing w:after="0"/>
        <w:rPr>
          <w:sz w:val="20"/>
          <w:szCs w:val="20"/>
          <w:color w:val="auto"/>
        </w:rPr>
      </w:pPr>
      <w:r>
        <w:rPr>
          <w:rFonts w:ascii="Arial" w:cs="Arial" w:eastAsia="Arial" w:hAnsi="Arial"/>
          <w:sz w:val="22"/>
          <w:szCs w:val="22"/>
          <w:b w:val="1"/>
          <w:bCs w:val="1"/>
          <w:color w:val="auto"/>
        </w:rPr>
        <w:t>Paul Peter Tak</w:t>
      </w:r>
    </w:p>
    <w:p>
      <w:pPr>
        <w:spacing w:after="0" w:line="27" w:lineRule="exact"/>
        <w:rPr>
          <w:sz w:val="20"/>
          <w:szCs w:val="20"/>
          <w:color w:val="auto"/>
        </w:rPr>
      </w:pPr>
    </w:p>
    <w:p>
      <w:pPr>
        <w:ind w:left="6960"/>
        <w:spacing w:after="0"/>
        <w:rPr>
          <w:sz w:val="20"/>
          <w:szCs w:val="20"/>
          <w:color w:val="auto"/>
        </w:rPr>
      </w:pPr>
      <w:r>
        <w:rPr>
          <w:rFonts w:ascii="Arial" w:cs="Arial" w:eastAsia="Arial" w:hAnsi="Arial"/>
          <w:sz w:val="22"/>
          <w:szCs w:val="22"/>
          <w:b w:val="1"/>
          <w:bCs w:val="1"/>
          <w:color w:val="auto"/>
        </w:rPr>
        <w:t>President and Chief Executive Officer</w:t>
      </w:r>
    </w:p>
    <w:p>
      <w:pPr>
        <w:ind w:left="7480"/>
        <w:spacing w:after="0"/>
        <w:rPr>
          <w:sz w:val="20"/>
          <w:szCs w:val="20"/>
          <w:color w:val="auto"/>
        </w:rPr>
      </w:pPr>
      <w:r>
        <w:rPr>
          <w:rFonts w:ascii="Arial" w:cs="Arial" w:eastAsia="Arial" w:hAnsi="Arial"/>
          <w:sz w:val="22"/>
          <w:szCs w:val="22"/>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b w:val="1"/>
          <w:bCs w:val="1"/>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2" w:lineRule="exact"/>
        <w:rPr>
          <w:sz w:val="20"/>
          <w:szCs w:val="20"/>
          <w:color w:val="auto"/>
        </w:rPr>
      </w:pPr>
    </w:p>
    <w:p>
      <w:pPr>
        <w:ind w:left="2760" w:right="2760" w:firstLine="32"/>
        <w:spacing w:after="0" w:line="275"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129" w:lineRule="exact"/>
        <w:rPr>
          <w:sz w:val="20"/>
          <w:szCs w:val="20"/>
          <w:color w:val="auto"/>
        </w:rPr>
      </w:pPr>
    </w:p>
    <w:p>
      <w:pPr>
        <w:ind w:right="260" w:firstLine="749"/>
        <w:spacing w:after="0"/>
        <w:rPr>
          <w:sz w:val="20"/>
          <w:szCs w:val="20"/>
          <w:color w:val="auto"/>
        </w:rPr>
      </w:pPr>
      <w:r>
        <w:rPr>
          <w:rFonts w:ascii="Arial" w:cs="Arial" w:eastAsia="Arial" w:hAnsi="Arial"/>
          <w:sz w:val="22"/>
          <w:szCs w:val="22"/>
          <w:color w:val="auto"/>
        </w:rPr>
        <w:t>In connection with the Quarterly Report of Candel Therapeutics, Inc. (the “Company”) on Form 10-Q for the period ended March 31, 2024 as filed with the Securities and Exchange Commission on the date hereof (the “Report”), I, Charles Schoch, certify, pursuant to 18 U.S.C. § 1350, as adopted pursuant to § 906 of the Sarbanes-Oxley Act of 2002, that, to the best of my knowledge:</w:t>
      </w:r>
    </w:p>
    <w:p>
      <w:pPr>
        <w:spacing w:after="0" w:line="176" w:lineRule="exact"/>
        <w:rPr>
          <w:sz w:val="20"/>
          <w:szCs w:val="20"/>
          <w:color w:val="auto"/>
        </w:rPr>
      </w:pPr>
    </w:p>
    <w:p>
      <w:pPr>
        <w:ind w:left="1140" w:right="80" w:hanging="383"/>
        <w:spacing w:after="0" w:line="259" w:lineRule="auto"/>
        <w:tabs>
          <w:tab w:leader="none" w:pos="1246"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156" w:lineRule="exact"/>
        <w:rPr>
          <w:rFonts w:ascii="Arial" w:cs="Arial" w:eastAsia="Arial" w:hAnsi="Arial"/>
          <w:sz w:val="22"/>
          <w:szCs w:val="22"/>
          <w:color w:val="auto"/>
        </w:rPr>
      </w:pPr>
    </w:p>
    <w:p>
      <w:pPr>
        <w:ind w:left="1140" w:right="340" w:hanging="383"/>
        <w:spacing w:after="0" w:line="259" w:lineRule="auto"/>
        <w:tabs>
          <w:tab w:leader="none" w:pos="1246"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6180" w:val="left"/>
          <w:tab w:leader="none" w:pos="7960" w:val="left"/>
        </w:tabs>
        <w:rPr>
          <w:sz w:val="20"/>
          <w:szCs w:val="20"/>
          <w:color w:val="auto"/>
        </w:rPr>
      </w:pPr>
      <w:r>
        <w:rPr>
          <w:rFonts w:ascii="Arial" w:cs="Arial" w:eastAsia="Arial" w:hAnsi="Arial"/>
          <w:sz w:val="22"/>
          <w:szCs w:val="22"/>
          <w:color w:val="auto"/>
        </w:rPr>
        <w:t>Date: May 14, 2024</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Charles Schoch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19050</wp:posOffset>
            </wp:positionV>
            <wp:extent cx="29832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 w:lineRule="exact"/>
        <w:rPr>
          <w:sz w:val="20"/>
          <w:szCs w:val="20"/>
          <w:color w:val="auto"/>
        </w:rPr>
      </w:pPr>
    </w:p>
    <w:p>
      <w:pPr>
        <w:jc w:val="center"/>
        <w:ind w:left="6520"/>
        <w:spacing w:after="0"/>
        <w:rPr>
          <w:sz w:val="20"/>
          <w:szCs w:val="20"/>
          <w:color w:val="auto"/>
        </w:rPr>
      </w:pPr>
      <w:r>
        <w:rPr>
          <w:rFonts w:ascii="Arial" w:cs="Arial" w:eastAsia="Arial" w:hAnsi="Arial"/>
          <w:sz w:val="22"/>
          <w:szCs w:val="22"/>
          <w:b w:val="1"/>
          <w:bCs w:val="1"/>
          <w:color w:val="auto"/>
        </w:rPr>
        <w:t>Charles Schoch</w:t>
      </w:r>
    </w:p>
    <w:p>
      <w:pPr>
        <w:spacing w:after="0" w:line="27" w:lineRule="exact"/>
        <w:rPr>
          <w:sz w:val="20"/>
          <w:szCs w:val="20"/>
          <w:color w:val="auto"/>
        </w:rPr>
      </w:pPr>
    </w:p>
    <w:p>
      <w:pPr>
        <w:jc w:val="center"/>
        <w:ind w:left="6520"/>
        <w:spacing w:after="0"/>
        <w:rPr>
          <w:sz w:val="20"/>
          <w:szCs w:val="20"/>
          <w:color w:val="auto"/>
        </w:rPr>
      </w:pPr>
      <w:r>
        <w:rPr>
          <w:rFonts w:ascii="Arial" w:cs="Arial" w:eastAsia="Arial" w:hAnsi="Arial"/>
          <w:sz w:val="22"/>
          <w:szCs w:val="22"/>
          <w:b w:val="1"/>
          <w:bCs w:val="1"/>
          <w:color w:val="auto"/>
        </w:rPr>
        <w:t>Interim Chief Financial Officer</w:t>
      </w:r>
    </w:p>
    <w:p>
      <w:pPr>
        <w:jc w:val="center"/>
        <w:ind w:left="6460"/>
        <w:spacing w:after="0" w:line="230" w:lineRule="auto"/>
        <w:rPr>
          <w:sz w:val="20"/>
          <w:szCs w:val="20"/>
          <w:color w:val="auto"/>
        </w:rPr>
      </w:pPr>
      <w:r>
        <w:rPr>
          <w:rFonts w:ascii="Arial" w:cs="Arial" w:eastAsia="Arial" w:hAnsi="Arial"/>
          <w:sz w:val="22"/>
          <w:szCs w:val="22"/>
          <w:b w:val="1"/>
          <w:bCs w:val="1"/>
          <w:i w:val="1"/>
          <w:iCs w:val="1"/>
          <w:color w:val="auto"/>
        </w:rPr>
        <w:t>(principal financial officer and principal</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22"/>
          <w:szCs w:val="22"/>
          <w:b w:val="1"/>
          <w:bCs w:val="1"/>
          <w:i w:val="1"/>
          <w:i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11"/>
    </w:lvl>
  </w:abstractNum>
  <w:abstractNum w:abstractNumId="6">
    <w:nsid w:val="22221A70"/>
    <w:multiLevelType w:val="hybridMultilevel"/>
    <w:lvl w:ilvl="0">
      <w:lvlJc w:val="left"/>
      <w:lvlText w:val="%1."/>
      <w:numFmt w:val="decimal"/>
      <w:start w:val="15"/>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lvl w:ilvl="1">
      <w:lvlJc w:val="left"/>
      <w:lvlText w:val="•"/>
      <w:numFmt w:val="bullet"/>
      <w:start w:val="1"/>
    </w:lvl>
  </w:abstractNum>
  <w:abstractNum w:abstractNumId="9">
    <w:nsid w:val="614FD4A1"/>
    <w:multiLevelType w:val="hybridMultilevel"/>
    <w:lvl w:ilvl="0">
      <w:lvlJc w:val="left"/>
      <w:lvlText w:val="•"/>
      <w:numFmt w:val="bullet"/>
      <w:start w:val="1"/>
    </w:lvl>
    <w:lvl w:ilvl="1">
      <w:lvlJc w:val="left"/>
      <w:lvlText w:val="o"/>
      <w:numFmt w:val="bullet"/>
      <w:start w:val="1"/>
    </w:lvl>
  </w:abstractNum>
  <w:abstractNum w:abstractNumId="10">
    <w:nsid w:val="419AC241"/>
    <w:multiLevelType w:val="hybridMultilevel"/>
    <w:lvl w:ilvl="0">
      <w:lvlJc w:val="left"/>
      <w:lvlText w:val="▪"/>
      <w:numFmt w:val="bullet"/>
      <w:start w:val="1"/>
    </w:lvl>
    <w:lvl w:ilvl="1">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lowerLetter"/>
      <w:start w:val="3"/>
    </w:lvl>
  </w:abstractNum>
  <w:abstractNum w:abstractNumId="52">
    <w:nsid w:val="649BB77C"/>
    <w:multiLevelType w:val="hybridMultilevel"/>
    <w:lvl w:ilvl="0">
      <w:lvlJc w:val="left"/>
      <w:lvlText w:val="*"/>
      <w:numFmt w:val="bullet"/>
      <w:start w:val="1"/>
    </w:lvl>
    <w:lvl w:ilvl="1">
      <w:lvlJc w:val="left"/>
      <w:lvlText w:val="%2"/>
      <w:numFmt w:val="decimal"/>
      <w:start w:val="104"/>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07" Type="http://schemas.openxmlformats.org/officeDocument/2006/relationships/hyperlink" Target="https://www.sec.gov/Archives/edgar/data/0001841387/000119312521229437/d203496dex31.htm" TargetMode="External"/><Relationship Id="rId208" Type="http://schemas.openxmlformats.org/officeDocument/2006/relationships/hyperlink" Target="https://www.sec.gov/Archives/edgar/data/0001841387/000119312521229437/d203496dex32.htm" TargetMode="External"/><Relationship Id="rId209" Type="http://schemas.openxmlformats.org/officeDocument/2006/relationships/hyperlink" Target="https://www.sec.gov/Archives/edgar/data/0001841387/000119312521216891/d120909dex41.htm" TargetMode="External"/><Relationship Id="rId210" Type="http://schemas.openxmlformats.org/officeDocument/2006/relationships/hyperlink" Target="https://www.sec.gov/Archives/edgar/data/1841387/000095017024037637/cadl-ex10_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2024-05-14T07:44:06Z</dcterms:created>
  <dcterms:modified xsi:type="dcterms:W3CDTF">2024-05-14T07:44:06Z</dcterms:modified>
</cp:coreProperties>
</file>