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700" w:right="1520" w:hanging="3692"/>
        <w:spacing w:after="0" w:line="312" w:lineRule="auto"/>
        <w:tabs>
          <w:tab w:leader="none" w:pos="45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2780" w:right="1540" w:hanging="2772"/>
        <w:spacing w:after="0" w:line="320" w:lineRule="auto"/>
        <w:tabs>
          <w:tab w:leader="none" w:pos="47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0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CANDEL THERAPEUTICS,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p>
      <w:pPr>
        <w:spacing w:after="0" w:line="171"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Delaware</w:t>
      </w:r>
    </w:p>
    <w:p>
      <w:pPr>
        <w:spacing w:after="0" w:line="10"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52-2214851</w:t>
      </w:r>
    </w:p>
    <w:p>
      <w:pPr>
        <w:spacing w:after="0" w:line="12"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43" w:lineRule="exact"/>
        <w:rPr>
          <w:sz w:val="24"/>
          <w:szCs w:val="24"/>
          <w:color w:val="auto"/>
        </w:rPr>
      </w:pPr>
    </w:p>
    <w:p>
      <w:pPr>
        <w:sectPr>
          <w:pgSz w:w="11900" w:h="16838" w:orient="portrait"/>
          <w:cols w:equalWidth="0" w:num="2">
            <w:col w:w="7180" w:space="720"/>
            <w:col w:w="3340"/>
          </w:cols>
          <w:pgMar w:left="320" w:top="1230" w:right="339" w:bottom="1440" w:gutter="0" w:footer="0" w:header="0"/>
          <w:type w:val="continuous"/>
        </w:sectPr>
      </w:pPr>
    </w:p>
    <w:p>
      <w:pPr>
        <w:ind w:left="1800"/>
        <w:spacing w:after="0"/>
        <w:rPr>
          <w:sz w:val="20"/>
          <w:szCs w:val="20"/>
          <w:color w:val="auto"/>
        </w:rPr>
      </w:pPr>
      <w:r>
        <w:rPr>
          <w:rFonts w:ascii="Arial" w:cs="Arial" w:eastAsia="Arial" w:hAnsi="Arial"/>
          <w:sz w:val="16"/>
          <w:szCs w:val="16"/>
          <w:b w:val="1"/>
          <w:bCs w:val="1"/>
          <w:color w:val="auto"/>
        </w:rPr>
        <w:t>117 Kendrick St, Suite 450</w:t>
      </w:r>
    </w:p>
    <w:p>
      <w:pPr>
        <w:spacing w:after="0" w:line="18" w:lineRule="exact"/>
        <w:rPr>
          <w:sz w:val="24"/>
          <w:szCs w:val="24"/>
          <w:color w:val="auto"/>
        </w:rPr>
      </w:pPr>
    </w:p>
    <w:p>
      <w:pPr>
        <w:ind w:left="2280"/>
        <w:spacing w:after="0"/>
        <w:tabs>
          <w:tab w:leader="none" w:pos="8180" w:val="left"/>
        </w:tabs>
        <w:rPr>
          <w:sz w:val="20"/>
          <w:szCs w:val="20"/>
          <w:color w:val="auto"/>
        </w:rPr>
      </w:pPr>
      <w:r>
        <w:rPr>
          <w:rFonts w:ascii="Arial" w:cs="Arial" w:eastAsia="Arial" w:hAnsi="Arial"/>
          <w:sz w:val="16"/>
          <w:szCs w:val="16"/>
          <w:b w:val="1"/>
          <w:bCs w:val="1"/>
          <w:color w:val="auto"/>
        </w:rPr>
        <w:t>Needham, MA</w:t>
      </w:r>
      <w:r>
        <w:rPr>
          <w:sz w:val="20"/>
          <w:szCs w:val="20"/>
          <w:color w:val="auto"/>
        </w:rPr>
        <w:tab/>
      </w:r>
      <w:r>
        <w:rPr>
          <w:rFonts w:ascii="Arial" w:cs="Arial" w:eastAsia="Arial" w:hAnsi="Arial"/>
          <w:sz w:val="16"/>
          <w:szCs w:val="16"/>
          <w:b w:val="1"/>
          <w:bCs w:val="1"/>
          <w:color w:val="auto"/>
        </w:rPr>
        <w:t>02494</w:t>
      </w: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45"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(617) 916-5445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7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CADL</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bl>
    <w:p>
      <w:pPr>
        <w:spacing w:after="0" w:line="28" w:lineRule="exact"/>
        <w:rPr>
          <w:sz w:val="24"/>
          <w:szCs w:val="24"/>
          <w:color w:val="auto"/>
        </w:rPr>
      </w:pPr>
    </w:p>
    <w:p>
      <w:pPr>
        <w:ind w:right="12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4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4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8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8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5140" w:type="dxa"/>
            <w:vAlign w:val="bottom"/>
          </w:tcPr>
          <w:p>
            <w:pPr>
              <w:ind w:left="288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jc w:val="both"/>
        <w:ind w:right="6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6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5, 2025, the registrant had 54,895,099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7"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This Quarterly Report on Form 10-Q (Form 10-Q), including the section entitled “Management’s Discussion and Analysis of Financial Condition and Results of Operations,”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10-Q may include, but are not limited to, statements about:</w:t>
      </w:r>
    </w:p>
    <w:p>
      <w:pPr>
        <w:spacing w:after="0" w:line="7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the success of preclinical studies and clinical trials of CAN-2409 (international non-proprietary name: aglatimagene</w:t>
      </w:r>
    </w:p>
    <w:p>
      <w:pPr>
        <w:spacing w:after="0" w:line="8"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besadenovec) and CAN-3110 (international non-proprietary name: linoserpaturev) and any other product candidates;</w:t>
      </w:r>
    </w:p>
    <w:p>
      <w:pPr>
        <w:spacing w:after="0" w:line="8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initiation of any clinical trials of CAN-2409 and CAN-3110 and any other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need to raise additional funding before we can expect to generate any revenues from product sales;</w:t>
      </w:r>
    </w:p>
    <w:p>
      <w:pPr>
        <w:spacing w:after="0" w:line="114" w:lineRule="exact"/>
        <w:rPr>
          <w:rFonts w:ascii="Times New Roman" w:cs="Times New Roman" w:eastAsia="Times New Roman" w:hAnsi="Times New Roman"/>
          <w:sz w:val="17"/>
          <w:szCs w:val="17"/>
          <w:color w:val="auto"/>
        </w:rPr>
      </w:pPr>
    </w:p>
    <w:p>
      <w:pPr>
        <w:ind w:left="1020" w:right="74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conduct successful clinical trials or obtain regulatory approval for CAN-2409 and CAN-3110 or any other product candidates that we may identify or develop;</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of our research to generate and advance additional product candidates;</w:t>
      </w:r>
    </w:p>
    <w:p>
      <w:pPr>
        <w:spacing w:after="0" w:line="114"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effects of public health crises, outbreaks of an infectious disease or ongoing geopolitical conflicts, including mitigation efforts and economic effects, on any of the foregoing or other aspects of our business operations;</w:t>
      </w:r>
    </w:p>
    <w:p>
      <w:pPr>
        <w:spacing w:after="0" w:line="51"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 adequate safety or efficacy profile for CAN-2409, CAN-3110 or any other product candidates that we may pursue;</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manufacture CAN-2409, CAN-3110 or any other product candidate in conformity with our specifications and the U.S. Food and Drug Administration’s (FDA) requirements and to scale up manufacturing of our product candidates to commercial scale, if approved;</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implementation of our strategic plans for our business, any product candidates we may develop and any companion diagnostics;</w:t>
      </w:r>
    </w:p>
    <w:p>
      <w:pPr>
        <w:spacing w:after="0" w:line="114"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intellectual property position, including the scope of protection we are able to establish and maintain for intellectual property rights covering our product candidates any companion diagnostics;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rate and degree of market acceptance and clinical utility for any product candidates we may develop;</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period we estimate to be funded by our existing financial resources;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benefits with the continued existence of our license agreement with Mass General Brigham (MGB);</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financial performance;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effectively manage our anticipated growth;</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relating to our competitors and our industry, including the impact of government regulation;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other risks and uncertainties, including those discussed in Part II, Item 1A - Risk Factors in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sectPr>
      </w:pPr>
    </w:p>
    <w:bookmarkStart w:id="2" w:name="page3"/>
    <w:bookmarkEnd w:id="2"/>
    <w:p>
      <w:pPr>
        <w:ind w:right="40"/>
        <w:spacing w:after="0" w:line="237" w:lineRule="auto"/>
        <w:rPr>
          <w:sz w:val="20"/>
          <w:szCs w:val="20"/>
          <w:color w:val="auto"/>
        </w:rPr>
      </w:pPr>
      <w:r>
        <w:rPr>
          <w:rFonts w:ascii="Arial" w:cs="Arial" w:eastAsia="Arial" w:hAnsi="Arial"/>
          <w:sz w:val="17"/>
          <w:szCs w:val="17"/>
          <w:color w:val="auto"/>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Form 10-Q.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spacing w:after="0" w:line="7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forward-looking statements in this Form 10-Q represent our views as of the date of this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10-Q.</w:t>
      </w:r>
    </w:p>
    <w:p>
      <w:pPr>
        <w:spacing w:after="0" w:line="6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This Form 10-Q may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have not independently verified the information contained in such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6" w:right="4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14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Our business is subject to numerous risks and uncertainties, including those described more fully in Part II, Item 1A - Risk Factors in this Form 10-Q. You should carefully consider these risks and uncertainties when investing in our common stock. The principal risks and uncertainties affecting our business include the following:</w:t>
      </w:r>
    </w:p>
    <w:p>
      <w:pPr>
        <w:spacing w:after="0" w:line="67" w:lineRule="exact"/>
        <w:rPr>
          <w:sz w:val="20"/>
          <w:szCs w:val="20"/>
          <w:color w:val="auto"/>
        </w:rPr>
      </w:pPr>
    </w:p>
    <w:p>
      <w:pPr>
        <w:ind w:left="1020" w:right="8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are a biopharmaceutical company with a limited operating history and we have not generated any revenue from product sales. We expect to continue to incur significant expenses and increasing operating losses for at least the next several years and may never achieve or maintain profitability.</w:t>
      </w:r>
    </w:p>
    <w:p>
      <w:pPr>
        <w:spacing w:after="0" w:line="65"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will need to raise substantial additional funding. If we are unable to raise capital when needed, we would be forced to delay, reduce or eliminate some of our product development programs or commercialization efforts or initiate steps to cease operations.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incurred indebtedness, and we may incur additional indebtedness, which could adversely affect our financial condition.</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business is dependent on the success of CAN-2409, CAN-3110 and any other product candidates that we advance into the clinic. All of our product candidates will require additional development before we may be able to seek regulatory approval for and launch a product commercially.</w:t>
      </w:r>
    </w:p>
    <w:p>
      <w:pPr>
        <w:spacing w:after="0" w:line="65"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51"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51"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51" w:lineRule="exact"/>
        <w:rPr>
          <w:rFonts w:ascii="Times New Roman" w:cs="Times New Roman" w:eastAsia="Times New Roman" w:hAnsi="Times New Roman"/>
          <w:sz w:val="17"/>
          <w:szCs w:val="17"/>
          <w:color w:val="auto"/>
        </w:rPr>
      </w:pPr>
    </w:p>
    <w:p>
      <w:pPr>
        <w:ind w:left="1020" w:right="20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71"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FDA’s agreement to a Special Protocol Assessment (SPA) with respect to the study design of our pivotal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65" w:lineRule="exact"/>
        <w:rPr>
          <w:rFonts w:ascii="Times New Roman" w:cs="Times New Roman" w:eastAsia="Times New Roman" w:hAnsi="Times New Roman"/>
          <w:sz w:val="17"/>
          <w:szCs w:val="17"/>
          <w:color w:val="auto"/>
        </w:rPr>
      </w:pPr>
    </w:p>
    <w:p>
      <w:pPr>
        <w:ind w:left="1020" w:right="36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7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product candidate manufacturing or formulation may result in additional costs or delay.</w:t>
      </w:r>
    </w:p>
    <w:p>
      <w:pPr>
        <w:spacing w:after="0" w:line="114"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Any future public health crisis, outbreaks of an infectious disease, ongoing geopolitical conflicts, or trade wars or other trade restrictions may have adverse effects on our business and operations.</w:t>
      </w:r>
    </w:p>
    <w:p>
      <w:pPr>
        <w:spacing w:after="0" w:line="51" w:lineRule="exact"/>
        <w:rPr>
          <w:rFonts w:ascii="Times New Roman" w:cs="Times New Roman" w:eastAsia="Times New Roman" w:hAnsi="Times New Roman"/>
          <w:sz w:val="17"/>
          <w:szCs w:val="17"/>
          <w:color w:val="auto"/>
        </w:rPr>
      </w:pPr>
    </w:p>
    <w:p>
      <w:pPr>
        <w:ind w:left="1020" w:right="54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65" w:lineRule="exact"/>
        <w:rPr>
          <w:rFonts w:ascii="Times New Roman" w:cs="Times New Roman" w:eastAsia="Times New Roman" w:hAnsi="Times New Roman"/>
          <w:sz w:val="17"/>
          <w:szCs w:val="17"/>
          <w:color w:val="auto"/>
        </w:rPr>
      </w:pPr>
    </w:p>
    <w:p>
      <w:pPr>
        <w:ind w:left="1020" w:right="2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65"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transition of our manufacturing operations to a third-party contract manufacturer may result in further delays or expenses, and we may not experience the anticipated operating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ind w:left="503" w:hanging="503"/>
        <w:spacing w:after="0" w:line="243"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869950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16" w:right="35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NOTE REGARDING COMPANY REFERENCES</w:t>
      </w:r>
    </w:p>
    <w:p>
      <w:pPr>
        <w:spacing w:after="0" w:line="195"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Unless the context otherwise requires, the terms “Candel Therapeutics,” “the Company,” “we,” “us,” and “our” in this Form 10-Q refer to Candel Therapeutics, Inc. and its consolidated subsidiary.</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 REGARDING TRADEMARKS</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own or have rights to various trademarks, service marks and trade names that are used in connection with the operation of our business, including our company name, Candel Therapeutics, our logo, and the names of our CAN-2409™ and CAN-3110™ product candidates. This Form 10-Q may also contain trademarks, service marks and trade names of third parties, which are the property of their respective owners. Our use or display of third parties’ trademarks, service marks, trade names or products in this Form 10-Q is not intended to and does not imply a relationship with, or endorsement or sponsorship by, us. Solely for convenience, the trademarks, service marks and trade names referred to in this Form 10-Q may appear without the ®, TM or SM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71"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2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20" w:type="dxa"/>
            <w:vAlign w:val="bottom"/>
            <w:vMerge w:val="restart"/>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9280" w:type="dxa"/>
            <w:vAlign w:val="bottom"/>
            <w:gridSpan w:val="19"/>
          </w:tcPr>
          <w:p>
            <w:pPr>
              <w:spacing w:after="0" w:line="182" w:lineRule="exact"/>
              <w:rPr>
                <w:sz w:val="20"/>
                <w:szCs w:val="20"/>
                <w:color w:val="auto"/>
              </w:rPr>
            </w:pPr>
            <w:r>
              <w:rPr>
                <w:rFonts w:ascii="Arial" w:cs="Arial" w:eastAsia="Arial" w:hAnsi="Arial"/>
                <w:sz w:val="18"/>
                <w:szCs w:val="18"/>
                <w:color w:val="0000FF"/>
              </w:rPr>
              <w:t>Financial Statements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620" w:type="dxa"/>
            <w:vAlign w:val="bottom"/>
            <w:gridSpan w:val="9"/>
            <w:vMerge w:val="restart"/>
          </w:tcPr>
          <w:p>
            <w:pPr>
              <w:ind w:left="80"/>
              <w:spacing w:after="0" w:line="202" w:lineRule="exact"/>
              <w:rPr>
                <w:sz w:val="20"/>
                <w:szCs w:val="20"/>
                <w:color w:val="auto"/>
              </w:rPr>
            </w:pPr>
            <w:r>
              <w:rPr>
                <w:rFonts w:ascii="Arial" w:cs="Arial" w:eastAsia="Arial" w:hAnsi="Arial"/>
                <w:sz w:val="18"/>
                <w:szCs w:val="18"/>
                <w:color w:val="0000FF"/>
              </w:rPr>
              <w:t>Sheets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11"/>
          </w:tcPr>
          <w:p>
            <w:pPr>
              <w:spacing w:after="0" w:line="182" w:lineRule="exact"/>
              <w:rPr>
                <w:sz w:val="20"/>
                <w:szCs w:val="20"/>
                <w:color w:val="auto"/>
              </w:rPr>
            </w:pPr>
            <w:r>
              <w:rPr>
                <w:rFonts w:ascii="Arial" w:cs="Arial" w:eastAsia="Arial" w:hAnsi="Arial"/>
                <w:sz w:val="18"/>
                <w:szCs w:val="18"/>
                <w:color w:val="0000FF"/>
                <w:w w:val="96"/>
              </w:rPr>
              <w:t>Condensed Consolidated Balance</w:t>
            </w:r>
          </w:p>
        </w:tc>
        <w:tc>
          <w:tcPr>
            <w:tcW w:w="6620" w:type="dxa"/>
            <w:vAlign w:val="bottom"/>
            <w:gridSpan w:val="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980" w:type="dxa"/>
            <w:vAlign w:val="bottom"/>
            <w:gridSpan w:val="8"/>
            <w:vMerge w:val="restart"/>
          </w:tcPr>
          <w:p>
            <w:pPr>
              <w:spacing w:after="0" w:line="202" w:lineRule="exact"/>
              <w:rPr>
                <w:sz w:val="20"/>
                <w:szCs w:val="20"/>
                <w:color w:val="auto"/>
              </w:rPr>
            </w:pPr>
            <w:r>
              <w:rPr>
                <w:rFonts w:ascii="Arial" w:cs="Arial" w:eastAsia="Arial" w:hAnsi="Arial"/>
                <w:sz w:val="18"/>
                <w:szCs w:val="18"/>
                <w:color w:val="0000FF"/>
              </w:rPr>
              <w:t>Operations and Comprehensive Income (Loss) (Unaudited)</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20" w:type="dxa"/>
            <w:vAlign w:val="bottom"/>
            <w:gridSpan w:val="12"/>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980" w:type="dxa"/>
            <w:vAlign w:val="bottom"/>
            <w:gridSpan w:val="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940" w:type="dxa"/>
            <w:vAlign w:val="bottom"/>
            <w:gridSpan w:val="19"/>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 (Deficit) (Unaudited)</w:t>
            </w:r>
          </w:p>
        </w:tc>
        <w:tc>
          <w:tcPr>
            <w:tcW w:w="1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2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520" w:type="dxa"/>
            <w:vAlign w:val="bottom"/>
            <w:gridSpan w:val="17"/>
          </w:tcPr>
          <w:p>
            <w:pPr>
              <w:spacing w:after="0" w:line="182" w:lineRule="exact"/>
              <w:rPr>
                <w:sz w:val="20"/>
                <w:szCs w:val="20"/>
                <w:color w:val="auto"/>
              </w:rPr>
            </w:pPr>
            <w:r>
              <w:rPr>
                <w:rFonts w:ascii="Arial" w:cs="Arial" w:eastAsia="Arial" w:hAnsi="Arial"/>
                <w:sz w:val="18"/>
                <w:szCs w:val="18"/>
                <w:color w:val="0000FF"/>
              </w:rPr>
              <w:t>Condensed Consolidated Statements of Cash Flows (Unaudited)</w:t>
            </w:r>
          </w:p>
        </w:tc>
        <w:tc>
          <w:tcPr>
            <w:tcW w:w="560" w:type="dxa"/>
            <w:vAlign w:val="bottom"/>
            <w:vMerge w:val="continue"/>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00" w:type="dxa"/>
            <w:vAlign w:val="bottom"/>
            <w:gridSpan w:val="20"/>
          </w:tcPr>
          <w:p>
            <w:pPr>
              <w:spacing w:after="0" w:line="182" w:lineRule="exact"/>
              <w:rPr>
                <w:sz w:val="20"/>
                <w:szCs w:val="20"/>
                <w:color w:val="auto"/>
              </w:rPr>
            </w:pPr>
            <w:r>
              <w:rPr>
                <w:rFonts w:ascii="Arial" w:cs="Arial" w:eastAsia="Arial" w:hAnsi="Arial"/>
                <w:sz w:val="18"/>
                <w:szCs w:val="18"/>
                <w:color w:val="0000FF"/>
              </w:rPr>
              <w:t>Notes to Condensed Consolidated Financial Statements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3820" w:type="dxa"/>
            <w:vAlign w:val="bottom"/>
            <w:gridSpan w:val="4"/>
            <w:vMerge w:val="restart"/>
          </w:tcPr>
          <w:p>
            <w:pPr>
              <w:spacing w:after="0" w:line="202" w:lineRule="exact"/>
              <w:rPr>
                <w:sz w:val="20"/>
                <w:szCs w:val="20"/>
                <w:color w:val="auto"/>
              </w:rPr>
            </w:pPr>
            <w:r>
              <w:rPr>
                <w:rFonts w:ascii="Arial" w:cs="Arial" w:eastAsia="Arial" w:hAnsi="Arial"/>
                <w:sz w:val="18"/>
                <w:szCs w:val="18"/>
                <w:color w:val="0000FF"/>
              </w:rPr>
              <w:t>Results of Operations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5480" w:type="dxa"/>
            <w:vAlign w:val="bottom"/>
            <w:gridSpan w:val="16"/>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w:t>
            </w:r>
          </w:p>
        </w:tc>
        <w:tc>
          <w:tcPr>
            <w:tcW w:w="3820" w:type="dxa"/>
            <w:vAlign w:val="bottom"/>
            <w:gridSpan w:val="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22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7080" w:type="dxa"/>
            <w:vAlign w:val="bottom"/>
            <w:gridSpan w:val="18"/>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4700" w:type="dxa"/>
            <w:vAlign w:val="bottom"/>
            <w:gridSpan w:val="13"/>
          </w:tcPr>
          <w:p>
            <w:pPr>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vMerge w:val="continue"/>
          </w:tcPr>
          <w:p>
            <w:pPr>
              <w:spacing w:after="0"/>
              <w:rPr>
                <w:sz w:val="15"/>
                <w:szCs w:val="15"/>
                <w:color w:val="auto"/>
              </w:rPr>
            </w:pPr>
          </w:p>
        </w:tc>
        <w:tc>
          <w:tcPr>
            <w:tcW w:w="44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4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980" w:type="dxa"/>
            <w:vAlign w:val="bottom"/>
            <w:gridSpan w:val="8"/>
          </w:tcPr>
          <w:p>
            <w:pPr>
              <w:spacing w:after="0" w:line="182" w:lineRule="exact"/>
              <w:rPr>
                <w:sz w:val="20"/>
                <w:szCs w:val="20"/>
                <w:color w:val="auto"/>
              </w:rPr>
            </w:pPr>
            <w:r>
              <w:rPr>
                <w:rFonts w:ascii="Arial" w:cs="Arial" w:eastAsia="Arial" w:hAnsi="Arial"/>
                <w:sz w:val="18"/>
                <w:szCs w:val="18"/>
                <w:color w:val="0000FF"/>
              </w:rPr>
              <w:t>OTHER INFORMATION</w:t>
            </w:r>
          </w:p>
        </w:tc>
        <w:tc>
          <w:tcPr>
            <w:tcW w:w="560" w:type="dxa"/>
            <w:vAlign w:val="bottom"/>
            <w:gridSpan w:val="2"/>
            <w:vMerge w:val="continue"/>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44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3"/>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4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940" w:type="dxa"/>
            <w:vAlign w:val="bottom"/>
            <w:gridSpan w:val="7"/>
          </w:tcPr>
          <w:p>
            <w:pPr>
              <w:spacing w:after="0" w:line="182" w:lineRule="exact"/>
              <w:rPr>
                <w:sz w:val="20"/>
                <w:szCs w:val="20"/>
                <w:color w:val="auto"/>
              </w:rPr>
            </w:pPr>
            <w:r>
              <w:rPr>
                <w:rFonts w:ascii="Arial" w:cs="Arial" w:eastAsia="Arial" w:hAnsi="Arial"/>
                <w:sz w:val="18"/>
                <w:szCs w:val="18"/>
                <w:color w:val="0000FF"/>
              </w:rPr>
              <w:t>Legal Proceedings</w:t>
            </w:r>
          </w:p>
        </w:tc>
        <w:tc>
          <w:tcPr>
            <w:tcW w:w="600" w:type="dxa"/>
            <w:vAlign w:val="bottom"/>
            <w:gridSpan w:val="3"/>
            <w:vMerge w:val="continue"/>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44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1A.</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20" w:type="dxa"/>
            <w:vAlign w:val="bottom"/>
            <w:gridSpan w:val="4"/>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4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480" w:type="dxa"/>
            <w:vAlign w:val="bottom"/>
            <w:gridSpan w:val="5"/>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vMerge w:val="continue"/>
          </w:tcPr>
          <w:p>
            <w:pPr>
              <w:spacing w:after="0"/>
              <w:rPr>
                <w:sz w:val="15"/>
                <w:szCs w:val="15"/>
                <w:color w:val="auto"/>
              </w:rPr>
            </w:pPr>
          </w:p>
        </w:tc>
        <w:tc>
          <w:tcPr>
            <w:tcW w:w="620" w:type="dxa"/>
            <w:vAlign w:val="bottom"/>
            <w:gridSpan w:val="4"/>
            <w:vMerge w:val="continue"/>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44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7"/>
            <w:vMerge w:val="restart"/>
          </w:tcPr>
          <w:p>
            <w:pPr>
              <w:ind w:left="60"/>
              <w:spacing w:after="0" w:line="20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020" w:type="dxa"/>
            <w:vAlign w:val="bottom"/>
            <w:gridSpan w:val="3"/>
          </w:tcPr>
          <w:p>
            <w:pPr>
              <w:spacing w:after="0" w:line="182" w:lineRule="exact"/>
              <w:rPr>
                <w:sz w:val="20"/>
                <w:szCs w:val="20"/>
                <w:color w:val="auto"/>
              </w:rPr>
            </w:pPr>
            <w:r>
              <w:rPr>
                <w:rFonts w:ascii="Arial" w:cs="Arial" w:eastAsia="Arial" w:hAnsi="Arial"/>
                <w:sz w:val="18"/>
                <w:szCs w:val="18"/>
                <w:color w:val="0000FF"/>
                <w:w w:val="95"/>
              </w:rPr>
              <w:t>Unregistered</w:t>
            </w:r>
          </w:p>
        </w:tc>
        <w:tc>
          <w:tcPr>
            <w:tcW w:w="8280" w:type="dxa"/>
            <w:vAlign w:val="bottom"/>
            <w:gridSpan w:val="1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4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4840" w:type="dxa"/>
            <w:vAlign w:val="bottom"/>
            <w:gridSpan w:val="1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4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76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2540" w:type="dxa"/>
            <w:vAlign w:val="bottom"/>
            <w:gridSpan w:val="10"/>
          </w:tcPr>
          <w:p>
            <w:pPr>
              <w:spacing w:after="0" w:line="182" w:lineRule="exact"/>
              <w:rPr>
                <w:sz w:val="20"/>
                <w:szCs w:val="20"/>
                <w:color w:val="auto"/>
              </w:rPr>
            </w:pPr>
            <w:r>
              <w:rPr>
                <w:rFonts w:ascii="Arial" w:cs="Arial" w:eastAsia="Arial" w:hAnsi="Arial"/>
                <w:sz w:val="18"/>
                <w:szCs w:val="18"/>
                <w:color w:val="0000FF"/>
              </w:rPr>
              <w:t>Mine Safety Disclosures</w:t>
            </w:r>
          </w:p>
        </w:tc>
        <w:tc>
          <w:tcPr>
            <w:tcW w:w="676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5.</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380" w:type="dxa"/>
            <w:vAlign w:val="bottom"/>
            <w:gridSpan w:val="14"/>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920" w:type="dxa"/>
            <w:vAlign w:val="bottom"/>
            <w:gridSpan w:val="6"/>
          </w:tcPr>
          <w:p>
            <w:pPr>
              <w:spacing w:after="0" w:line="182" w:lineRule="exact"/>
              <w:rPr>
                <w:sz w:val="20"/>
                <w:szCs w:val="20"/>
                <w:color w:val="auto"/>
              </w:rPr>
            </w:pPr>
            <w:r>
              <w:rPr>
                <w:rFonts w:ascii="Arial" w:cs="Arial" w:eastAsia="Arial" w:hAnsi="Arial"/>
                <w:sz w:val="18"/>
                <w:szCs w:val="18"/>
                <w:color w:val="0000FF"/>
              </w:rPr>
              <w:t>Other Information</w:t>
            </w:r>
          </w:p>
        </w:tc>
        <w:tc>
          <w:tcPr>
            <w:tcW w:w="7380" w:type="dxa"/>
            <w:vAlign w:val="bottom"/>
            <w:gridSpan w:val="1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900" w:type="dxa"/>
            <w:vAlign w:val="bottom"/>
            <w:gridSpan w:val="1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400" w:type="dxa"/>
            <w:vAlign w:val="bottom"/>
            <w:gridSpan w:val="4"/>
          </w:tcPr>
          <w:p>
            <w:pPr>
              <w:spacing w:after="0" w:line="182" w:lineRule="exact"/>
              <w:rPr>
                <w:sz w:val="20"/>
                <w:szCs w:val="20"/>
                <w:color w:val="auto"/>
              </w:rPr>
            </w:pPr>
            <w:r>
              <w:rPr>
                <w:rFonts w:ascii="Arial" w:cs="Arial" w:eastAsia="Arial" w:hAnsi="Arial"/>
                <w:sz w:val="18"/>
                <w:szCs w:val="18"/>
                <w:color w:val="0000FF"/>
              </w:rPr>
              <w:t>Exhibits</w:t>
            </w:r>
          </w:p>
        </w:tc>
        <w:tc>
          <w:tcPr>
            <w:tcW w:w="7900" w:type="dxa"/>
            <w:vAlign w:val="bottom"/>
            <w:gridSpan w:val="1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25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252"/>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631"/>
              <w:spacing w:after="0"/>
              <w:rPr>
                <w:sz w:val="20"/>
                <w:szCs w:val="20"/>
                <w:color w:val="auto"/>
              </w:rPr>
            </w:pPr>
            <w:r>
              <w:rPr>
                <w:rFonts w:ascii="Arial" w:cs="Arial" w:eastAsia="Arial" w:hAnsi="Arial"/>
                <w:sz w:val="14"/>
                <w:szCs w:val="14"/>
                <w:b w:val="1"/>
                <w:bCs w:val="1"/>
                <w:color w:val="auto"/>
              </w:rPr>
              <w:t>2024</w:t>
            </w:r>
          </w:p>
        </w:tc>
      </w:tr>
      <w:tr>
        <w:trPr>
          <w:trHeight w:val="171"/>
        </w:trPr>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r>
        <w:trPr>
          <w:trHeight w:val="196"/>
        </w:trPr>
        <w:tc>
          <w:tcPr>
            <w:tcW w:w="76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100,687</w:t>
            </w: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102,654</w:t>
            </w:r>
          </w:p>
        </w:tc>
      </w:tr>
      <w:tr>
        <w:trPr>
          <w:trHeight w:val="203"/>
        </w:trPr>
        <w:tc>
          <w:tcPr>
            <w:tcW w:w="7660" w:type="dxa"/>
            <w:vAlign w:val="bottom"/>
          </w:tcPr>
          <w:p>
            <w:pPr>
              <w:ind w:left="4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2,921</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1,150</w:t>
            </w:r>
          </w:p>
        </w:tc>
      </w:tr>
      <w:tr>
        <w:trPr>
          <w:trHeight w:val="196"/>
        </w:trPr>
        <w:tc>
          <w:tcPr>
            <w:tcW w:w="7660" w:type="dxa"/>
            <w:vAlign w:val="bottom"/>
            <w:shd w:val="clear" w:color="auto" w:fill="CFF0FC"/>
          </w:tcPr>
          <w:p>
            <w:pPr>
              <w:ind w:left="600"/>
              <w:spacing w:after="0" w:line="196" w:lineRule="exact"/>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103,608</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103,804</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Fixed assets,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1,658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2,191</w:t>
            </w: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right of use assets</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391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542</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266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266</w:t>
            </w:r>
          </w:p>
        </w:tc>
      </w:tr>
      <w:tr>
        <w:trPr>
          <w:trHeight w:val="203"/>
        </w:trPr>
        <w:tc>
          <w:tcPr>
            <w:tcW w:w="76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45</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63</w:t>
            </w:r>
          </w:p>
        </w:tc>
      </w:tr>
      <w:tr>
        <w:trPr>
          <w:trHeight w:val="196"/>
        </w:trPr>
        <w:tc>
          <w:tcPr>
            <w:tcW w:w="7660" w:type="dxa"/>
            <w:vAlign w:val="bottom"/>
          </w:tcPr>
          <w:p>
            <w:pPr>
              <w:ind w:left="600"/>
              <w:spacing w:after="0" w:line="196" w:lineRule="exact"/>
              <w:rPr>
                <w:sz w:val="20"/>
                <w:szCs w:val="20"/>
                <w:color w:val="auto"/>
              </w:rPr>
            </w:pPr>
            <w:r>
              <w:rPr>
                <w:rFonts w:ascii="Arial" w:cs="Arial" w:eastAsia="Arial" w:hAnsi="Arial"/>
                <w:sz w:val="18"/>
                <w:szCs w:val="18"/>
                <w:b w:val="1"/>
                <w:bCs w:val="1"/>
                <w:color w:val="auto"/>
              </w:rPr>
              <w:t>Total assets</w:t>
            </w:r>
          </w:p>
        </w:tc>
        <w:tc>
          <w:tcPr>
            <w:tcW w:w="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105,968</w:t>
            </w: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106,866</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66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1,953</w:t>
            </w:r>
          </w:p>
        </w:tc>
        <w:tc>
          <w:tcPr>
            <w:tcW w:w="3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237</w:t>
            </w:r>
          </w:p>
        </w:tc>
      </w:tr>
      <w:tr>
        <w:trPr>
          <w:trHeight w:val="203"/>
        </w:trPr>
        <w:tc>
          <w:tcPr>
            <w:tcW w:w="7660" w:type="dxa"/>
            <w:vAlign w:val="bottom"/>
          </w:tcPr>
          <w:p>
            <w:pPr>
              <w:ind w:left="400"/>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4,318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5,113</w:t>
            </w:r>
          </w:p>
        </w:tc>
      </w:tr>
      <w:tr>
        <w:trPr>
          <w:trHeight w:val="203"/>
        </w:trPr>
        <w:tc>
          <w:tcPr>
            <w:tcW w:w="76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Current portion of term loan payable to a bank</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6,704</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9,895</w:t>
            </w:r>
          </w:p>
        </w:tc>
      </w:tr>
      <w:tr>
        <w:trPr>
          <w:trHeight w:val="203"/>
        </w:trPr>
        <w:tc>
          <w:tcPr>
            <w:tcW w:w="7660" w:type="dxa"/>
            <w:vAlign w:val="bottom"/>
          </w:tcPr>
          <w:p>
            <w:pPr>
              <w:ind w:left="400"/>
              <w:spacing w:after="0" w:line="202" w:lineRule="exact"/>
              <w:rPr>
                <w:sz w:val="20"/>
                <w:szCs w:val="20"/>
                <w:color w:val="auto"/>
              </w:rPr>
            </w:pPr>
            <w:r>
              <w:rPr>
                <w:rFonts w:ascii="Arial" w:cs="Arial" w:eastAsia="Arial" w:hAnsi="Arial"/>
                <w:sz w:val="18"/>
                <w:szCs w:val="18"/>
                <w:color w:val="auto"/>
              </w:rPr>
              <w:t>Current portion of lease liability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594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566</w:t>
            </w:r>
          </w:p>
        </w:tc>
      </w:tr>
      <w:tr>
        <w:trPr>
          <w:trHeight w:val="203"/>
        </w:trPr>
        <w:tc>
          <w:tcPr>
            <w:tcW w:w="7660" w:type="dxa"/>
            <w:vAlign w:val="bottom"/>
            <w:tcBorders>
              <w:bottom w:val="single" w:sz="8" w:color="CFF0FC"/>
            </w:tcBorders>
            <w:shd w:val="clear" w:color="auto" w:fill="CFF0FC"/>
          </w:tcPr>
          <w:p>
            <w:pPr>
              <w:ind w:left="400"/>
              <w:spacing w:after="0" w:line="202" w:lineRule="exact"/>
              <w:rPr>
                <w:sz w:val="20"/>
                <w:szCs w:val="20"/>
                <w:color w:val="auto"/>
              </w:rPr>
            </w:pPr>
            <w:r>
              <w:rPr>
                <w:rFonts w:ascii="Arial" w:cs="Arial" w:eastAsia="Arial" w:hAnsi="Arial"/>
                <w:sz w:val="18"/>
                <w:szCs w:val="18"/>
                <w:color w:val="auto"/>
              </w:rPr>
              <w:t>Warrant liability</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1,146</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21,718</w:t>
            </w:r>
          </w:p>
        </w:tc>
      </w:tr>
      <w:tr>
        <w:trPr>
          <w:trHeight w:val="196"/>
        </w:trPr>
        <w:tc>
          <w:tcPr>
            <w:tcW w:w="7660" w:type="dxa"/>
            <w:vAlign w:val="bottom"/>
          </w:tcPr>
          <w:p>
            <w:pPr>
              <w:ind w:left="60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14,715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37,529</w:t>
            </w: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Term loan payable to a bank</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1,733</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Other long-term debt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939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870</w:t>
            </w:r>
          </w:p>
        </w:tc>
      </w:tr>
      <w:tr>
        <w:trPr>
          <w:trHeight w:val="203"/>
        </w:trPr>
        <w:tc>
          <w:tcPr>
            <w:tcW w:w="76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liability, net of current portion</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104</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407</w:t>
            </w:r>
          </w:p>
        </w:tc>
      </w:tr>
      <w:tr>
        <w:trPr>
          <w:trHeight w:val="196"/>
        </w:trPr>
        <w:tc>
          <w:tcPr>
            <w:tcW w:w="7660" w:type="dxa"/>
            <w:vAlign w:val="bottom"/>
          </w:tcPr>
          <w:p>
            <w:pPr>
              <w:ind w:left="600"/>
              <w:spacing w:after="0" w:line="196" w:lineRule="exact"/>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15,758</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40,539</w:t>
            </w:r>
          </w:p>
        </w:tc>
      </w:tr>
      <w:tr>
        <w:trPr>
          <w:trHeight w:val="196"/>
        </w:trPr>
        <w:tc>
          <w:tcPr>
            <w:tcW w:w="76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Commitments and contingencies (Note 14)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84"/>
        </w:trPr>
        <w:tc>
          <w:tcPr>
            <w:tcW w:w="7660" w:type="dxa"/>
            <w:vAlign w:val="bottom"/>
            <w:shd w:val="clear" w:color="auto" w:fill="CFF0FC"/>
          </w:tcPr>
          <w:p>
            <w:pPr>
              <w:ind w:left="400"/>
              <w:spacing w:after="0" w:line="183" w:lineRule="exact"/>
              <w:rPr>
                <w:sz w:val="20"/>
                <w:szCs w:val="20"/>
                <w:color w:val="auto"/>
              </w:rPr>
            </w:pPr>
            <w:r>
              <w:rPr>
                <w:rFonts w:ascii="Arial" w:cs="Arial" w:eastAsia="Arial" w:hAnsi="Arial"/>
                <w:sz w:val="18"/>
                <w:szCs w:val="18"/>
                <w:color w:val="auto"/>
              </w:rPr>
              <w:t>Preferred stock, $0.01 par value; 10,000,000 shares authorized at June 30, 2025 and</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03"/>
        </w:trPr>
        <w:tc>
          <w:tcPr>
            <w:tcW w:w="76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December 31, 2024; no shares issued or outstanding at June 30, 2025 and December 31,</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21"/>
        </w:trPr>
        <w:tc>
          <w:tcPr>
            <w:tcW w:w="76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2024, respectively.</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184"/>
        </w:trPr>
        <w:tc>
          <w:tcPr>
            <w:tcW w:w="7660" w:type="dxa"/>
            <w:vAlign w:val="bottom"/>
          </w:tcPr>
          <w:p>
            <w:pPr>
              <w:ind w:left="400"/>
              <w:spacing w:after="0" w:line="183" w:lineRule="exact"/>
              <w:rPr>
                <w:sz w:val="20"/>
                <w:szCs w:val="20"/>
                <w:color w:val="auto"/>
              </w:rPr>
            </w:pPr>
            <w:r>
              <w:rPr>
                <w:rFonts w:ascii="Arial" w:cs="Arial" w:eastAsia="Arial" w:hAnsi="Arial"/>
                <w:sz w:val="18"/>
                <w:szCs w:val="18"/>
                <w:color w:val="auto"/>
              </w:rPr>
              <w:t>Common stock, $0.01 par value; 150,000,000 shares authorized at June 30, 2025 and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3"/>
        </w:trPr>
        <w:tc>
          <w:tcPr>
            <w:tcW w:w="7660" w:type="dxa"/>
            <w:vAlign w:val="bottom"/>
          </w:tcPr>
          <w:p>
            <w:pPr>
              <w:ind w:left="400"/>
              <w:spacing w:after="0" w:line="202" w:lineRule="exact"/>
              <w:rPr>
                <w:sz w:val="20"/>
                <w:szCs w:val="20"/>
                <w:color w:val="auto"/>
              </w:rPr>
            </w:pPr>
            <w:r>
              <w:rPr>
                <w:rFonts w:ascii="Arial" w:cs="Arial" w:eastAsia="Arial" w:hAnsi="Arial"/>
                <w:sz w:val="18"/>
                <w:szCs w:val="18"/>
                <w:color w:val="auto"/>
              </w:rPr>
              <w:t>December 31, 2024; 55,012,239 and 46,933,088 shares issued at June 30, 2025 and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60" w:type="dxa"/>
            <w:vAlign w:val="bottom"/>
          </w:tcPr>
          <w:p>
            <w:pPr>
              <w:ind w:left="400"/>
              <w:spacing w:after="0" w:line="202" w:lineRule="exact"/>
              <w:rPr>
                <w:sz w:val="20"/>
                <w:szCs w:val="20"/>
                <w:color w:val="auto"/>
              </w:rPr>
            </w:pPr>
            <w:r>
              <w:rPr>
                <w:rFonts w:ascii="Arial" w:cs="Arial" w:eastAsia="Arial" w:hAnsi="Arial"/>
                <w:sz w:val="18"/>
                <w:szCs w:val="18"/>
                <w:color w:val="auto"/>
              </w:rPr>
              <w:t>December 31, 2024, respectively; 54,889,631 and 46,810,480 shares outstanding at June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1"/>
        </w:trPr>
        <w:tc>
          <w:tcPr>
            <w:tcW w:w="7660" w:type="dxa"/>
            <w:vAlign w:val="bottom"/>
          </w:tcPr>
          <w:p>
            <w:pPr>
              <w:ind w:left="400"/>
              <w:spacing w:after="0"/>
              <w:rPr>
                <w:sz w:val="20"/>
                <w:szCs w:val="20"/>
                <w:color w:val="auto"/>
              </w:rPr>
            </w:pPr>
            <w:r>
              <w:rPr>
                <w:rFonts w:ascii="Arial" w:cs="Arial" w:eastAsia="Arial" w:hAnsi="Arial"/>
                <w:sz w:val="18"/>
                <w:szCs w:val="18"/>
                <w:color w:val="auto"/>
              </w:rPr>
              <w:t>30, 2025 and December 31, 2024, respectively.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469</w:t>
            </w:r>
          </w:p>
        </w:tc>
      </w:tr>
      <w:tr>
        <w:trPr>
          <w:trHeight w:val="203"/>
        </w:trPr>
        <w:tc>
          <w:tcPr>
            <w:tcW w:w="76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Treasury stock (at cost)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w:t>
            </w:r>
          </w:p>
        </w:tc>
      </w:tr>
      <w:tr>
        <w:trPr>
          <w:trHeight w:val="203"/>
        </w:trPr>
        <w:tc>
          <w:tcPr>
            <w:tcW w:w="7660" w:type="dxa"/>
            <w:vAlign w:val="bottom"/>
          </w:tcPr>
          <w:p>
            <w:pPr>
              <w:ind w:left="40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279,731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258,511</w:t>
            </w:r>
          </w:p>
        </w:tc>
      </w:tr>
      <w:tr>
        <w:trPr>
          <w:trHeight w:val="203"/>
        </w:trPr>
        <w:tc>
          <w:tcPr>
            <w:tcW w:w="7660" w:type="dxa"/>
            <w:vAlign w:val="bottom"/>
            <w:tcBorders>
              <w:bottom w:val="single" w:sz="8" w:color="CFF0FC"/>
            </w:tcBorders>
            <w:shd w:val="clear" w:color="auto" w:fill="CFF0FC"/>
          </w:tcPr>
          <w:p>
            <w:pPr>
              <w:ind w:left="400"/>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(189,622)</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(192,205)</w:t>
            </w:r>
          </w:p>
        </w:tc>
      </w:tr>
      <w:tr>
        <w:trPr>
          <w:trHeight w:val="196"/>
        </w:trPr>
        <w:tc>
          <w:tcPr>
            <w:tcW w:w="7660" w:type="dxa"/>
            <w:vAlign w:val="bottom"/>
          </w:tcPr>
          <w:p>
            <w:pPr>
              <w:ind w:left="60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90,210</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66,327</w:t>
            </w:r>
          </w:p>
        </w:tc>
      </w:tr>
      <w:tr>
        <w:trPr>
          <w:trHeight w:val="216"/>
        </w:trPr>
        <w:tc>
          <w:tcPr>
            <w:tcW w:w="7660" w:type="dxa"/>
            <w:vAlign w:val="bottom"/>
            <w:shd w:val="clear" w:color="auto" w:fill="CFF0FC"/>
          </w:tcPr>
          <w:p>
            <w:pPr>
              <w:ind w:left="60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105,968</w:t>
            </w:r>
          </w:p>
        </w:tc>
        <w:tc>
          <w:tcPr>
            <w:tcW w:w="3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106,866</w:t>
            </w:r>
          </w:p>
        </w:tc>
      </w:tr>
      <w:tr>
        <w:trPr>
          <w:trHeight w:val="20"/>
        </w:trPr>
        <w:tc>
          <w:tcPr>
            <w:tcW w:w="7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-3573780</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-2510790</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-1988185</wp:posOffset>
            </wp:positionV>
            <wp:extent cx="102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-299720</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02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02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8" w:name="page9"/>
    <w:bookmarkEnd w:id="8"/>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SIX MONTHS ENDED</w:t>
            </w:r>
          </w:p>
        </w:tc>
      </w:tr>
      <w:tr>
        <w:trPr>
          <w:trHeight w:val="203"/>
        </w:trPr>
        <w:tc>
          <w:tcPr>
            <w:tcW w:w="5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183"/>
        </w:trPr>
        <w:tc>
          <w:tcPr>
            <w:tcW w:w="5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50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Operating expenses:</w:t>
            </w: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9"/>
        </w:trPr>
        <w:tc>
          <w:tcPr>
            <w:tcW w:w="5060" w:type="dxa"/>
            <w:vAlign w:val="bottom"/>
          </w:tcPr>
          <w:p>
            <w:pPr>
              <w:ind w:left="160"/>
              <w:spacing w:after="0"/>
              <w:rPr>
                <w:sz w:val="20"/>
                <w:szCs w:val="20"/>
                <w:color w:val="auto"/>
              </w:rPr>
            </w:pPr>
            <w:r>
              <w:rPr>
                <w:rFonts w:ascii="Arial" w:cs="Arial" w:eastAsia="Arial" w:hAnsi="Arial"/>
                <w:sz w:val="16"/>
                <w:szCs w:val="16"/>
                <w:color w:val="auto"/>
              </w:rPr>
              <w:t>Research and development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6,991</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4,979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11,007</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9,081</w:t>
            </w:r>
          </w:p>
        </w:tc>
      </w:tr>
      <w:tr>
        <w:trPr>
          <w:trHeight w:val="189"/>
        </w:trPr>
        <w:tc>
          <w:tcPr>
            <w:tcW w:w="50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General and administrative</w:t>
            </w:r>
          </w:p>
        </w:tc>
        <w:tc>
          <w:tcPr>
            <w:tcW w:w="8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4,186</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3,592</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8,300</w:t>
            </w:r>
          </w:p>
        </w:tc>
        <w:tc>
          <w:tcPr>
            <w:tcW w:w="1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7,392</w:t>
            </w:r>
          </w:p>
        </w:tc>
      </w:tr>
      <w:tr>
        <w:trPr>
          <w:trHeight w:val="183"/>
        </w:trPr>
        <w:tc>
          <w:tcPr>
            <w:tcW w:w="5060" w:type="dxa"/>
            <w:vAlign w:val="bottom"/>
          </w:tcPr>
          <w:p>
            <w:pPr>
              <w:ind w:left="460"/>
              <w:spacing w:after="0" w:line="183" w:lineRule="exact"/>
              <w:rPr>
                <w:sz w:val="20"/>
                <w:szCs w:val="20"/>
                <w:color w:val="auto"/>
              </w:rPr>
            </w:pPr>
            <w:r>
              <w:rPr>
                <w:rFonts w:ascii="Arial" w:cs="Arial" w:eastAsia="Arial" w:hAnsi="Arial"/>
                <w:sz w:val="16"/>
                <w:szCs w:val="16"/>
                <w:b w:val="1"/>
                <w:bCs w:val="1"/>
                <w:color w:val="auto"/>
              </w:rPr>
              <w:t>Total operating expenses</w:t>
            </w:r>
          </w:p>
        </w:tc>
        <w:tc>
          <w:tcPr>
            <w:tcW w:w="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11,177</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8,571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19,307</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16,473</w:t>
            </w:r>
          </w:p>
        </w:tc>
      </w:tr>
      <w:tr>
        <w:trPr>
          <w:trHeight w:val="183"/>
        </w:trPr>
        <w:tc>
          <w:tcPr>
            <w:tcW w:w="5060" w:type="dxa"/>
            <w:vAlign w:val="bottom"/>
            <w:tcBorders>
              <w:bottom w:val="single" w:sz="8" w:color="CFF0FC"/>
            </w:tcBorders>
            <w:shd w:val="clear" w:color="auto" w:fill="CFF0FC"/>
          </w:tcPr>
          <w:p>
            <w:pPr>
              <w:ind w:left="460"/>
              <w:spacing w:after="0" w:line="183" w:lineRule="exact"/>
              <w:rPr>
                <w:sz w:val="20"/>
                <w:szCs w:val="20"/>
                <w:color w:val="auto"/>
              </w:rPr>
            </w:pPr>
            <w:r>
              <w:rPr>
                <w:rFonts w:ascii="Arial" w:cs="Arial" w:eastAsia="Arial" w:hAnsi="Arial"/>
                <w:sz w:val="16"/>
                <w:szCs w:val="16"/>
                <w:b w:val="1"/>
                <w:bCs w:val="1"/>
                <w:color w:val="auto"/>
              </w:rPr>
              <w:t>Loss from operations</w:t>
            </w:r>
          </w:p>
        </w:tc>
        <w:tc>
          <w:tcPr>
            <w:tcW w:w="8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(11,177)</w:t>
            </w:r>
          </w:p>
        </w:tc>
        <w:tc>
          <w:tcPr>
            <w:tcW w:w="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(8,571)</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(19,307)</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(16,473)</w:t>
            </w:r>
          </w:p>
        </w:tc>
      </w:tr>
      <w:tr>
        <w:trPr>
          <w:trHeight w:val="183"/>
        </w:trPr>
        <w:tc>
          <w:tcPr>
            <w:tcW w:w="5060" w:type="dxa"/>
            <w:vAlign w:val="bottom"/>
          </w:tcPr>
          <w:p>
            <w:pPr>
              <w:spacing w:after="0" w:line="183" w:lineRule="exact"/>
              <w:rPr>
                <w:sz w:val="20"/>
                <w:szCs w:val="20"/>
                <w:color w:val="auto"/>
              </w:rPr>
            </w:pPr>
            <w:r>
              <w:rPr>
                <w:rFonts w:ascii="Arial" w:cs="Arial" w:eastAsia="Arial" w:hAnsi="Arial"/>
                <w:sz w:val="16"/>
                <w:szCs w:val="16"/>
                <w:b w:val="1"/>
                <w:bCs w:val="1"/>
                <w:color w:val="auto"/>
              </w:rPr>
              <w:t>Other income (expense):</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50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Interest income</w:t>
            </w: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926</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1,860</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560</w:t>
            </w:r>
          </w:p>
        </w:tc>
      </w:tr>
      <w:tr>
        <w:trPr>
          <w:trHeight w:val="189"/>
        </w:trPr>
        <w:tc>
          <w:tcPr>
            <w:tcW w:w="506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(1,213)</w:t>
            </w:r>
          </w:p>
        </w:tc>
      </w:tr>
      <w:tr>
        <w:trPr>
          <w:trHeight w:val="189"/>
        </w:trPr>
        <w:tc>
          <w:tcPr>
            <w:tcW w:w="50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Change in fair value of warrant liability</w:t>
            </w:r>
          </w:p>
        </w:tc>
        <w:tc>
          <w:tcPr>
            <w:tcW w:w="8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5,691</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(13,339)</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20,572</w:t>
            </w:r>
          </w:p>
        </w:tc>
        <w:tc>
          <w:tcPr>
            <w:tcW w:w="1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(13,332)</w:t>
            </w:r>
          </w:p>
        </w:tc>
      </w:tr>
      <w:tr>
        <w:trPr>
          <w:trHeight w:val="183"/>
        </w:trPr>
        <w:tc>
          <w:tcPr>
            <w:tcW w:w="5060" w:type="dxa"/>
            <w:vAlign w:val="bottom"/>
          </w:tcPr>
          <w:p>
            <w:pPr>
              <w:ind w:left="460"/>
              <w:spacing w:after="0" w:line="183" w:lineRule="exact"/>
              <w:rPr>
                <w:sz w:val="20"/>
                <w:szCs w:val="20"/>
                <w:color w:val="auto"/>
              </w:rPr>
            </w:pPr>
            <w:r>
              <w:rPr>
                <w:rFonts w:ascii="Arial" w:cs="Arial" w:eastAsia="Arial" w:hAnsi="Arial"/>
                <w:sz w:val="16"/>
                <w:szCs w:val="16"/>
                <w:b w:val="1"/>
                <w:bCs w:val="1"/>
                <w:color w:val="auto"/>
              </w:rPr>
              <w:t>Total other income (expense), net</w:t>
            </w:r>
          </w:p>
        </w:tc>
        <w:tc>
          <w:tcPr>
            <w:tcW w:w="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6,381</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(13,666)</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21,890</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(13,985)</w:t>
            </w:r>
          </w:p>
        </w:tc>
      </w:tr>
      <w:tr>
        <w:trPr>
          <w:trHeight w:val="203"/>
        </w:trPr>
        <w:tc>
          <w:tcPr>
            <w:tcW w:w="50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income (loss) and comprehensive income (loss)</w:t>
            </w:r>
          </w:p>
        </w:tc>
        <w:tc>
          <w:tcPr>
            <w:tcW w:w="10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(4,796)</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(22,237)</w:t>
            </w:r>
          </w:p>
        </w:tc>
        <w:tc>
          <w:tcPr>
            <w:tcW w:w="3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2,583</w:t>
            </w:r>
          </w:p>
        </w:tc>
        <w:tc>
          <w:tcPr>
            <w:tcW w:w="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(30,458)</w:t>
            </w:r>
          </w:p>
        </w:tc>
      </w:tr>
      <w:tr>
        <w:trPr>
          <w:trHeight w:val="20"/>
        </w:trPr>
        <w:tc>
          <w:tcPr>
            <w:tcW w:w="50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r>
        <w:trPr>
          <w:trHeight w:val="169"/>
        </w:trPr>
        <w:tc>
          <w:tcPr>
            <w:tcW w:w="5060" w:type="dxa"/>
            <w:vAlign w:val="bottom"/>
          </w:tcPr>
          <w:p>
            <w:pPr>
              <w:spacing w:after="0" w:line="170" w:lineRule="exact"/>
              <w:rPr>
                <w:sz w:val="20"/>
                <w:szCs w:val="20"/>
                <w:color w:val="auto"/>
              </w:rPr>
            </w:pPr>
            <w:r>
              <w:rPr>
                <w:rFonts w:ascii="Arial" w:cs="Arial" w:eastAsia="Arial" w:hAnsi="Arial"/>
                <w:sz w:val="16"/>
                <w:szCs w:val="16"/>
                <w:b w:val="1"/>
                <w:bCs w:val="1"/>
                <w:color w:val="auto"/>
              </w:rPr>
              <w:t>Net income (loss) per share, basic</w:t>
            </w:r>
          </w:p>
        </w:tc>
        <w:tc>
          <w:tcPr>
            <w:tcW w:w="1000" w:type="dxa"/>
            <w:vAlign w:val="bottom"/>
            <w:gridSpan w:val="2"/>
          </w:tcPr>
          <w:p>
            <w:pPr>
              <w:jc w:val="right"/>
              <w:ind w:right="120"/>
              <w:spacing w:after="0" w:line="170"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70" w:lineRule="exact"/>
              <w:rPr>
                <w:sz w:val="20"/>
                <w:szCs w:val="20"/>
                <w:color w:val="auto"/>
              </w:rPr>
            </w:pPr>
            <w:r>
              <w:rPr>
                <w:rFonts w:ascii="Arial" w:cs="Arial" w:eastAsia="Arial" w:hAnsi="Arial"/>
                <w:sz w:val="16"/>
                <w:szCs w:val="16"/>
                <w:color w:val="auto"/>
              </w:rPr>
              <w:t>(0.09)</w:t>
            </w:r>
          </w:p>
        </w:tc>
        <w:tc>
          <w:tcPr>
            <w:tcW w:w="380" w:type="dxa"/>
            <w:vAlign w:val="bottom"/>
            <w:gridSpan w:val="2"/>
          </w:tcPr>
          <w:p>
            <w:pPr>
              <w:jc w:val="right"/>
              <w:ind w:right="160"/>
              <w:spacing w:after="0" w:line="170"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0" w:lineRule="exact"/>
              <w:rPr>
                <w:sz w:val="20"/>
                <w:szCs w:val="20"/>
                <w:color w:val="auto"/>
              </w:rPr>
            </w:pPr>
            <w:r>
              <w:rPr>
                <w:rFonts w:ascii="Arial" w:cs="Arial" w:eastAsia="Arial" w:hAnsi="Arial"/>
                <w:sz w:val="16"/>
                <w:szCs w:val="16"/>
                <w:color w:val="auto"/>
              </w:rPr>
              <w:t>(0.74)</w:t>
            </w:r>
          </w:p>
        </w:tc>
        <w:tc>
          <w:tcPr>
            <w:tcW w:w="320" w:type="dxa"/>
            <w:vAlign w:val="bottom"/>
            <w:gridSpan w:val="2"/>
          </w:tcPr>
          <w:p>
            <w:pPr>
              <w:jc w:val="right"/>
              <w:ind w:right="120"/>
              <w:spacing w:after="0" w:line="170"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line="170" w:lineRule="exact"/>
              <w:rPr>
                <w:sz w:val="20"/>
                <w:szCs w:val="20"/>
                <w:color w:val="auto"/>
              </w:rPr>
            </w:pPr>
            <w:r>
              <w:rPr>
                <w:rFonts w:ascii="Arial" w:cs="Arial" w:eastAsia="Arial" w:hAnsi="Arial"/>
                <w:sz w:val="16"/>
                <w:szCs w:val="16"/>
                <w:color w:val="auto"/>
              </w:rPr>
              <w:t>0.05</w:t>
            </w:r>
          </w:p>
        </w:tc>
        <w:tc>
          <w:tcPr>
            <w:tcW w:w="380" w:type="dxa"/>
            <w:vAlign w:val="bottom"/>
            <w:gridSpan w:val="2"/>
          </w:tcPr>
          <w:p>
            <w:pPr>
              <w:jc w:val="right"/>
              <w:ind w:right="180"/>
              <w:spacing w:after="0" w:line="170"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0" w:lineRule="exact"/>
              <w:rPr>
                <w:sz w:val="20"/>
                <w:szCs w:val="20"/>
                <w:color w:val="auto"/>
              </w:rPr>
            </w:pPr>
            <w:r>
              <w:rPr>
                <w:rFonts w:ascii="Arial" w:cs="Arial" w:eastAsia="Arial" w:hAnsi="Arial"/>
                <w:sz w:val="16"/>
                <w:szCs w:val="16"/>
                <w:color w:val="auto"/>
              </w:rPr>
              <w:t>(1.03)</w:t>
            </w:r>
          </w:p>
        </w:tc>
      </w:tr>
      <w:tr>
        <w:trPr>
          <w:trHeight w:val="20"/>
        </w:trPr>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506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Weighted-average common shares outstanding, basic</w:t>
            </w:r>
          </w:p>
        </w:tc>
        <w:tc>
          <w:tcPr>
            <w:tcW w:w="8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9"/>
              <w:spacing w:after="0" w:line="170" w:lineRule="exact"/>
              <w:rPr>
                <w:sz w:val="20"/>
                <w:szCs w:val="20"/>
                <w:color w:val="auto"/>
              </w:rPr>
            </w:pPr>
            <w:r>
              <w:rPr>
                <w:rFonts w:ascii="Arial" w:cs="Arial" w:eastAsia="Arial" w:hAnsi="Arial"/>
                <w:sz w:val="16"/>
                <w:szCs w:val="16"/>
                <w:color w:val="auto"/>
              </w:rPr>
              <w:t>51,489,929</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29,878,210</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50,988,887</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29,537,874</w:t>
            </w:r>
          </w:p>
        </w:tc>
      </w:tr>
      <w:tr>
        <w:trPr>
          <w:trHeight w:val="170"/>
        </w:trPr>
        <w:tc>
          <w:tcPr>
            <w:tcW w:w="5060" w:type="dxa"/>
            <w:vAlign w:val="bottom"/>
          </w:tcPr>
          <w:p>
            <w:pPr>
              <w:spacing w:after="0" w:line="170" w:lineRule="exact"/>
              <w:rPr>
                <w:sz w:val="20"/>
                <w:szCs w:val="20"/>
                <w:color w:val="auto"/>
              </w:rPr>
            </w:pPr>
            <w:r>
              <w:rPr>
                <w:rFonts w:ascii="Arial" w:cs="Arial" w:eastAsia="Arial" w:hAnsi="Arial"/>
                <w:sz w:val="16"/>
                <w:szCs w:val="16"/>
                <w:b w:val="1"/>
                <w:bCs w:val="1"/>
                <w:color w:val="auto"/>
              </w:rPr>
              <w:t>Net income (loss) per share, diluted</w:t>
            </w:r>
          </w:p>
        </w:tc>
        <w:tc>
          <w:tcPr>
            <w:tcW w:w="1000" w:type="dxa"/>
            <w:vAlign w:val="bottom"/>
            <w:gridSpan w:val="2"/>
          </w:tcPr>
          <w:p>
            <w:pPr>
              <w:jc w:val="right"/>
              <w:ind w:right="120"/>
              <w:spacing w:after="0" w:line="170"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70" w:lineRule="exact"/>
              <w:rPr>
                <w:sz w:val="20"/>
                <w:szCs w:val="20"/>
                <w:color w:val="auto"/>
              </w:rPr>
            </w:pPr>
            <w:r>
              <w:rPr>
                <w:rFonts w:ascii="Arial" w:cs="Arial" w:eastAsia="Arial" w:hAnsi="Arial"/>
                <w:sz w:val="16"/>
                <w:szCs w:val="16"/>
                <w:color w:val="auto"/>
              </w:rPr>
              <w:t>(0.09)</w:t>
            </w:r>
          </w:p>
        </w:tc>
        <w:tc>
          <w:tcPr>
            <w:tcW w:w="380" w:type="dxa"/>
            <w:vAlign w:val="bottom"/>
            <w:gridSpan w:val="2"/>
          </w:tcPr>
          <w:p>
            <w:pPr>
              <w:jc w:val="right"/>
              <w:ind w:right="160"/>
              <w:spacing w:after="0" w:line="170"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0" w:lineRule="exact"/>
              <w:rPr>
                <w:sz w:val="20"/>
                <w:szCs w:val="20"/>
                <w:color w:val="auto"/>
              </w:rPr>
            </w:pPr>
            <w:r>
              <w:rPr>
                <w:rFonts w:ascii="Arial" w:cs="Arial" w:eastAsia="Arial" w:hAnsi="Arial"/>
                <w:sz w:val="16"/>
                <w:szCs w:val="16"/>
                <w:color w:val="auto"/>
              </w:rPr>
              <w:t>(0.74)</w:t>
            </w:r>
          </w:p>
        </w:tc>
        <w:tc>
          <w:tcPr>
            <w:tcW w:w="320" w:type="dxa"/>
            <w:vAlign w:val="bottom"/>
            <w:gridSpan w:val="2"/>
          </w:tcPr>
          <w:p>
            <w:pPr>
              <w:jc w:val="right"/>
              <w:ind w:right="120"/>
              <w:spacing w:after="0" w:line="170"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line="170" w:lineRule="exact"/>
              <w:rPr>
                <w:sz w:val="20"/>
                <w:szCs w:val="20"/>
                <w:color w:val="auto"/>
              </w:rPr>
            </w:pPr>
            <w:r>
              <w:rPr>
                <w:rFonts w:ascii="Arial" w:cs="Arial" w:eastAsia="Arial" w:hAnsi="Arial"/>
                <w:sz w:val="16"/>
                <w:szCs w:val="16"/>
                <w:color w:val="auto"/>
              </w:rPr>
              <w:t>0.05</w:t>
            </w:r>
          </w:p>
        </w:tc>
        <w:tc>
          <w:tcPr>
            <w:tcW w:w="380" w:type="dxa"/>
            <w:vAlign w:val="bottom"/>
            <w:gridSpan w:val="2"/>
          </w:tcPr>
          <w:p>
            <w:pPr>
              <w:jc w:val="right"/>
              <w:ind w:right="180"/>
              <w:spacing w:after="0" w:line="170"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0" w:lineRule="exact"/>
              <w:rPr>
                <w:sz w:val="20"/>
                <w:szCs w:val="20"/>
                <w:color w:val="auto"/>
              </w:rPr>
            </w:pPr>
            <w:r>
              <w:rPr>
                <w:rFonts w:ascii="Arial" w:cs="Arial" w:eastAsia="Arial" w:hAnsi="Arial"/>
                <w:sz w:val="16"/>
                <w:szCs w:val="16"/>
                <w:color w:val="auto"/>
              </w:rPr>
              <w:t>(1.03)</w:t>
            </w:r>
          </w:p>
        </w:tc>
      </w:tr>
      <w:tr>
        <w:trPr>
          <w:trHeight w:val="20"/>
        </w:trPr>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506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Weighted-average common shares outstanding, diluted</w:t>
            </w:r>
          </w:p>
        </w:tc>
        <w:tc>
          <w:tcPr>
            <w:tcW w:w="8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9"/>
              <w:spacing w:after="0" w:line="170" w:lineRule="exact"/>
              <w:rPr>
                <w:sz w:val="20"/>
                <w:szCs w:val="20"/>
                <w:color w:val="auto"/>
              </w:rPr>
            </w:pPr>
            <w:r>
              <w:rPr>
                <w:rFonts w:ascii="Arial" w:cs="Arial" w:eastAsia="Arial" w:hAnsi="Arial"/>
                <w:sz w:val="16"/>
                <w:szCs w:val="16"/>
                <w:color w:val="auto"/>
              </w:rPr>
              <w:t>51,489,929</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29,878,210</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53,369,582</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29,537,874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-1610995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-1610995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-1610995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-1353820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-1353820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-1353820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-864870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-864870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-864870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-607695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-591185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-607695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-591185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-607695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-591185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-316865</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-299720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-316865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-299720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-316865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-299720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 w:name="page10"/>
    <w:bookmarkEnd w:id="9"/>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4"/>
            <w:vMerge w:val="restart"/>
          </w:tcPr>
          <w:p>
            <w:pPr>
              <w:jc w:val="right"/>
              <w:ind w:right="882"/>
              <w:spacing w:after="0"/>
              <w:rPr>
                <w:sz w:val="20"/>
                <w:szCs w:val="20"/>
                <w:color w:val="auto"/>
              </w:rPr>
            </w:pPr>
            <w:r>
              <w:rPr>
                <w:rFonts w:ascii="Arial" w:cs="Arial" w:eastAsia="Arial" w:hAnsi="Arial"/>
                <w:sz w:val="10"/>
                <w:szCs w:val="10"/>
                <w:b w:val="1"/>
                <w:bCs w:val="1"/>
                <w:color w:val="auto"/>
              </w:rPr>
              <w:t>COMMON STOCK</w:t>
            </w:r>
          </w:p>
        </w:tc>
        <w:tc>
          <w:tcPr>
            <w:tcW w:w="2000" w:type="dxa"/>
            <w:vAlign w:val="bottom"/>
            <w:gridSpan w:val="3"/>
            <w:vMerge w:val="restart"/>
          </w:tcPr>
          <w:p>
            <w:pPr>
              <w:jc w:val="right"/>
              <w:ind w:right="389"/>
              <w:spacing w:after="0"/>
              <w:rPr>
                <w:sz w:val="20"/>
                <w:szCs w:val="20"/>
                <w:color w:val="auto"/>
              </w:rPr>
            </w:pPr>
            <w:r>
              <w:rPr>
                <w:rFonts w:ascii="Arial" w:cs="Arial" w:eastAsia="Arial" w:hAnsi="Arial"/>
                <w:sz w:val="10"/>
                <w:szCs w:val="10"/>
                <w:b w:val="1"/>
                <w:bCs w:val="1"/>
                <w:color w:val="auto"/>
              </w:rPr>
              <w:t>TREASURY STOCK</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364"/>
              <w:spacing w:after="0"/>
              <w:rPr>
                <w:sz w:val="20"/>
                <w:szCs w:val="20"/>
                <w:color w:val="auto"/>
              </w:rPr>
            </w:pPr>
            <w:r>
              <w:rPr>
                <w:rFonts w:ascii="Arial" w:cs="Arial" w:eastAsia="Arial" w:hAnsi="Arial"/>
                <w:sz w:val="10"/>
                <w:szCs w:val="10"/>
                <w:b w:val="1"/>
                <w:bCs w:val="1"/>
                <w:color w:val="auto"/>
                <w:w w:val="97"/>
              </w:rPr>
              <w:t>ADDITIONAL</w:t>
            </w: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tcBorders>
              <w:bottom w:val="single" w:sz="8" w:color="auto"/>
            </w:tcBorders>
            <w:gridSpan w:val="4"/>
            <w:vMerge w:val="continue"/>
          </w:tcPr>
          <w:p>
            <w:pPr>
              <w:spacing w:after="0"/>
              <w:rPr>
                <w:sz w:val="9"/>
                <w:szCs w:val="9"/>
                <w:color w:val="auto"/>
              </w:rPr>
            </w:pPr>
          </w:p>
        </w:tc>
        <w:tc>
          <w:tcPr>
            <w:tcW w:w="2000" w:type="dxa"/>
            <w:vAlign w:val="bottom"/>
            <w:tcBorders>
              <w:bottom w:val="single" w:sz="8" w:color="auto"/>
            </w:tcBorders>
            <w:gridSpan w:val="3"/>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jc w:val="center"/>
              <w:ind w:right="364"/>
              <w:spacing w:after="0" w:line="113" w:lineRule="exact"/>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9"/>
                <w:szCs w:val="9"/>
                <w:color w:val="auto"/>
              </w:rPr>
            </w:pPr>
          </w:p>
        </w:tc>
        <w:tc>
          <w:tcPr>
            <w:tcW w:w="1120" w:type="dxa"/>
            <w:vAlign w:val="bottom"/>
          </w:tcPr>
          <w:p>
            <w:pPr>
              <w:jc w:val="center"/>
              <w:ind w:right="283"/>
              <w:spacing w:after="0" w:line="113"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9"/>
                <w:szCs w:val="9"/>
                <w:color w:val="auto"/>
              </w:rPr>
            </w:pPr>
          </w:p>
        </w:tc>
        <w:tc>
          <w:tcPr>
            <w:tcW w:w="1120" w:type="dxa"/>
            <w:vAlign w:val="bottom"/>
          </w:tcPr>
          <w:p>
            <w:pPr>
              <w:jc w:val="center"/>
              <w:ind w:right="203"/>
              <w:spacing w:after="0" w:line="113" w:lineRule="exact"/>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15"/>
        </w:trPr>
        <w:tc>
          <w:tcPr>
            <w:tcW w:w="2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Balance, December 31, 2024</w:t>
            </w:r>
          </w:p>
        </w:tc>
        <w:tc>
          <w:tcPr>
            <w:tcW w:w="114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w w:val="95"/>
              </w:rPr>
              <w:t>AMOUNT</w:t>
            </w: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AMOUNT</w:t>
            </w: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364"/>
              <w:spacing w:after="0"/>
              <w:rPr>
                <w:sz w:val="20"/>
                <w:szCs w:val="20"/>
                <w:color w:val="auto"/>
              </w:rPr>
            </w:pPr>
            <w:r>
              <w:rPr>
                <w:rFonts w:ascii="Arial" w:cs="Arial" w:eastAsia="Arial" w:hAnsi="Arial"/>
                <w:sz w:val="10"/>
                <w:szCs w:val="10"/>
                <w:b w:val="1"/>
                <w:bCs w:val="1"/>
                <w:color w:val="auto"/>
              </w:rPr>
              <w:t>CAPITAL</w:t>
            </w: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83"/>
              <w:spacing w:after="0"/>
              <w:rPr>
                <w:sz w:val="20"/>
                <w:szCs w:val="20"/>
                <w:color w:val="auto"/>
              </w:rPr>
            </w:pPr>
            <w:r>
              <w:rPr>
                <w:rFonts w:ascii="Arial" w:cs="Arial" w:eastAsia="Arial" w:hAnsi="Arial"/>
                <w:sz w:val="10"/>
                <w:szCs w:val="10"/>
                <w:b w:val="1"/>
                <w:bCs w:val="1"/>
                <w:color w:val="auto"/>
                <w:w w:val="97"/>
              </w:rPr>
              <w:t>DEFICIT</w:t>
            </w: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03"/>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28"/>
        </w:trPr>
        <w:tc>
          <w:tcPr>
            <w:tcW w:w="2620" w:type="dxa"/>
            <w:vAlign w:val="bottom"/>
            <w:gridSpan w:val="2"/>
            <w:vMerge w:val="continue"/>
          </w:tcPr>
          <w:p>
            <w:pPr>
              <w:spacing w:after="0"/>
              <w:rPr>
                <w:sz w:val="11"/>
                <w:szCs w:val="11"/>
                <w:color w:val="auto"/>
              </w:rPr>
            </w:pPr>
          </w:p>
        </w:tc>
        <w:tc>
          <w:tcPr>
            <w:tcW w:w="1140" w:type="dxa"/>
            <w:vAlign w:val="bottom"/>
          </w:tcPr>
          <w:p>
            <w:pPr>
              <w:jc w:val="right"/>
              <w:ind w:right="63"/>
              <w:spacing w:after="0" w:line="129" w:lineRule="exact"/>
              <w:rPr>
                <w:sz w:val="20"/>
                <w:szCs w:val="20"/>
                <w:color w:val="auto"/>
              </w:rPr>
            </w:pPr>
            <w:r>
              <w:rPr>
                <w:rFonts w:ascii="Arial" w:cs="Arial" w:eastAsia="Arial" w:hAnsi="Arial"/>
                <w:sz w:val="12"/>
                <w:szCs w:val="12"/>
                <w:color w:val="auto"/>
              </w:rPr>
              <w:t>46,933,088</w:t>
            </w:r>
          </w:p>
        </w:tc>
        <w:tc>
          <w:tcPr>
            <w:tcW w:w="120" w:type="dxa"/>
            <w:vAlign w:val="bottom"/>
          </w:tcPr>
          <w:p>
            <w:pPr>
              <w:spacing w:after="0"/>
              <w:rPr>
                <w:sz w:val="11"/>
                <w:szCs w:val="11"/>
                <w:color w:val="auto"/>
              </w:rPr>
            </w:pPr>
          </w:p>
        </w:tc>
        <w:tc>
          <w:tcPr>
            <w:tcW w:w="240" w:type="dxa"/>
            <w:vAlign w:val="bottom"/>
          </w:tcPr>
          <w:p>
            <w:pPr>
              <w:jc w:val="right"/>
              <w:ind w:right="14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469</w:t>
            </w:r>
          </w:p>
        </w:tc>
        <w:tc>
          <w:tcPr>
            <w:tcW w:w="1160" w:type="dxa"/>
            <w:vAlign w:val="bottom"/>
          </w:tcPr>
          <w:p>
            <w:pPr>
              <w:jc w:val="right"/>
              <w:ind w:right="43"/>
              <w:spacing w:after="0" w:line="129" w:lineRule="exact"/>
              <w:rPr>
                <w:sz w:val="20"/>
                <w:szCs w:val="20"/>
                <w:color w:val="auto"/>
              </w:rPr>
            </w:pPr>
            <w:r>
              <w:rPr>
                <w:rFonts w:ascii="Arial" w:cs="Arial" w:eastAsia="Arial" w:hAnsi="Arial"/>
                <w:sz w:val="12"/>
                <w:szCs w:val="12"/>
                <w:color w:val="auto"/>
              </w:rPr>
              <w:t>(122,608)</w:t>
            </w:r>
          </w:p>
        </w:tc>
        <w:tc>
          <w:tcPr>
            <w:tcW w:w="80" w:type="dxa"/>
            <w:vAlign w:val="bottom"/>
          </w:tcPr>
          <w:p>
            <w:pPr>
              <w:spacing w:after="0"/>
              <w:rPr>
                <w:sz w:val="11"/>
                <w:szCs w:val="11"/>
                <w:color w:val="auto"/>
              </w:rPr>
            </w:pPr>
          </w:p>
        </w:tc>
        <w:tc>
          <w:tcPr>
            <w:tcW w:w="760" w:type="dxa"/>
            <w:vAlign w:val="bottom"/>
          </w:tcPr>
          <w:p>
            <w:pPr>
              <w:jc w:val="right"/>
              <w:ind w:right="649"/>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ind w:right="122"/>
              <w:spacing w:after="0" w:line="129" w:lineRule="exact"/>
              <w:rPr>
                <w:sz w:val="20"/>
                <w:szCs w:val="20"/>
                <w:color w:val="auto"/>
              </w:rPr>
            </w:pPr>
            <w:r>
              <w:rPr>
                <w:rFonts w:ascii="Arial" w:cs="Arial" w:eastAsia="Arial" w:hAnsi="Arial"/>
                <w:sz w:val="12"/>
                <w:szCs w:val="12"/>
                <w:color w:val="auto"/>
                <w:w w:val="92"/>
              </w:rPr>
              <w:t>(448)</w:t>
            </w:r>
          </w:p>
        </w:tc>
        <w:tc>
          <w:tcPr>
            <w:tcW w:w="160" w:type="dxa"/>
            <w:vAlign w:val="bottom"/>
          </w:tcPr>
          <w:p>
            <w:pPr>
              <w:jc w:val="right"/>
              <w:ind w:right="47"/>
              <w:spacing w:after="0"/>
              <w:rPr>
                <w:sz w:val="20"/>
                <w:szCs w:val="20"/>
                <w:color w:val="auto"/>
              </w:rPr>
            </w:pPr>
            <w:r>
              <w:rPr>
                <w:rFonts w:ascii="Arial" w:cs="Arial" w:eastAsia="Arial" w:hAnsi="Arial"/>
                <w:sz w:val="9"/>
                <w:szCs w:val="9"/>
                <w:color w:val="auto"/>
                <w:w w:val="78"/>
              </w:rPr>
              <w:t>$</w:t>
            </w:r>
          </w:p>
        </w:tc>
        <w:tc>
          <w:tcPr>
            <w:tcW w:w="1100" w:type="dxa"/>
            <w:vAlign w:val="bottom"/>
          </w:tcPr>
          <w:p>
            <w:pPr>
              <w:jc w:val="right"/>
              <w:ind w:right="204"/>
              <w:spacing w:after="0" w:line="129" w:lineRule="exact"/>
              <w:rPr>
                <w:sz w:val="20"/>
                <w:szCs w:val="20"/>
                <w:color w:val="auto"/>
              </w:rPr>
            </w:pPr>
            <w:r>
              <w:rPr>
                <w:rFonts w:ascii="Arial" w:cs="Arial" w:eastAsia="Arial" w:hAnsi="Arial"/>
                <w:sz w:val="12"/>
                <w:szCs w:val="12"/>
                <w:color w:val="auto"/>
              </w:rPr>
              <w:t>258,511</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Pr>
          <w:p>
            <w:pPr>
              <w:jc w:val="right"/>
              <w:ind w:right="123"/>
              <w:spacing w:after="0" w:line="129" w:lineRule="exact"/>
              <w:rPr>
                <w:sz w:val="20"/>
                <w:szCs w:val="20"/>
                <w:color w:val="auto"/>
              </w:rPr>
            </w:pPr>
            <w:r>
              <w:rPr>
                <w:rFonts w:ascii="Arial" w:cs="Arial" w:eastAsia="Arial" w:hAnsi="Arial"/>
                <w:sz w:val="12"/>
                <w:szCs w:val="12"/>
                <w:color w:val="auto"/>
              </w:rPr>
              <w:t>(192,205)</w:t>
            </w:r>
          </w:p>
        </w:tc>
        <w:tc>
          <w:tcPr>
            <w:tcW w:w="120" w:type="dxa"/>
            <w:vAlign w:val="bottom"/>
          </w:tcPr>
          <w:p>
            <w:pPr>
              <w:jc w:val="right"/>
              <w:ind w:right="7"/>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ind w:right="83"/>
              <w:spacing w:after="0" w:line="129" w:lineRule="exact"/>
              <w:rPr>
                <w:sz w:val="20"/>
                <w:szCs w:val="20"/>
                <w:color w:val="auto"/>
              </w:rPr>
            </w:pPr>
            <w:r>
              <w:rPr>
                <w:rFonts w:ascii="Arial" w:cs="Arial" w:eastAsia="Arial" w:hAnsi="Arial"/>
                <w:sz w:val="12"/>
                <w:szCs w:val="12"/>
                <w:color w:val="auto"/>
              </w:rPr>
              <w:t>66,327</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Arial" w:cs="Arial" w:eastAsia="Arial" w:hAnsi="Arial"/>
                <w:sz w:val="12"/>
                <w:szCs w:val="12"/>
                <w:color w:val="auto"/>
              </w:rPr>
              <w:t>Options exercised</w:t>
            </w:r>
          </w:p>
        </w:tc>
        <w:tc>
          <w:tcPr>
            <w:tcW w:w="1140" w:type="dxa"/>
            <w:vAlign w:val="bottom"/>
            <w:tcBorders>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211,141</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jc w:val="right"/>
              <w:ind w:right="202"/>
              <w:spacing w:after="0" w:line="135" w:lineRule="exact"/>
              <w:rPr>
                <w:sz w:val="20"/>
                <w:szCs w:val="20"/>
                <w:color w:val="auto"/>
              </w:rPr>
            </w:pPr>
            <w:r>
              <w:rPr>
                <w:rFonts w:ascii="Arial" w:cs="Arial" w:eastAsia="Arial" w:hAnsi="Arial"/>
                <w:sz w:val="12"/>
                <w:szCs w:val="12"/>
                <w:color w:val="auto"/>
              </w:rPr>
              <w:t>2</w:t>
            </w:r>
          </w:p>
        </w:tc>
        <w:tc>
          <w:tcPr>
            <w:tcW w:w="1160" w:type="dxa"/>
            <w:vAlign w:val="bottom"/>
            <w:tcBorders>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jc w:val="right"/>
              <w:ind w:right="204"/>
              <w:spacing w:after="0" w:line="135" w:lineRule="exact"/>
              <w:rPr>
                <w:sz w:val="20"/>
                <w:szCs w:val="20"/>
                <w:color w:val="auto"/>
              </w:rPr>
            </w:pPr>
            <w:r>
              <w:rPr>
                <w:rFonts w:ascii="Arial" w:cs="Arial" w:eastAsia="Arial" w:hAnsi="Arial"/>
                <w:sz w:val="12"/>
                <w:szCs w:val="12"/>
                <w:color w:val="auto"/>
              </w:rPr>
              <w:t>490</w:t>
            </w: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jc w:val="right"/>
              <w:ind w:right="83"/>
              <w:spacing w:after="0" w:line="135" w:lineRule="exact"/>
              <w:rPr>
                <w:sz w:val="20"/>
                <w:szCs w:val="20"/>
                <w:color w:val="auto"/>
              </w:rPr>
            </w:pPr>
            <w:r>
              <w:rPr>
                <w:rFonts w:ascii="Arial" w:cs="Arial" w:eastAsia="Arial" w:hAnsi="Arial"/>
                <w:sz w:val="12"/>
                <w:szCs w:val="12"/>
                <w:color w:val="auto"/>
              </w:rPr>
              <w:t>492</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Stock-based compensation</w:t>
            </w:r>
          </w:p>
        </w:tc>
        <w:tc>
          <w:tcPr>
            <w:tcW w:w="1140" w:type="dxa"/>
            <w:vAlign w:val="bottom"/>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204"/>
              <w:spacing w:after="0" w:line="135" w:lineRule="exact"/>
              <w:rPr>
                <w:sz w:val="20"/>
                <w:szCs w:val="20"/>
                <w:color w:val="auto"/>
              </w:rPr>
            </w:pPr>
            <w:r>
              <w:rPr>
                <w:rFonts w:ascii="Arial" w:cs="Arial" w:eastAsia="Arial" w:hAnsi="Arial"/>
                <w:sz w:val="12"/>
                <w:szCs w:val="12"/>
                <w:color w:val="auto"/>
              </w:rPr>
              <w:t>1,947</w:t>
            </w:r>
          </w:p>
        </w:tc>
        <w:tc>
          <w:tcPr>
            <w:tcW w:w="80" w:type="dxa"/>
            <w:vAlign w:val="bottom"/>
          </w:tcPr>
          <w:p>
            <w:pPr>
              <w:spacing w:after="0"/>
              <w:rPr>
                <w:sz w:val="11"/>
                <w:szCs w:val="11"/>
                <w:color w:val="auto"/>
              </w:rPr>
            </w:pPr>
          </w:p>
        </w:tc>
        <w:tc>
          <w:tcPr>
            <w:tcW w:w="1120" w:type="dxa"/>
            <w:vAlign w:val="bottom"/>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1,947</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Arial" w:cs="Arial" w:eastAsia="Arial" w:hAnsi="Arial"/>
                <w:sz w:val="12"/>
                <w:szCs w:val="12"/>
                <w:color w:val="auto"/>
              </w:rPr>
              <w:t>Restricted stock unit vesting</w:t>
            </w:r>
          </w:p>
        </w:tc>
        <w:tc>
          <w:tcPr>
            <w:tcW w:w="1140" w:type="dxa"/>
            <w:vAlign w:val="bottom"/>
            <w:tcBorders>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330,779</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jc w:val="right"/>
              <w:ind w:right="202"/>
              <w:spacing w:after="0" w:line="135" w:lineRule="exact"/>
              <w:rPr>
                <w:sz w:val="20"/>
                <w:szCs w:val="20"/>
                <w:color w:val="auto"/>
              </w:rPr>
            </w:pPr>
            <w:r>
              <w:rPr>
                <w:rFonts w:ascii="Arial" w:cs="Arial" w:eastAsia="Arial" w:hAnsi="Arial"/>
                <w:sz w:val="12"/>
                <w:szCs w:val="12"/>
                <w:color w:val="auto"/>
              </w:rPr>
              <w:t>3</w:t>
            </w:r>
          </w:p>
        </w:tc>
        <w:tc>
          <w:tcPr>
            <w:tcW w:w="1160" w:type="dxa"/>
            <w:vAlign w:val="bottom"/>
            <w:tcBorders>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jc w:val="right"/>
              <w:ind w:right="144"/>
              <w:spacing w:after="0" w:line="135" w:lineRule="exact"/>
              <w:rPr>
                <w:sz w:val="20"/>
                <w:szCs w:val="20"/>
                <w:color w:val="auto"/>
              </w:rPr>
            </w:pPr>
            <w:r>
              <w:rPr>
                <w:rFonts w:ascii="Arial" w:cs="Arial" w:eastAsia="Arial" w:hAnsi="Arial"/>
                <w:sz w:val="12"/>
                <w:szCs w:val="12"/>
                <w:color w:val="auto"/>
              </w:rPr>
              <w:t>(3)</w:t>
            </w: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jc w:val="right"/>
              <w:ind w:right="83"/>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620" w:type="dxa"/>
            <w:vAlign w:val="bottom"/>
            <w:gridSpan w:val="2"/>
          </w:tcPr>
          <w:p>
            <w:pPr>
              <w:spacing w:after="0" w:line="128" w:lineRule="exact"/>
              <w:rPr>
                <w:sz w:val="20"/>
                <w:szCs w:val="20"/>
                <w:color w:val="auto"/>
              </w:rPr>
            </w:pPr>
            <w:r>
              <w:rPr>
                <w:rFonts w:ascii="Arial" w:cs="Arial" w:eastAsia="Arial" w:hAnsi="Arial"/>
                <w:sz w:val="12"/>
                <w:szCs w:val="12"/>
                <w:color w:val="auto"/>
              </w:rPr>
              <w:t>Change in fair value of</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ind w:left="100"/>
              <w:spacing w:after="0"/>
              <w:rPr>
                <w:sz w:val="20"/>
                <w:szCs w:val="20"/>
                <w:color w:val="auto"/>
              </w:rPr>
            </w:pPr>
            <w:r>
              <w:rPr>
                <w:rFonts w:ascii="Arial" w:cs="Arial" w:eastAsia="Arial" w:hAnsi="Arial"/>
                <w:sz w:val="12"/>
                <w:szCs w:val="12"/>
                <w:color w:val="auto"/>
              </w:rPr>
              <w:t>NC Ohio Trust Warrants</w:t>
            </w:r>
          </w:p>
        </w:tc>
        <w:tc>
          <w:tcPr>
            <w:tcW w:w="114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00" w:type="dxa"/>
            <w:vAlign w:val="bottom"/>
          </w:tcPr>
          <w:p>
            <w:pPr>
              <w:jc w:val="right"/>
              <w:ind w:right="144"/>
              <w:spacing w:after="0"/>
              <w:rPr>
                <w:sz w:val="20"/>
                <w:szCs w:val="20"/>
                <w:color w:val="auto"/>
              </w:rPr>
            </w:pPr>
            <w:r>
              <w:rPr>
                <w:rFonts w:ascii="Arial" w:cs="Arial" w:eastAsia="Arial" w:hAnsi="Arial"/>
                <w:sz w:val="12"/>
                <w:szCs w:val="12"/>
                <w:color w:val="auto"/>
              </w:rPr>
              <w:t>(583)</w:t>
            </w:r>
          </w:p>
        </w:tc>
        <w:tc>
          <w:tcPr>
            <w:tcW w:w="80" w:type="dxa"/>
            <w:vAlign w:val="bottom"/>
          </w:tcPr>
          <w:p>
            <w:pPr>
              <w:spacing w:after="0"/>
              <w:rPr>
                <w:sz w:val="12"/>
                <w:szCs w:val="12"/>
                <w:color w:val="auto"/>
              </w:rPr>
            </w:pPr>
          </w:p>
        </w:tc>
        <w:tc>
          <w:tcPr>
            <w:tcW w:w="112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20" w:type="dxa"/>
            <w:vAlign w:val="bottom"/>
          </w:tcPr>
          <w:p>
            <w:pPr>
              <w:jc w:val="right"/>
              <w:ind w:right="23"/>
              <w:spacing w:after="0"/>
              <w:rPr>
                <w:sz w:val="20"/>
                <w:szCs w:val="20"/>
                <w:color w:val="auto"/>
              </w:rPr>
            </w:pPr>
            <w:r>
              <w:rPr>
                <w:rFonts w:ascii="Arial" w:cs="Arial" w:eastAsia="Arial" w:hAnsi="Arial"/>
                <w:sz w:val="12"/>
                <w:szCs w:val="12"/>
                <w:color w:val="auto"/>
              </w:rPr>
              <w:t>(583)</w:t>
            </w:r>
          </w:p>
        </w:tc>
        <w:tc>
          <w:tcPr>
            <w:tcW w:w="0" w:type="dxa"/>
            <w:vAlign w:val="bottom"/>
          </w:tcPr>
          <w:p>
            <w:pPr>
              <w:spacing w:after="0"/>
              <w:rPr>
                <w:sz w:val="1"/>
                <w:szCs w:val="1"/>
                <w:color w:val="auto"/>
              </w:rPr>
            </w:pPr>
          </w:p>
        </w:tc>
      </w:tr>
      <w:tr>
        <w:trPr>
          <w:trHeight w:val="127"/>
        </w:trPr>
        <w:tc>
          <w:tcPr>
            <w:tcW w:w="2620" w:type="dxa"/>
            <w:vAlign w:val="bottom"/>
            <w:gridSpan w:val="2"/>
            <w:shd w:val="clear" w:color="auto" w:fill="CFF0FC"/>
          </w:tcPr>
          <w:p>
            <w:pPr>
              <w:spacing w:after="0" w:line="128" w:lineRule="exact"/>
              <w:rPr>
                <w:sz w:val="20"/>
                <w:szCs w:val="20"/>
                <w:color w:val="auto"/>
              </w:rPr>
            </w:pPr>
            <w:r>
              <w:rPr>
                <w:rFonts w:ascii="Arial" w:cs="Arial" w:eastAsia="Arial" w:hAnsi="Arial"/>
                <w:sz w:val="12"/>
                <w:szCs w:val="12"/>
                <w:color w:val="auto"/>
              </w:rPr>
              <w:t>Sale of common stock through</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2"/>
                <w:szCs w:val="12"/>
                <w:color w:val="auto"/>
              </w:rPr>
              <w:t>at-the-market offerings,</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net of issuance costs</w:t>
            </w:r>
          </w:p>
        </w:tc>
        <w:tc>
          <w:tcPr>
            <w:tcW w:w="1140" w:type="dxa"/>
            <w:vAlign w:val="bottom"/>
            <w:tcBorders>
              <w:right w:val="single" w:sz="8" w:color="CFF0FC"/>
            </w:tcBorders>
            <w:shd w:val="clear" w:color="auto" w:fill="CFF0FC"/>
          </w:tcPr>
          <w:p>
            <w:pPr>
              <w:jc w:val="right"/>
              <w:ind w:right="63"/>
              <w:spacing w:after="0"/>
              <w:rPr>
                <w:sz w:val="20"/>
                <w:szCs w:val="20"/>
                <w:color w:val="auto"/>
              </w:rPr>
            </w:pPr>
            <w:r>
              <w:rPr>
                <w:rFonts w:ascii="Arial" w:cs="Arial" w:eastAsia="Arial" w:hAnsi="Arial"/>
                <w:sz w:val="12"/>
                <w:szCs w:val="12"/>
                <w:color w:val="auto"/>
              </w:rPr>
              <w:t>987,772</w:t>
            </w: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ind w:right="202"/>
              <w:spacing w:after="0"/>
              <w:rPr>
                <w:sz w:val="20"/>
                <w:szCs w:val="20"/>
                <w:color w:val="auto"/>
              </w:rPr>
            </w:pPr>
            <w:r>
              <w:rPr>
                <w:rFonts w:ascii="Arial" w:cs="Arial" w:eastAsia="Arial" w:hAnsi="Arial"/>
                <w:sz w:val="12"/>
                <w:szCs w:val="12"/>
                <w:color w:val="auto"/>
              </w:rPr>
              <w:t>10</w:t>
            </w:r>
          </w:p>
        </w:tc>
        <w:tc>
          <w:tcPr>
            <w:tcW w:w="1160" w:type="dxa"/>
            <w:vAlign w:val="bottom"/>
            <w:tcBorders>
              <w:right w:val="single" w:sz="8" w:color="CFF0FC"/>
            </w:tcBorders>
            <w:shd w:val="clear" w:color="auto" w:fill="CFF0FC"/>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left w:val="single" w:sz="8" w:color="CFF0FC"/>
            </w:tcBorders>
            <w:shd w:val="clear" w:color="auto" w:fill="CFF0FC"/>
          </w:tcPr>
          <w:p>
            <w:pPr>
              <w:spacing w:after="0"/>
              <w:rPr>
                <w:sz w:val="12"/>
                <w:szCs w:val="12"/>
                <w:color w:val="auto"/>
              </w:rPr>
            </w:pPr>
          </w:p>
        </w:tc>
        <w:tc>
          <w:tcPr>
            <w:tcW w:w="460" w:type="dxa"/>
            <w:vAlign w:val="bottom"/>
            <w:tcBorders>
              <w:right w:val="single" w:sz="8" w:color="CFF0FC"/>
            </w:tcBorders>
            <w:shd w:val="clear" w:color="auto" w:fill="CFF0FC"/>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jc w:val="right"/>
              <w:ind w:right="204"/>
              <w:spacing w:after="0"/>
              <w:rPr>
                <w:sz w:val="20"/>
                <w:szCs w:val="20"/>
                <w:color w:val="auto"/>
              </w:rPr>
            </w:pPr>
            <w:r>
              <w:rPr>
                <w:rFonts w:ascii="Arial" w:cs="Arial" w:eastAsia="Arial" w:hAnsi="Arial"/>
                <w:sz w:val="12"/>
                <w:szCs w:val="12"/>
                <w:color w:val="auto"/>
              </w:rPr>
              <w:t>5,028</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shd w:val="clear" w:color="auto" w:fill="CFF0FC"/>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120" w:type="dxa"/>
            <w:vAlign w:val="bottom"/>
            <w:shd w:val="clear" w:color="auto" w:fill="CFF0FC"/>
          </w:tcPr>
          <w:p>
            <w:pPr>
              <w:jc w:val="right"/>
              <w:ind w:right="83"/>
              <w:spacing w:after="0"/>
              <w:rPr>
                <w:sz w:val="20"/>
                <w:szCs w:val="20"/>
                <w:color w:val="auto"/>
              </w:rPr>
            </w:pPr>
            <w:r>
              <w:rPr>
                <w:rFonts w:ascii="Arial" w:cs="Arial" w:eastAsia="Arial" w:hAnsi="Arial"/>
                <w:sz w:val="12"/>
                <w:szCs w:val="12"/>
                <w:color w:val="auto"/>
              </w:rPr>
              <w:t>5,038</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Exercise of pre-funded warrants</w:t>
            </w:r>
          </w:p>
        </w:tc>
        <w:tc>
          <w:tcPr>
            <w:tcW w:w="1140" w:type="dxa"/>
            <w:vAlign w:val="bottom"/>
          </w:tcPr>
          <w:p>
            <w:pPr>
              <w:jc w:val="right"/>
              <w:ind w:right="63"/>
              <w:spacing w:after="0" w:line="135" w:lineRule="exact"/>
              <w:rPr>
                <w:sz w:val="20"/>
                <w:szCs w:val="20"/>
                <w:color w:val="auto"/>
              </w:rPr>
            </w:pPr>
            <w:r>
              <w:rPr>
                <w:rFonts w:ascii="Arial" w:cs="Arial" w:eastAsia="Arial" w:hAnsi="Arial"/>
                <w:sz w:val="12"/>
                <w:szCs w:val="12"/>
                <w:color w:val="auto"/>
              </w:rPr>
              <w:t>3,328,064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33</w:t>
            </w:r>
          </w:p>
        </w:tc>
        <w:tc>
          <w:tcPr>
            <w:tcW w:w="116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144"/>
              <w:spacing w:after="0" w:line="135" w:lineRule="exact"/>
              <w:rPr>
                <w:sz w:val="20"/>
                <w:szCs w:val="20"/>
                <w:color w:val="auto"/>
              </w:rPr>
            </w:pPr>
            <w:r>
              <w:rPr>
                <w:rFonts w:ascii="Arial" w:cs="Arial" w:eastAsia="Arial" w:hAnsi="Arial"/>
                <w:sz w:val="12"/>
                <w:szCs w:val="12"/>
                <w:color w:val="auto"/>
              </w:rPr>
              <w:t>(33)</w:t>
            </w:r>
          </w:p>
        </w:tc>
        <w:tc>
          <w:tcPr>
            <w:tcW w:w="80" w:type="dxa"/>
            <w:vAlign w:val="bottom"/>
          </w:tcPr>
          <w:p>
            <w:pPr>
              <w:spacing w:after="0"/>
              <w:rPr>
                <w:sz w:val="11"/>
                <w:szCs w:val="11"/>
                <w:color w:val="auto"/>
              </w:rPr>
            </w:pPr>
          </w:p>
        </w:tc>
        <w:tc>
          <w:tcPr>
            <w:tcW w:w="1120" w:type="dxa"/>
            <w:vAlign w:val="bottom"/>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620" w:type="dxa"/>
            <w:vAlign w:val="bottom"/>
            <w:gridSpan w:val="2"/>
            <w:shd w:val="clear" w:color="auto" w:fill="CFF0FC"/>
          </w:tcPr>
          <w:p>
            <w:pPr>
              <w:spacing w:after="0" w:line="128" w:lineRule="exact"/>
              <w:rPr>
                <w:sz w:val="20"/>
                <w:szCs w:val="20"/>
                <w:color w:val="auto"/>
              </w:rPr>
            </w:pPr>
            <w:r>
              <w:rPr>
                <w:rFonts w:ascii="Arial" w:cs="Arial" w:eastAsia="Arial" w:hAnsi="Arial"/>
                <w:sz w:val="12"/>
                <w:szCs w:val="12"/>
                <w:color w:val="auto"/>
              </w:rPr>
              <w:t>Issuance costs related to common stock</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2"/>
                <w:szCs w:val="12"/>
                <w:color w:val="auto"/>
              </w:rPr>
              <w:t>and accompanying pre-funded</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warrants in public offering</w:t>
            </w:r>
          </w:p>
        </w:tc>
        <w:tc>
          <w:tcPr>
            <w:tcW w:w="1140" w:type="dxa"/>
            <w:vAlign w:val="bottom"/>
            <w:tcBorders>
              <w:right w:val="single" w:sz="8" w:color="CFF0FC"/>
            </w:tcBorders>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ind w:right="202"/>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CFF0FC"/>
            </w:tcBorders>
            <w:shd w:val="clear" w:color="auto" w:fill="CFF0FC"/>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left w:val="single" w:sz="8" w:color="CFF0FC"/>
            </w:tcBorders>
            <w:shd w:val="clear" w:color="auto" w:fill="CFF0FC"/>
          </w:tcPr>
          <w:p>
            <w:pPr>
              <w:spacing w:after="0"/>
              <w:rPr>
                <w:sz w:val="12"/>
                <w:szCs w:val="12"/>
                <w:color w:val="auto"/>
              </w:rPr>
            </w:pPr>
          </w:p>
        </w:tc>
        <w:tc>
          <w:tcPr>
            <w:tcW w:w="460" w:type="dxa"/>
            <w:vAlign w:val="bottom"/>
            <w:tcBorders>
              <w:right w:val="single" w:sz="8" w:color="CFF0FC"/>
            </w:tcBorders>
            <w:shd w:val="clear" w:color="auto" w:fill="CFF0FC"/>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jc w:val="right"/>
              <w:ind w:right="204"/>
              <w:spacing w:after="0"/>
              <w:rPr>
                <w:sz w:val="20"/>
                <w:szCs w:val="20"/>
                <w:color w:val="auto"/>
              </w:rPr>
            </w:pPr>
            <w:r>
              <w:rPr>
                <w:rFonts w:ascii="Arial" w:cs="Arial" w:eastAsia="Arial" w:hAnsi="Arial"/>
                <w:sz w:val="12"/>
                <w:szCs w:val="12"/>
                <w:color w:val="auto"/>
              </w:rPr>
              <w:t>75</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shd w:val="clear" w:color="auto" w:fill="CFF0FC"/>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120" w:type="dxa"/>
            <w:vAlign w:val="bottom"/>
            <w:shd w:val="clear" w:color="auto" w:fill="CFF0FC"/>
          </w:tcPr>
          <w:p>
            <w:pPr>
              <w:jc w:val="right"/>
              <w:ind w:right="83"/>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27"/>
        </w:trPr>
        <w:tc>
          <w:tcPr>
            <w:tcW w:w="2620" w:type="dxa"/>
            <w:vAlign w:val="bottom"/>
            <w:gridSpan w:val="2"/>
          </w:tcPr>
          <w:p>
            <w:pPr>
              <w:spacing w:after="0" w:line="128" w:lineRule="exact"/>
              <w:rPr>
                <w:sz w:val="20"/>
                <w:szCs w:val="20"/>
                <w:color w:val="auto"/>
              </w:rPr>
            </w:pPr>
            <w:r>
              <w:rPr>
                <w:rFonts w:ascii="Arial" w:cs="Arial" w:eastAsia="Arial" w:hAnsi="Arial"/>
                <w:sz w:val="12"/>
                <w:szCs w:val="12"/>
                <w:color w:val="auto"/>
              </w:rPr>
              <w:t>Issuance of common stock</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in registered direct offering, net of</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ind w:left="100"/>
              <w:spacing w:after="0"/>
              <w:rPr>
                <w:sz w:val="20"/>
                <w:szCs w:val="20"/>
                <w:color w:val="auto"/>
              </w:rPr>
            </w:pPr>
            <w:r>
              <w:rPr>
                <w:rFonts w:ascii="Arial" w:cs="Arial" w:eastAsia="Arial" w:hAnsi="Arial"/>
                <w:sz w:val="12"/>
                <w:szCs w:val="12"/>
                <w:color w:val="auto"/>
              </w:rPr>
              <w:t>issuance costs of $0.7 million</w:t>
            </w:r>
          </w:p>
        </w:tc>
        <w:tc>
          <w:tcPr>
            <w:tcW w:w="1140" w:type="dxa"/>
            <w:vAlign w:val="bottom"/>
          </w:tcPr>
          <w:p>
            <w:pPr>
              <w:jc w:val="right"/>
              <w:ind w:right="63"/>
              <w:spacing w:after="0"/>
              <w:rPr>
                <w:sz w:val="20"/>
                <w:szCs w:val="20"/>
                <w:color w:val="auto"/>
              </w:rPr>
            </w:pPr>
            <w:r>
              <w:rPr>
                <w:rFonts w:ascii="Arial" w:cs="Arial" w:eastAsia="Arial" w:hAnsi="Arial"/>
                <w:sz w:val="12"/>
                <w:szCs w:val="12"/>
                <w:color w:val="auto"/>
              </w:rPr>
              <w:t>3,221,395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202"/>
              <w:spacing w:after="0"/>
              <w:rPr>
                <w:sz w:val="20"/>
                <w:szCs w:val="20"/>
                <w:color w:val="auto"/>
              </w:rPr>
            </w:pPr>
            <w:r>
              <w:rPr>
                <w:rFonts w:ascii="Arial" w:cs="Arial" w:eastAsia="Arial" w:hAnsi="Arial"/>
                <w:sz w:val="12"/>
                <w:szCs w:val="12"/>
                <w:color w:val="auto"/>
              </w:rPr>
              <w:t>32</w:t>
            </w:r>
          </w:p>
        </w:tc>
        <w:tc>
          <w:tcPr>
            <w:tcW w:w="116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00" w:type="dxa"/>
            <w:vAlign w:val="bottom"/>
          </w:tcPr>
          <w:p>
            <w:pPr>
              <w:jc w:val="right"/>
              <w:ind w:right="204"/>
              <w:spacing w:after="0"/>
              <w:rPr>
                <w:sz w:val="20"/>
                <w:szCs w:val="20"/>
                <w:color w:val="auto"/>
              </w:rPr>
            </w:pPr>
            <w:r>
              <w:rPr>
                <w:rFonts w:ascii="Arial" w:cs="Arial" w:eastAsia="Arial" w:hAnsi="Arial"/>
                <w:sz w:val="12"/>
                <w:szCs w:val="12"/>
                <w:color w:val="auto"/>
              </w:rPr>
              <w:t>14,299</w:t>
            </w:r>
          </w:p>
        </w:tc>
        <w:tc>
          <w:tcPr>
            <w:tcW w:w="80" w:type="dxa"/>
            <w:vAlign w:val="bottom"/>
          </w:tcPr>
          <w:p>
            <w:pPr>
              <w:spacing w:after="0"/>
              <w:rPr>
                <w:sz w:val="12"/>
                <w:szCs w:val="12"/>
                <w:color w:val="auto"/>
              </w:rPr>
            </w:pPr>
          </w:p>
        </w:tc>
        <w:tc>
          <w:tcPr>
            <w:tcW w:w="112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20" w:type="dxa"/>
            <w:vAlign w:val="bottom"/>
          </w:tcPr>
          <w:p>
            <w:pPr>
              <w:jc w:val="right"/>
              <w:ind w:right="83"/>
              <w:spacing w:after="0"/>
              <w:rPr>
                <w:sz w:val="20"/>
                <w:szCs w:val="20"/>
                <w:color w:val="auto"/>
              </w:rPr>
            </w:pPr>
            <w:r>
              <w:rPr>
                <w:rFonts w:ascii="Arial" w:cs="Arial" w:eastAsia="Arial" w:hAnsi="Arial"/>
                <w:sz w:val="12"/>
                <w:szCs w:val="12"/>
                <w:color w:val="auto"/>
              </w:rPr>
              <w:t>14,331</w:t>
            </w:r>
          </w:p>
        </w:tc>
        <w:tc>
          <w:tcPr>
            <w:tcW w:w="0" w:type="dxa"/>
            <w:vAlign w:val="bottom"/>
          </w:tcPr>
          <w:p>
            <w:pPr>
              <w:spacing w:after="0"/>
              <w:rPr>
                <w:sz w:val="1"/>
                <w:szCs w:val="1"/>
                <w:color w:val="auto"/>
              </w:rPr>
            </w:pPr>
          </w:p>
        </w:tc>
      </w:tr>
      <w:tr>
        <w:trPr>
          <w:trHeight w:val="135"/>
        </w:trPr>
        <w:tc>
          <w:tcPr>
            <w:tcW w:w="2620" w:type="dxa"/>
            <w:vAlign w:val="bottom"/>
            <w:tcBorders>
              <w:bottom w:val="single" w:sz="8" w:color="CFF0FC"/>
            </w:tcBorders>
            <w:gridSpan w:val="2"/>
            <w:shd w:val="clear" w:color="auto" w:fill="CFF0FC"/>
          </w:tcPr>
          <w:p>
            <w:pPr>
              <w:spacing w:after="0" w:line="135" w:lineRule="exact"/>
              <w:rPr>
                <w:sz w:val="20"/>
                <w:szCs w:val="20"/>
                <w:color w:val="auto"/>
              </w:rPr>
            </w:pPr>
            <w:r>
              <w:rPr>
                <w:rFonts w:ascii="Arial" w:cs="Arial" w:eastAsia="Arial" w:hAnsi="Arial"/>
                <w:sz w:val="12"/>
                <w:szCs w:val="12"/>
                <w:color w:val="auto"/>
              </w:rPr>
              <w:t>Net income</w:t>
            </w:r>
          </w:p>
        </w:tc>
        <w:tc>
          <w:tcPr>
            <w:tcW w:w="1140" w:type="dxa"/>
            <w:vAlign w:val="bottom"/>
            <w:tcBorders>
              <w:bottom w:val="single" w:sz="8" w:color="auto"/>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FF0FC"/>
              <w:right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right w:val="single" w:sz="8" w:color="CFF0FC"/>
            </w:tcBorders>
            <w:shd w:val="clear" w:color="auto" w:fill="CFF0FC"/>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left w:val="single" w:sz="8" w:color="CFF0FC"/>
              <w:bottom w:val="single" w:sz="8" w:color="auto"/>
            </w:tcBorders>
            <w:shd w:val="clear" w:color="auto" w:fill="CFF0FC"/>
          </w:tcPr>
          <w:p>
            <w:pPr>
              <w:spacing w:after="0"/>
              <w:rPr>
                <w:sz w:val="11"/>
                <w:szCs w:val="11"/>
                <w:color w:val="auto"/>
              </w:rPr>
            </w:pPr>
          </w:p>
        </w:tc>
        <w:tc>
          <w:tcPr>
            <w:tcW w:w="460" w:type="dxa"/>
            <w:vAlign w:val="bottom"/>
            <w:tcBorders>
              <w:bottom w:val="single" w:sz="8" w:color="auto"/>
              <w:right w:val="single" w:sz="8" w:color="CFF0FC"/>
            </w:tcBorders>
            <w:shd w:val="clear" w:color="auto" w:fill="CFF0FC"/>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bottom w:val="single" w:sz="8" w:color="auto"/>
            </w:tcBorders>
            <w:shd w:val="clear" w:color="auto" w:fill="CFF0FC"/>
          </w:tcPr>
          <w:p>
            <w:pPr>
              <w:spacing w:after="0"/>
              <w:rPr>
                <w:sz w:val="11"/>
                <w:szCs w:val="11"/>
                <w:color w:val="auto"/>
              </w:rPr>
            </w:pPr>
          </w:p>
        </w:tc>
        <w:tc>
          <w:tcPr>
            <w:tcW w:w="1100" w:type="dxa"/>
            <w:vAlign w:val="bottom"/>
            <w:tcBorders>
              <w:bottom w:val="single" w:sz="8" w:color="auto"/>
              <w:right w:val="single" w:sz="8" w:color="CFF0FC"/>
            </w:tcBorders>
            <w:shd w:val="clear" w:color="auto" w:fill="CFF0FC"/>
          </w:tcPr>
          <w:p>
            <w:pPr>
              <w:jc w:val="right"/>
              <w:ind w:right="204"/>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right w:val="single" w:sz="8" w:color="CFF0FC"/>
            </w:tcBorders>
            <w:shd w:val="clear" w:color="auto" w:fill="CFF0FC"/>
          </w:tcPr>
          <w:p>
            <w:pPr>
              <w:jc w:val="right"/>
              <w:ind w:right="183"/>
              <w:spacing w:after="0" w:line="135" w:lineRule="exact"/>
              <w:rPr>
                <w:sz w:val="20"/>
                <w:szCs w:val="20"/>
                <w:color w:val="auto"/>
              </w:rPr>
            </w:pPr>
            <w:r>
              <w:rPr>
                <w:rFonts w:ascii="Arial" w:cs="Arial" w:eastAsia="Arial" w:hAnsi="Arial"/>
                <w:sz w:val="12"/>
                <w:szCs w:val="12"/>
                <w:color w:val="auto"/>
              </w:rPr>
              <w:t>2,583</w:t>
            </w:r>
          </w:p>
        </w:tc>
        <w:tc>
          <w:tcPr>
            <w:tcW w:w="120" w:type="dxa"/>
            <w:vAlign w:val="bottom"/>
            <w:tcBorders>
              <w:left w:val="single" w:sz="8" w:color="CFF0FC"/>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ind w:right="83"/>
              <w:spacing w:after="0" w:line="135" w:lineRule="exact"/>
              <w:rPr>
                <w:sz w:val="20"/>
                <w:szCs w:val="20"/>
                <w:color w:val="auto"/>
              </w:rPr>
            </w:pPr>
            <w:r>
              <w:rPr>
                <w:rFonts w:ascii="Arial" w:cs="Arial" w:eastAsia="Arial" w:hAnsi="Arial"/>
                <w:sz w:val="12"/>
                <w:szCs w:val="12"/>
                <w:color w:val="auto"/>
              </w:rPr>
              <w:t>2,583</w:t>
            </w:r>
          </w:p>
        </w:tc>
        <w:tc>
          <w:tcPr>
            <w:tcW w:w="0" w:type="dxa"/>
            <w:vAlign w:val="bottom"/>
          </w:tcPr>
          <w:p>
            <w:pPr>
              <w:spacing w:after="0"/>
              <w:rPr>
                <w:sz w:val="1"/>
                <w:szCs w:val="1"/>
                <w:color w:val="auto"/>
              </w:rPr>
            </w:pPr>
          </w:p>
        </w:tc>
      </w:tr>
      <w:tr>
        <w:trPr>
          <w:trHeight w:val="128"/>
        </w:trPr>
        <w:tc>
          <w:tcPr>
            <w:tcW w:w="2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Balance, June 30, 2025</w:t>
            </w:r>
          </w:p>
        </w:tc>
        <w:tc>
          <w:tcPr>
            <w:tcW w:w="1140" w:type="dxa"/>
            <w:vAlign w:val="bottom"/>
          </w:tcPr>
          <w:p>
            <w:pPr>
              <w:jc w:val="right"/>
              <w:ind w:right="63"/>
              <w:spacing w:after="0" w:line="129" w:lineRule="exact"/>
              <w:rPr>
                <w:sz w:val="20"/>
                <w:szCs w:val="20"/>
                <w:color w:val="auto"/>
              </w:rPr>
            </w:pPr>
            <w:r>
              <w:rPr>
                <w:rFonts w:ascii="Arial" w:cs="Arial" w:eastAsia="Arial" w:hAnsi="Arial"/>
                <w:sz w:val="12"/>
                <w:szCs w:val="12"/>
                <w:color w:val="auto"/>
              </w:rPr>
              <w:t>55,012,239</w:t>
            </w:r>
          </w:p>
        </w:tc>
        <w:tc>
          <w:tcPr>
            <w:tcW w:w="360" w:type="dxa"/>
            <w:vAlign w:val="bottom"/>
            <w:gridSpan w:val="2"/>
          </w:tcPr>
          <w:p>
            <w:pPr>
              <w:jc w:val="right"/>
              <w:ind w:right="145"/>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549</w:t>
            </w:r>
          </w:p>
        </w:tc>
        <w:tc>
          <w:tcPr>
            <w:tcW w:w="1160" w:type="dxa"/>
            <w:vAlign w:val="bottom"/>
          </w:tcPr>
          <w:p>
            <w:pPr>
              <w:jc w:val="right"/>
              <w:ind w:right="43"/>
              <w:spacing w:after="0" w:line="129" w:lineRule="exact"/>
              <w:rPr>
                <w:sz w:val="20"/>
                <w:szCs w:val="20"/>
                <w:color w:val="auto"/>
              </w:rPr>
            </w:pPr>
            <w:r>
              <w:rPr>
                <w:rFonts w:ascii="Arial" w:cs="Arial" w:eastAsia="Arial" w:hAnsi="Arial"/>
                <w:sz w:val="12"/>
                <w:szCs w:val="12"/>
                <w:color w:val="auto"/>
              </w:rPr>
              <w:t>(122,608)</w:t>
            </w:r>
          </w:p>
        </w:tc>
        <w:tc>
          <w:tcPr>
            <w:tcW w:w="840" w:type="dxa"/>
            <w:vAlign w:val="bottom"/>
            <w:gridSpan w:val="2"/>
          </w:tcPr>
          <w:p>
            <w:pPr>
              <w:jc w:val="right"/>
              <w:ind w:right="649"/>
              <w:spacing w:after="0" w:line="129"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122"/>
              <w:spacing w:after="0" w:line="129" w:lineRule="exact"/>
              <w:rPr>
                <w:sz w:val="20"/>
                <w:szCs w:val="20"/>
                <w:color w:val="auto"/>
              </w:rPr>
            </w:pPr>
            <w:r>
              <w:rPr>
                <w:rFonts w:ascii="Arial" w:cs="Arial" w:eastAsia="Arial" w:hAnsi="Arial"/>
                <w:sz w:val="12"/>
                <w:szCs w:val="12"/>
                <w:color w:val="auto"/>
                <w:w w:val="92"/>
              </w:rPr>
              <w:t>(448)</w:t>
            </w:r>
          </w:p>
        </w:tc>
        <w:tc>
          <w:tcPr>
            <w:tcW w:w="160" w:type="dxa"/>
            <w:vAlign w:val="bottom"/>
          </w:tcPr>
          <w:p>
            <w:pPr>
              <w:jc w:val="right"/>
              <w:ind w:right="47"/>
              <w:spacing w:after="0"/>
              <w:rPr>
                <w:sz w:val="20"/>
                <w:szCs w:val="20"/>
                <w:color w:val="auto"/>
              </w:rPr>
            </w:pPr>
            <w:r>
              <w:rPr>
                <w:rFonts w:ascii="Arial" w:cs="Arial" w:eastAsia="Arial" w:hAnsi="Arial"/>
                <w:sz w:val="9"/>
                <w:szCs w:val="9"/>
                <w:color w:val="auto"/>
                <w:w w:val="78"/>
              </w:rPr>
              <w:t>$</w:t>
            </w:r>
          </w:p>
        </w:tc>
        <w:tc>
          <w:tcPr>
            <w:tcW w:w="1100" w:type="dxa"/>
            <w:vAlign w:val="bottom"/>
          </w:tcPr>
          <w:p>
            <w:pPr>
              <w:jc w:val="right"/>
              <w:ind w:right="204"/>
              <w:spacing w:after="0" w:line="129" w:lineRule="exact"/>
              <w:rPr>
                <w:sz w:val="20"/>
                <w:szCs w:val="20"/>
                <w:color w:val="auto"/>
              </w:rPr>
            </w:pPr>
            <w:r>
              <w:rPr>
                <w:rFonts w:ascii="Arial" w:cs="Arial" w:eastAsia="Arial" w:hAnsi="Arial"/>
                <w:sz w:val="12"/>
                <w:szCs w:val="12"/>
                <w:color w:val="auto"/>
              </w:rPr>
              <w:t>279,731</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Pr>
          <w:p>
            <w:pPr>
              <w:jc w:val="right"/>
              <w:ind w:right="123"/>
              <w:spacing w:after="0" w:line="129" w:lineRule="exact"/>
              <w:rPr>
                <w:sz w:val="20"/>
                <w:szCs w:val="20"/>
                <w:color w:val="auto"/>
              </w:rPr>
            </w:pPr>
            <w:r>
              <w:rPr>
                <w:rFonts w:ascii="Arial" w:cs="Arial" w:eastAsia="Arial" w:hAnsi="Arial"/>
                <w:sz w:val="12"/>
                <w:szCs w:val="12"/>
                <w:color w:val="auto"/>
              </w:rPr>
              <w:t>(189,622)</w:t>
            </w:r>
          </w:p>
        </w:tc>
        <w:tc>
          <w:tcPr>
            <w:tcW w:w="120" w:type="dxa"/>
            <w:vAlign w:val="bottom"/>
          </w:tcPr>
          <w:p>
            <w:pPr>
              <w:jc w:val="right"/>
              <w:ind w:right="7"/>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ind w:right="83"/>
              <w:spacing w:after="0" w:line="129" w:lineRule="exact"/>
              <w:rPr>
                <w:sz w:val="20"/>
                <w:szCs w:val="20"/>
                <w:color w:val="auto"/>
              </w:rPr>
            </w:pPr>
            <w:r>
              <w:rPr>
                <w:rFonts w:ascii="Arial" w:cs="Arial" w:eastAsia="Arial" w:hAnsi="Arial"/>
                <w:sz w:val="12"/>
                <w:szCs w:val="12"/>
                <w:color w:val="auto"/>
              </w:rPr>
              <w:t>90,210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4"/>
            <w:vMerge w:val="restart"/>
          </w:tcPr>
          <w:p>
            <w:pPr>
              <w:jc w:val="right"/>
              <w:ind w:right="882"/>
              <w:spacing w:after="0"/>
              <w:rPr>
                <w:sz w:val="20"/>
                <w:szCs w:val="20"/>
                <w:color w:val="auto"/>
              </w:rPr>
            </w:pPr>
            <w:r>
              <w:rPr>
                <w:rFonts w:ascii="Arial" w:cs="Arial" w:eastAsia="Arial" w:hAnsi="Arial"/>
                <w:sz w:val="10"/>
                <w:szCs w:val="10"/>
                <w:b w:val="1"/>
                <w:bCs w:val="1"/>
                <w:color w:val="auto"/>
              </w:rPr>
              <w:t>COMMON STOCK</w:t>
            </w:r>
          </w:p>
        </w:tc>
        <w:tc>
          <w:tcPr>
            <w:tcW w:w="2000" w:type="dxa"/>
            <w:vAlign w:val="bottom"/>
            <w:gridSpan w:val="3"/>
            <w:vMerge w:val="restart"/>
          </w:tcPr>
          <w:p>
            <w:pPr>
              <w:jc w:val="right"/>
              <w:ind w:right="389"/>
              <w:spacing w:after="0"/>
              <w:rPr>
                <w:sz w:val="20"/>
                <w:szCs w:val="20"/>
                <w:color w:val="auto"/>
              </w:rPr>
            </w:pPr>
            <w:r>
              <w:rPr>
                <w:rFonts w:ascii="Arial" w:cs="Arial" w:eastAsia="Arial" w:hAnsi="Arial"/>
                <w:sz w:val="10"/>
                <w:szCs w:val="10"/>
                <w:b w:val="1"/>
                <w:bCs w:val="1"/>
                <w:color w:val="auto"/>
              </w:rPr>
              <w:t>TREASURY STOCK</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364"/>
              <w:spacing w:after="0"/>
              <w:rPr>
                <w:sz w:val="20"/>
                <w:szCs w:val="20"/>
                <w:color w:val="auto"/>
              </w:rPr>
            </w:pPr>
            <w:r>
              <w:rPr>
                <w:rFonts w:ascii="Arial" w:cs="Arial" w:eastAsia="Arial" w:hAnsi="Arial"/>
                <w:sz w:val="10"/>
                <w:szCs w:val="10"/>
                <w:b w:val="1"/>
                <w:bCs w:val="1"/>
                <w:color w:val="auto"/>
                <w:w w:val="97"/>
              </w:rPr>
              <w:t>ADDITIONAL</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tcBorders>
              <w:bottom w:val="single" w:sz="8" w:color="auto"/>
            </w:tcBorders>
            <w:gridSpan w:val="4"/>
            <w:vMerge w:val="continue"/>
          </w:tcPr>
          <w:p>
            <w:pPr>
              <w:spacing w:after="0"/>
              <w:rPr>
                <w:sz w:val="9"/>
                <w:szCs w:val="9"/>
                <w:color w:val="auto"/>
              </w:rPr>
            </w:pPr>
          </w:p>
        </w:tc>
        <w:tc>
          <w:tcPr>
            <w:tcW w:w="2000" w:type="dxa"/>
            <w:vAlign w:val="bottom"/>
            <w:tcBorders>
              <w:bottom w:val="single" w:sz="8" w:color="auto"/>
            </w:tcBorders>
            <w:gridSpan w:val="3"/>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jc w:val="center"/>
              <w:ind w:right="364"/>
              <w:spacing w:after="0" w:line="113" w:lineRule="exact"/>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9"/>
                <w:szCs w:val="9"/>
                <w:color w:val="auto"/>
              </w:rPr>
            </w:pPr>
          </w:p>
        </w:tc>
        <w:tc>
          <w:tcPr>
            <w:tcW w:w="1120" w:type="dxa"/>
            <w:vAlign w:val="bottom"/>
          </w:tcPr>
          <w:p>
            <w:pPr>
              <w:jc w:val="center"/>
              <w:ind w:right="283"/>
              <w:spacing w:after="0" w:line="113"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9"/>
                <w:szCs w:val="9"/>
                <w:color w:val="auto"/>
              </w:rPr>
            </w:pPr>
          </w:p>
        </w:tc>
        <w:tc>
          <w:tcPr>
            <w:tcW w:w="1120" w:type="dxa"/>
            <w:vAlign w:val="bottom"/>
          </w:tcPr>
          <w:p>
            <w:pPr>
              <w:jc w:val="center"/>
              <w:ind w:right="203"/>
              <w:spacing w:after="0" w:line="113" w:lineRule="exact"/>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15"/>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w w:val="95"/>
              </w:rPr>
              <w:t>AMOUNT</w:t>
            </w: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AMOUNT</w:t>
            </w: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364"/>
              <w:spacing w:after="0"/>
              <w:rPr>
                <w:sz w:val="20"/>
                <w:szCs w:val="20"/>
                <w:color w:val="auto"/>
              </w:rPr>
            </w:pPr>
            <w:r>
              <w:rPr>
                <w:rFonts w:ascii="Arial" w:cs="Arial" w:eastAsia="Arial" w:hAnsi="Arial"/>
                <w:sz w:val="10"/>
                <w:szCs w:val="10"/>
                <w:b w:val="1"/>
                <w:bCs w:val="1"/>
                <w:color w:val="auto"/>
              </w:rPr>
              <w:t>CAPITAL</w:t>
            </w: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83"/>
              <w:spacing w:after="0"/>
              <w:rPr>
                <w:sz w:val="20"/>
                <w:szCs w:val="20"/>
                <w:color w:val="auto"/>
              </w:rPr>
            </w:pPr>
            <w:r>
              <w:rPr>
                <w:rFonts w:ascii="Arial" w:cs="Arial" w:eastAsia="Arial" w:hAnsi="Arial"/>
                <w:sz w:val="10"/>
                <w:szCs w:val="10"/>
                <w:b w:val="1"/>
                <w:bCs w:val="1"/>
                <w:color w:val="auto"/>
                <w:w w:val="97"/>
              </w:rPr>
              <w:t>DEFICIT</w:t>
            </w: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03"/>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28"/>
        </w:trPr>
        <w:tc>
          <w:tcPr>
            <w:tcW w:w="2620" w:type="dxa"/>
            <w:vAlign w:val="bottom"/>
            <w:gridSpan w:val="2"/>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March 31, 2025</w:t>
            </w:r>
          </w:p>
        </w:tc>
        <w:tc>
          <w:tcPr>
            <w:tcW w:w="1140" w:type="dxa"/>
            <w:vAlign w:val="bottom"/>
            <w:tcBorders>
              <w:right w:val="single" w:sz="8" w:color="CFF0FC"/>
            </w:tcBorders>
            <w:shd w:val="clear" w:color="auto" w:fill="CFF0FC"/>
          </w:tcPr>
          <w:p>
            <w:pPr>
              <w:jc w:val="right"/>
              <w:ind w:right="63"/>
              <w:spacing w:after="0" w:line="129" w:lineRule="exact"/>
              <w:rPr>
                <w:sz w:val="20"/>
                <w:szCs w:val="20"/>
                <w:color w:val="auto"/>
              </w:rPr>
            </w:pPr>
            <w:r>
              <w:rPr>
                <w:rFonts w:ascii="Arial" w:cs="Arial" w:eastAsia="Arial" w:hAnsi="Arial"/>
                <w:sz w:val="12"/>
                <w:szCs w:val="12"/>
                <w:color w:val="auto"/>
              </w:rPr>
              <w:t>49,369,749</w:t>
            </w:r>
          </w:p>
        </w:tc>
        <w:tc>
          <w:tcPr>
            <w:tcW w:w="360" w:type="dxa"/>
            <w:vAlign w:val="bottom"/>
            <w:gridSpan w:val="2"/>
            <w:shd w:val="clear" w:color="auto" w:fill="CFF0FC"/>
          </w:tcPr>
          <w:p>
            <w:pPr>
              <w:jc w:val="right"/>
              <w:ind w:right="145"/>
              <w:spacing w:after="0" w:line="129" w:lineRule="exact"/>
              <w:rPr>
                <w:sz w:val="20"/>
                <w:szCs w:val="20"/>
                <w:color w:val="auto"/>
              </w:rPr>
            </w:pPr>
            <w:r>
              <w:rPr>
                <w:rFonts w:ascii="Arial" w:cs="Arial" w:eastAsia="Arial" w:hAnsi="Arial"/>
                <w:sz w:val="12"/>
                <w:szCs w:val="12"/>
                <w:color w:val="auto"/>
              </w:rPr>
              <w:t>$</w:t>
            </w:r>
          </w:p>
        </w:tc>
        <w:tc>
          <w:tcPr>
            <w:tcW w:w="960" w:type="dxa"/>
            <w:vAlign w:val="bottom"/>
            <w:tcBorders>
              <w:right w:val="single" w:sz="8" w:color="CFF0FC"/>
            </w:tcBorders>
            <w:shd w:val="clear" w:color="auto" w:fill="CFF0FC"/>
          </w:tcPr>
          <w:p>
            <w:pPr>
              <w:jc w:val="right"/>
              <w:ind w:right="202"/>
              <w:spacing w:after="0" w:line="129" w:lineRule="exact"/>
              <w:rPr>
                <w:sz w:val="20"/>
                <w:szCs w:val="20"/>
                <w:color w:val="auto"/>
              </w:rPr>
            </w:pPr>
            <w:r>
              <w:rPr>
                <w:rFonts w:ascii="Arial" w:cs="Arial" w:eastAsia="Arial" w:hAnsi="Arial"/>
                <w:sz w:val="12"/>
                <w:szCs w:val="12"/>
                <w:color w:val="auto"/>
              </w:rPr>
              <w:t>493</w:t>
            </w:r>
          </w:p>
        </w:tc>
        <w:tc>
          <w:tcPr>
            <w:tcW w:w="1160" w:type="dxa"/>
            <w:vAlign w:val="bottom"/>
            <w:tcBorders>
              <w:right w:val="single" w:sz="8" w:color="CFF0FC"/>
            </w:tcBorders>
            <w:shd w:val="clear" w:color="auto" w:fill="CFF0FC"/>
          </w:tcPr>
          <w:p>
            <w:pPr>
              <w:jc w:val="right"/>
              <w:ind w:right="43"/>
              <w:spacing w:after="0" w:line="129" w:lineRule="exact"/>
              <w:rPr>
                <w:sz w:val="20"/>
                <w:szCs w:val="20"/>
                <w:color w:val="auto"/>
              </w:rPr>
            </w:pPr>
            <w:r>
              <w:rPr>
                <w:rFonts w:ascii="Arial" w:cs="Arial" w:eastAsia="Arial" w:hAnsi="Arial"/>
                <w:sz w:val="12"/>
                <w:szCs w:val="12"/>
                <w:color w:val="auto"/>
              </w:rPr>
              <w:t>(122,608)</w:t>
            </w:r>
          </w:p>
        </w:tc>
        <w:tc>
          <w:tcPr>
            <w:tcW w:w="840" w:type="dxa"/>
            <w:vAlign w:val="bottom"/>
            <w:gridSpan w:val="2"/>
            <w:shd w:val="clear" w:color="auto" w:fill="CFF0FC"/>
          </w:tcPr>
          <w:p>
            <w:pPr>
              <w:jc w:val="right"/>
              <w:ind w:right="649"/>
              <w:spacing w:after="0" w:line="129" w:lineRule="exact"/>
              <w:rPr>
                <w:sz w:val="20"/>
                <w:szCs w:val="20"/>
                <w:color w:val="auto"/>
              </w:rPr>
            </w:pPr>
            <w:r>
              <w:rPr>
                <w:rFonts w:ascii="Arial" w:cs="Arial" w:eastAsia="Arial" w:hAnsi="Arial"/>
                <w:sz w:val="12"/>
                <w:szCs w:val="12"/>
                <w:color w:val="auto"/>
              </w:rPr>
              <w:t>$</w:t>
            </w:r>
          </w:p>
        </w:tc>
        <w:tc>
          <w:tcPr>
            <w:tcW w:w="460" w:type="dxa"/>
            <w:vAlign w:val="bottom"/>
            <w:tcBorders>
              <w:right w:val="single" w:sz="8" w:color="CFF0FC"/>
            </w:tcBorders>
            <w:shd w:val="clear" w:color="auto" w:fill="CFF0FC"/>
          </w:tcPr>
          <w:p>
            <w:pPr>
              <w:jc w:val="right"/>
              <w:ind w:right="122"/>
              <w:spacing w:after="0" w:line="129" w:lineRule="exact"/>
              <w:rPr>
                <w:sz w:val="20"/>
                <w:szCs w:val="20"/>
                <w:color w:val="auto"/>
              </w:rPr>
            </w:pPr>
            <w:r>
              <w:rPr>
                <w:rFonts w:ascii="Arial" w:cs="Arial" w:eastAsia="Arial" w:hAnsi="Arial"/>
                <w:sz w:val="12"/>
                <w:szCs w:val="12"/>
                <w:color w:val="auto"/>
                <w:w w:val="92"/>
              </w:rPr>
              <w:t>(448)</w:t>
            </w:r>
          </w:p>
        </w:tc>
        <w:tc>
          <w:tcPr>
            <w:tcW w:w="160" w:type="dxa"/>
            <w:vAlign w:val="bottom"/>
            <w:tcBorders>
              <w:left w:val="single" w:sz="8" w:color="CFF0FC"/>
            </w:tcBorders>
            <w:shd w:val="clear" w:color="auto" w:fill="CFF0FC"/>
          </w:tcPr>
          <w:p>
            <w:pPr>
              <w:jc w:val="right"/>
              <w:ind w:right="47"/>
              <w:spacing w:after="0"/>
              <w:rPr>
                <w:sz w:val="20"/>
                <w:szCs w:val="20"/>
                <w:color w:val="auto"/>
              </w:rPr>
            </w:pPr>
            <w:r>
              <w:rPr>
                <w:rFonts w:ascii="Arial" w:cs="Arial" w:eastAsia="Arial" w:hAnsi="Arial"/>
                <w:sz w:val="9"/>
                <w:szCs w:val="9"/>
                <w:color w:val="auto"/>
                <w:w w:val="78"/>
              </w:rPr>
              <w:t>$</w:t>
            </w:r>
          </w:p>
        </w:tc>
        <w:tc>
          <w:tcPr>
            <w:tcW w:w="1100" w:type="dxa"/>
            <w:vAlign w:val="bottom"/>
            <w:tcBorders>
              <w:right w:val="single" w:sz="8" w:color="CFF0FC"/>
            </w:tcBorders>
            <w:shd w:val="clear" w:color="auto" w:fill="CFF0FC"/>
          </w:tcPr>
          <w:p>
            <w:pPr>
              <w:jc w:val="right"/>
              <w:ind w:right="204"/>
              <w:spacing w:after="0" w:line="129" w:lineRule="exact"/>
              <w:rPr>
                <w:sz w:val="20"/>
                <w:szCs w:val="20"/>
                <w:color w:val="auto"/>
              </w:rPr>
            </w:pPr>
            <w:r>
              <w:rPr>
                <w:rFonts w:ascii="Arial" w:cs="Arial" w:eastAsia="Arial" w:hAnsi="Arial"/>
                <w:sz w:val="12"/>
                <w:szCs w:val="12"/>
                <w:color w:val="auto"/>
              </w:rPr>
              <w:t>259,456</w:t>
            </w:r>
          </w:p>
        </w:tc>
        <w:tc>
          <w:tcPr>
            <w:tcW w:w="8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Borders>
              <w:right w:val="single" w:sz="8" w:color="CFF0FC"/>
            </w:tcBorders>
            <w:shd w:val="clear" w:color="auto" w:fill="CFF0FC"/>
          </w:tcPr>
          <w:p>
            <w:pPr>
              <w:jc w:val="right"/>
              <w:ind w:right="123"/>
              <w:spacing w:after="0" w:line="129" w:lineRule="exact"/>
              <w:rPr>
                <w:sz w:val="20"/>
                <w:szCs w:val="20"/>
                <w:color w:val="auto"/>
              </w:rPr>
            </w:pPr>
            <w:r>
              <w:rPr>
                <w:rFonts w:ascii="Arial" w:cs="Arial" w:eastAsia="Arial" w:hAnsi="Arial"/>
                <w:sz w:val="12"/>
                <w:szCs w:val="12"/>
                <w:color w:val="auto"/>
              </w:rPr>
              <w:t>(184,826)</w:t>
            </w:r>
          </w:p>
        </w:tc>
        <w:tc>
          <w:tcPr>
            <w:tcW w:w="120" w:type="dxa"/>
            <w:vAlign w:val="bottom"/>
            <w:tcBorders>
              <w:left w:val="single" w:sz="8" w:color="CFF0FC"/>
            </w:tcBorders>
            <w:shd w:val="clear" w:color="auto" w:fill="CFF0FC"/>
          </w:tcPr>
          <w:p>
            <w:pPr>
              <w:jc w:val="right"/>
              <w:ind w:right="7"/>
              <w:spacing w:after="0"/>
              <w:rPr>
                <w:sz w:val="20"/>
                <w:szCs w:val="20"/>
                <w:color w:val="auto"/>
              </w:rPr>
            </w:pPr>
            <w:r>
              <w:rPr>
                <w:rFonts w:ascii="Arial" w:cs="Arial" w:eastAsia="Arial" w:hAnsi="Arial"/>
                <w:sz w:val="9"/>
                <w:szCs w:val="9"/>
                <w:color w:val="auto"/>
                <w:w w:val="78"/>
              </w:rPr>
              <w:t>$</w:t>
            </w:r>
          </w:p>
        </w:tc>
        <w:tc>
          <w:tcPr>
            <w:tcW w:w="1120" w:type="dxa"/>
            <w:vAlign w:val="bottom"/>
            <w:shd w:val="clear" w:color="auto" w:fill="CFF0FC"/>
          </w:tcPr>
          <w:p>
            <w:pPr>
              <w:jc w:val="right"/>
              <w:ind w:right="83"/>
              <w:spacing w:after="0" w:line="129" w:lineRule="exact"/>
              <w:rPr>
                <w:sz w:val="20"/>
                <w:szCs w:val="20"/>
                <w:color w:val="auto"/>
              </w:rPr>
            </w:pPr>
            <w:r>
              <w:rPr>
                <w:rFonts w:ascii="Arial" w:cs="Arial" w:eastAsia="Arial" w:hAnsi="Arial"/>
                <w:sz w:val="12"/>
                <w:szCs w:val="12"/>
                <w:color w:val="auto"/>
              </w:rPr>
              <w:t>74,675</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Options exercised</w:t>
            </w:r>
          </w:p>
        </w:tc>
        <w:tc>
          <w:tcPr>
            <w:tcW w:w="1140" w:type="dxa"/>
            <w:vAlign w:val="bottom"/>
          </w:tcPr>
          <w:p>
            <w:pPr>
              <w:jc w:val="right"/>
              <w:ind w:right="63"/>
              <w:spacing w:after="0" w:line="135" w:lineRule="exact"/>
              <w:rPr>
                <w:sz w:val="20"/>
                <w:szCs w:val="20"/>
                <w:color w:val="auto"/>
              </w:rPr>
            </w:pPr>
            <w:r>
              <w:rPr>
                <w:rFonts w:ascii="Arial" w:cs="Arial" w:eastAsia="Arial" w:hAnsi="Arial"/>
                <w:sz w:val="12"/>
                <w:szCs w:val="12"/>
                <w:color w:val="auto"/>
              </w:rPr>
              <w:t>92,785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1</w:t>
            </w:r>
          </w:p>
        </w:tc>
        <w:tc>
          <w:tcPr>
            <w:tcW w:w="116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204"/>
              <w:spacing w:after="0" w:line="135" w:lineRule="exact"/>
              <w:rPr>
                <w:sz w:val="20"/>
                <w:szCs w:val="20"/>
                <w:color w:val="auto"/>
              </w:rPr>
            </w:pPr>
            <w:r>
              <w:rPr>
                <w:rFonts w:ascii="Arial" w:cs="Arial" w:eastAsia="Arial" w:hAnsi="Arial"/>
                <w:sz w:val="12"/>
                <w:szCs w:val="12"/>
                <w:color w:val="auto"/>
              </w:rPr>
              <w:t>244</w:t>
            </w:r>
          </w:p>
        </w:tc>
        <w:tc>
          <w:tcPr>
            <w:tcW w:w="80" w:type="dxa"/>
            <w:vAlign w:val="bottom"/>
          </w:tcPr>
          <w:p>
            <w:pPr>
              <w:spacing w:after="0"/>
              <w:rPr>
                <w:sz w:val="11"/>
                <w:szCs w:val="11"/>
                <w:color w:val="auto"/>
              </w:rPr>
            </w:pPr>
          </w:p>
        </w:tc>
        <w:tc>
          <w:tcPr>
            <w:tcW w:w="1120" w:type="dxa"/>
            <w:vAlign w:val="bottom"/>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245</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Arial" w:cs="Arial" w:eastAsia="Arial" w:hAnsi="Arial"/>
                <w:sz w:val="12"/>
                <w:szCs w:val="12"/>
                <w:color w:val="auto"/>
              </w:rPr>
              <w:t>Stock-based compensation</w:t>
            </w:r>
          </w:p>
        </w:tc>
        <w:tc>
          <w:tcPr>
            <w:tcW w:w="1140" w:type="dxa"/>
            <w:vAlign w:val="bottom"/>
            <w:tcBorders>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jc w:val="right"/>
              <w:ind w:right="204"/>
              <w:spacing w:after="0" w:line="135" w:lineRule="exact"/>
              <w:rPr>
                <w:sz w:val="20"/>
                <w:szCs w:val="20"/>
                <w:color w:val="auto"/>
              </w:rPr>
            </w:pPr>
            <w:r>
              <w:rPr>
                <w:rFonts w:ascii="Arial" w:cs="Arial" w:eastAsia="Arial" w:hAnsi="Arial"/>
                <w:sz w:val="12"/>
                <w:szCs w:val="12"/>
                <w:color w:val="auto"/>
              </w:rPr>
              <w:t>1,149</w:t>
            </w: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jc w:val="right"/>
              <w:ind w:right="83"/>
              <w:spacing w:after="0" w:line="135" w:lineRule="exact"/>
              <w:rPr>
                <w:sz w:val="20"/>
                <w:szCs w:val="20"/>
                <w:color w:val="auto"/>
              </w:rPr>
            </w:pPr>
            <w:r>
              <w:rPr>
                <w:rFonts w:ascii="Arial" w:cs="Arial" w:eastAsia="Arial" w:hAnsi="Arial"/>
                <w:sz w:val="12"/>
                <w:szCs w:val="12"/>
                <w:color w:val="auto"/>
              </w:rPr>
              <w:t>1,149</w:t>
            </w:r>
          </w:p>
        </w:tc>
        <w:tc>
          <w:tcPr>
            <w:tcW w:w="0" w:type="dxa"/>
            <w:vAlign w:val="bottom"/>
          </w:tcPr>
          <w:p>
            <w:pPr>
              <w:spacing w:after="0"/>
              <w:rPr>
                <w:sz w:val="1"/>
                <w:szCs w:val="1"/>
                <w:color w:val="auto"/>
              </w:rPr>
            </w:pPr>
          </w:p>
        </w:tc>
      </w:tr>
      <w:tr>
        <w:trPr>
          <w:trHeight w:val="127"/>
        </w:trPr>
        <w:tc>
          <w:tcPr>
            <w:tcW w:w="2620" w:type="dxa"/>
            <w:vAlign w:val="bottom"/>
            <w:gridSpan w:val="2"/>
          </w:tcPr>
          <w:p>
            <w:pPr>
              <w:spacing w:after="0" w:line="128" w:lineRule="exact"/>
              <w:rPr>
                <w:sz w:val="20"/>
                <w:szCs w:val="20"/>
                <w:color w:val="auto"/>
              </w:rPr>
            </w:pPr>
            <w:r>
              <w:rPr>
                <w:rFonts w:ascii="Arial" w:cs="Arial" w:eastAsia="Arial" w:hAnsi="Arial"/>
                <w:sz w:val="12"/>
                <w:szCs w:val="12"/>
                <w:color w:val="auto"/>
              </w:rPr>
              <w:t>Change in fair value of</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ind w:left="100"/>
              <w:spacing w:after="0"/>
              <w:rPr>
                <w:sz w:val="20"/>
                <w:szCs w:val="20"/>
                <w:color w:val="auto"/>
              </w:rPr>
            </w:pPr>
            <w:r>
              <w:rPr>
                <w:rFonts w:ascii="Arial" w:cs="Arial" w:eastAsia="Arial" w:hAnsi="Arial"/>
                <w:sz w:val="12"/>
                <w:szCs w:val="12"/>
                <w:color w:val="auto"/>
              </w:rPr>
              <w:t>NC Ohio Trust Warrants</w:t>
            </w:r>
          </w:p>
        </w:tc>
        <w:tc>
          <w:tcPr>
            <w:tcW w:w="114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00" w:type="dxa"/>
            <w:vAlign w:val="bottom"/>
          </w:tcPr>
          <w:p>
            <w:pPr>
              <w:jc w:val="right"/>
              <w:ind w:right="144"/>
              <w:spacing w:after="0"/>
              <w:rPr>
                <w:sz w:val="20"/>
                <w:szCs w:val="20"/>
                <w:color w:val="auto"/>
              </w:rPr>
            </w:pPr>
            <w:r>
              <w:rPr>
                <w:rFonts w:ascii="Arial" w:cs="Arial" w:eastAsia="Arial" w:hAnsi="Arial"/>
                <w:sz w:val="12"/>
                <w:szCs w:val="12"/>
                <w:color w:val="auto"/>
              </w:rPr>
              <w:t>(99)</w:t>
            </w:r>
          </w:p>
        </w:tc>
        <w:tc>
          <w:tcPr>
            <w:tcW w:w="80" w:type="dxa"/>
            <w:vAlign w:val="bottom"/>
          </w:tcPr>
          <w:p>
            <w:pPr>
              <w:spacing w:after="0"/>
              <w:rPr>
                <w:sz w:val="12"/>
                <w:szCs w:val="12"/>
                <w:color w:val="auto"/>
              </w:rPr>
            </w:pPr>
          </w:p>
        </w:tc>
        <w:tc>
          <w:tcPr>
            <w:tcW w:w="112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20" w:type="dxa"/>
            <w:vAlign w:val="bottom"/>
          </w:tcPr>
          <w:p>
            <w:pPr>
              <w:jc w:val="right"/>
              <w:ind w:right="23"/>
              <w:spacing w:after="0"/>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27"/>
        </w:trPr>
        <w:tc>
          <w:tcPr>
            <w:tcW w:w="2620" w:type="dxa"/>
            <w:vAlign w:val="bottom"/>
            <w:gridSpan w:val="2"/>
            <w:shd w:val="clear" w:color="auto" w:fill="CFF0FC"/>
          </w:tcPr>
          <w:p>
            <w:pPr>
              <w:spacing w:after="0" w:line="128" w:lineRule="exact"/>
              <w:rPr>
                <w:sz w:val="20"/>
                <w:szCs w:val="20"/>
                <w:color w:val="auto"/>
              </w:rPr>
            </w:pPr>
            <w:r>
              <w:rPr>
                <w:rFonts w:ascii="Arial" w:cs="Arial" w:eastAsia="Arial" w:hAnsi="Arial"/>
                <w:sz w:val="12"/>
                <w:szCs w:val="12"/>
                <w:color w:val="auto"/>
              </w:rPr>
              <w:t>Sale of common stock through</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2"/>
                <w:szCs w:val="12"/>
                <w:color w:val="auto"/>
              </w:rPr>
              <w:t>at-the-market offerings,</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net of issuance costs</w:t>
            </w:r>
          </w:p>
        </w:tc>
        <w:tc>
          <w:tcPr>
            <w:tcW w:w="1140" w:type="dxa"/>
            <w:vAlign w:val="bottom"/>
            <w:tcBorders>
              <w:right w:val="single" w:sz="8" w:color="CFF0FC"/>
            </w:tcBorders>
            <w:shd w:val="clear" w:color="auto" w:fill="CFF0FC"/>
          </w:tcPr>
          <w:p>
            <w:pPr>
              <w:jc w:val="right"/>
              <w:ind w:right="63"/>
              <w:spacing w:after="0"/>
              <w:rPr>
                <w:sz w:val="20"/>
                <w:szCs w:val="20"/>
                <w:color w:val="auto"/>
              </w:rPr>
            </w:pPr>
            <w:r>
              <w:rPr>
                <w:rFonts w:ascii="Arial" w:cs="Arial" w:eastAsia="Arial" w:hAnsi="Arial"/>
                <w:sz w:val="12"/>
                <w:szCs w:val="12"/>
                <w:color w:val="auto"/>
              </w:rPr>
              <w:t>947,438</w:t>
            </w: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ind w:right="202"/>
              <w:spacing w:after="0"/>
              <w:rPr>
                <w:sz w:val="20"/>
                <w:szCs w:val="20"/>
                <w:color w:val="auto"/>
              </w:rPr>
            </w:pPr>
            <w:r>
              <w:rPr>
                <w:rFonts w:ascii="Arial" w:cs="Arial" w:eastAsia="Arial" w:hAnsi="Arial"/>
                <w:sz w:val="12"/>
                <w:szCs w:val="12"/>
                <w:color w:val="auto"/>
              </w:rPr>
              <w:t>9</w:t>
            </w:r>
          </w:p>
        </w:tc>
        <w:tc>
          <w:tcPr>
            <w:tcW w:w="1160" w:type="dxa"/>
            <w:vAlign w:val="bottom"/>
            <w:tcBorders>
              <w:right w:val="single" w:sz="8" w:color="CFF0FC"/>
            </w:tcBorders>
            <w:shd w:val="clear" w:color="auto" w:fill="CFF0FC"/>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left w:val="single" w:sz="8" w:color="CFF0FC"/>
            </w:tcBorders>
            <w:shd w:val="clear" w:color="auto" w:fill="CFF0FC"/>
          </w:tcPr>
          <w:p>
            <w:pPr>
              <w:spacing w:after="0"/>
              <w:rPr>
                <w:sz w:val="12"/>
                <w:szCs w:val="12"/>
                <w:color w:val="auto"/>
              </w:rPr>
            </w:pPr>
          </w:p>
        </w:tc>
        <w:tc>
          <w:tcPr>
            <w:tcW w:w="460" w:type="dxa"/>
            <w:vAlign w:val="bottom"/>
            <w:tcBorders>
              <w:right w:val="single" w:sz="8" w:color="CFF0FC"/>
            </w:tcBorders>
            <w:shd w:val="clear" w:color="auto" w:fill="CFF0FC"/>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jc w:val="right"/>
              <w:ind w:right="204"/>
              <w:spacing w:after="0"/>
              <w:rPr>
                <w:sz w:val="20"/>
                <w:szCs w:val="20"/>
                <w:color w:val="auto"/>
              </w:rPr>
            </w:pPr>
            <w:r>
              <w:rPr>
                <w:rFonts w:ascii="Arial" w:cs="Arial" w:eastAsia="Arial" w:hAnsi="Arial"/>
                <w:sz w:val="12"/>
                <w:szCs w:val="12"/>
                <w:color w:val="auto"/>
              </w:rPr>
              <w:t>4,646</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shd w:val="clear" w:color="auto" w:fill="CFF0FC"/>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120" w:type="dxa"/>
            <w:vAlign w:val="bottom"/>
            <w:shd w:val="clear" w:color="auto" w:fill="CFF0FC"/>
          </w:tcPr>
          <w:p>
            <w:pPr>
              <w:jc w:val="right"/>
              <w:ind w:right="83"/>
              <w:spacing w:after="0"/>
              <w:rPr>
                <w:sz w:val="20"/>
                <w:szCs w:val="20"/>
                <w:color w:val="auto"/>
              </w:rPr>
            </w:pPr>
            <w:r>
              <w:rPr>
                <w:rFonts w:ascii="Arial" w:cs="Arial" w:eastAsia="Arial" w:hAnsi="Arial"/>
                <w:sz w:val="12"/>
                <w:szCs w:val="12"/>
                <w:color w:val="auto"/>
              </w:rPr>
              <w:t>4,655</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Exercise of pre-funded warrants</w:t>
            </w:r>
          </w:p>
        </w:tc>
        <w:tc>
          <w:tcPr>
            <w:tcW w:w="1140" w:type="dxa"/>
            <w:vAlign w:val="bottom"/>
          </w:tcPr>
          <w:p>
            <w:pPr>
              <w:jc w:val="right"/>
              <w:ind w:right="63"/>
              <w:spacing w:after="0" w:line="135" w:lineRule="exact"/>
              <w:rPr>
                <w:sz w:val="20"/>
                <w:szCs w:val="20"/>
                <w:color w:val="auto"/>
              </w:rPr>
            </w:pPr>
            <w:r>
              <w:rPr>
                <w:rFonts w:ascii="Arial" w:cs="Arial" w:eastAsia="Arial" w:hAnsi="Arial"/>
                <w:sz w:val="12"/>
                <w:szCs w:val="12"/>
                <w:color w:val="auto"/>
              </w:rPr>
              <w:t>1,380,872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202"/>
              <w:spacing w:after="0" w:line="135" w:lineRule="exact"/>
              <w:rPr>
                <w:sz w:val="20"/>
                <w:szCs w:val="20"/>
                <w:color w:val="auto"/>
              </w:rPr>
            </w:pPr>
            <w:r>
              <w:rPr>
                <w:rFonts w:ascii="Arial" w:cs="Arial" w:eastAsia="Arial" w:hAnsi="Arial"/>
                <w:sz w:val="12"/>
                <w:szCs w:val="12"/>
                <w:color w:val="auto"/>
              </w:rPr>
              <w:t>14</w:t>
            </w:r>
          </w:p>
        </w:tc>
        <w:tc>
          <w:tcPr>
            <w:tcW w:w="116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144"/>
              <w:spacing w:after="0" w:line="135" w:lineRule="exact"/>
              <w:rPr>
                <w:sz w:val="20"/>
                <w:szCs w:val="20"/>
                <w:color w:val="auto"/>
              </w:rPr>
            </w:pPr>
            <w:r>
              <w:rPr>
                <w:rFonts w:ascii="Arial" w:cs="Arial" w:eastAsia="Arial" w:hAnsi="Arial"/>
                <w:sz w:val="12"/>
                <w:szCs w:val="12"/>
                <w:color w:val="auto"/>
              </w:rPr>
              <w:t>(14)</w:t>
            </w:r>
          </w:p>
        </w:tc>
        <w:tc>
          <w:tcPr>
            <w:tcW w:w="80" w:type="dxa"/>
            <w:vAlign w:val="bottom"/>
          </w:tcPr>
          <w:p>
            <w:pPr>
              <w:spacing w:after="0"/>
              <w:rPr>
                <w:sz w:val="11"/>
                <w:szCs w:val="11"/>
                <w:color w:val="auto"/>
              </w:rPr>
            </w:pPr>
          </w:p>
        </w:tc>
        <w:tc>
          <w:tcPr>
            <w:tcW w:w="1120" w:type="dxa"/>
            <w:vAlign w:val="bottom"/>
          </w:tcPr>
          <w:p>
            <w:pPr>
              <w:jc w:val="right"/>
              <w:ind w:right="18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620" w:type="dxa"/>
            <w:vAlign w:val="bottom"/>
            <w:gridSpan w:val="2"/>
            <w:shd w:val="clear" w:color="auto" w:fill="CFF0FC"/>
          </w:tcPr>
          <w:p>
            <w:pPr>
              <w:spacing w:after="0" w:line="128" w:lineRule="exact"/>
              <w:rPr>
                <w:sz w:val="20"/>
                <w:szCs w:val="20"/>
                <w:color w:val="auto"/>
              </w:rPr>
            </w:pPr>
            <w:r>
              <w:rPr>
                <w:rFonts w:ascii="Arial" w:cs="Arial" w:eastAsia="Arial" w:hAnsi="Arial"/>
                <w:sz w:val="12"/>
                <w:szCs w:val="12"/>
                <w:color w:val="auto"/>
              </w:rPr>
              <w:t>Issuance costs related to common stock</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2"/>
                <w:szCs w:val="12"/>
                <w:color w:val="auto"/>
              </w:rPr>
              <w:t>and accompanying pre-funded</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warrants in public offering</w:t>
            </w:r>
          </w:p>
        </w:tc>
        <w:tc>
          <w:tcPr>
            <w:tcW w:w="1140" w:type="dxa"/>
            <w:vAlign w:val="bottom"/>
            <w:tcBorders>
              <w:right w:val="single" w:sz="8" w:color="CFF0FC"/>
            </w:tcBorders>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ind w:right="202"/>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CFF0FC"/>
            </w:tcBorders>
            <w:shd w:val="clear" w:color="auto" w:fill="CFF0FC"/>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left w:val="single" w:sz="8" w:color="CFF0FC"/>
            </w:tcBorders>
            <w:shd w:val="clear" w:color="auto" w:fill="CFF0FC"/>
          </w:tcPr>
          <w:p>
            <w:pPr>
              <w:spacing w:after="0"/>
              <w:rPr>
                <w:sz w:val="12"/>
                <w:szCs w:val="12"/>
                <w:color w:val="auto"/>
              </w:rPr>
            </w:pPr>
          </w:p>
        </w:tc>
        <w:tc>
          <w:tcPr>
            <w:tcW w:w="460" w:type="dxa"/>
            <w:vAlign w:val="bottom"/>
            <w:tcBorders>
              <w:right w:val="single" w:sz="8" w:color="CFF0FC"/>
            </w:tcBorders>
            <w:shd w:val="clear" w:color="auto" w:fill="CFF0FC"/>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jc w:val="right"/>
              <w:ind w:right="204"/>
              <w:spacing w:after="0"/>
              <w:rPr>
                <w:sz w:val="20"/>
                <w:szCs w:val="20"/>
                <w:color w:val="auto"/>
              </w:rPr>
            </w:pPr>
            <w:r>
              <w:rPr>
                <w:rFonts w:ascii="Arial" w:cs="Arial" w:eastAsia="Arial" w:hAnsi="Arial"/>
                <w:sz w:val="12"/>
                <w:szCs w:val="12"/>
                <w:color w:val="auto"/>
              </w:rPr>
              <w:t>50</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shd w:val="clear" w:color="auto" w:fill="CFF0FC"/>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120" w:type="dxa"/>
            <w:vAlign w:val="bottom"/>
            <w:shd w:val="clear" w:color="auto" w:fill="CFF0FC"/>
          </w:tcPr>
          <w:p>
            <w:pPr>
              <w:jc w:val="right"/>
              <w:ind w:right="83"/>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27"/>
        </w:trPr>
        <w:tc>
          <w:tcPr>
            <w:tcW w:w="2620" w:type="dxa"/>
            <w:vAlign w:val="bottom"/>
            <w:gridSpan w:val="2"/>
          </w:tcPr>
          <w:p>
            <w:pPr>
              <w:spacing w:after="0" w:line="128" w:lineRule="exact"/>
              <w:rPr>
                <w:sz w:val="20"/>
                <w:szCs w:val="20"/>
                <w:color w:val="auto"/>
              </w:rPr>
            </w:pPr>
            <w:r>
              <w:rPr>
                <w:rFonts w:ascii="Arial" w:cs="Arial" w:eastAsia="Arial" w:hAnsi="Arial"/>
                <w:sz w:val="12"/>
                <w:szCs w:val="12"/>
                <w:color w:val="auto"/>
              </w:rPr>
              <w:t>Issuance of common stock</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in registered direct offering, net of</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ind w:left="100"/>
              <w:spacing w:after="0"/>
              <w:rPr>
                <w:sz w:val="20"/>
                <w:szCs w:val="20"/>
                <w:color w:val="auto"/>
              </w:rPr>
            </w:pPr>
            <w:r>
              <w:rPr>
                <w:rFonts w:ascii="Arial" w:cs="Arial" w:eastAsia="Arial" w:hAnsi="Arial"/>
                <w:sz w:val="12"/>
                <w:szCs w:val="12"/>
                <w:color w:val="auto"/>
              </w:rPr>
              <w:t>issuance costs of $0.7 million</w:t>
            </w:r>
          </w:p>
        </w:tc>
        <w:tc>
          <w:tcPr>
            <w:tcW w:w="1140" w:type="dxa"/>
            <w:vAlign w:val="bottom"/>
          </w:tcPr>
          <w:p>
            <w:pPr>
              <w:jc w:val="right"/>
              <w:ind w:right="63"/>
              <w:spacing w:after="0"/>
              <w:rPr>
                <w:sz w:val="20"/>
                <w:szCs w:val="20"/>
                <w:color w:val="auto"/>
              </w:rPr>
            </w:pPr>
            <w:r>
              <w:rPr>
                <w:rFonts w:ascii="Arial" w:cs="Arial" w:eastAsia="Arial" w:hAnsi="Arial"/>
                <w:sz w:val="12"/>
                <w:szCs w:val="12"/>
                <w:color w:val="auto"/>
              </w:rPr>
              <w:t>3,221,395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202"/>
              <w:spacing w:after="0"/>
              <w:rPr>
                <w:sz w:val="20"/>
                <w:szCs w:val="20"/>
                <w:color w:val="auto"/>
              </w:rPr>
            </w:pPr>
            <w:r>
              <w:rPr>
                <w:rFonts w:ascii="Arial" w:cs="Arial" w:eastAsia="Arial" w:hAnsi="Arial"/>
                <w:sz w:val="12"/>
                <w:szCs w:val="12"/>
                <w:color w:val="auto"/>
              </w:rPr>
              <w:t>32</w:t>
            </w:r>
          </w:p>
        </w:tc>
        <w:tc>
          <w:tcPr>
            <w:tcW w:w="116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ind w:right="16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00" w:type="dxa"/>
            <w:vAlign w:val="bottom"/>
          </w:tcPr>
          <w:p>
            <w:pPr>
              <w:jc w:val="right"/>
              <w:ind w:right="204"/>
              <w:spacing w:after="0"/>
              <w:rPr>
                <w:sz w:val="20"/>
                <w:szCs w:val="20"/>
                <w:color w:val="auto"/>
              </w:rPr>
            </w:pPr>
            <w:r>
              <w:rPr>
                <w:rFonts w:ascii="Arial" w:cs="Arial" w:eastAsia="Arial" w:hAnsi="Arial"/>
                <w:sz w:val="12"/>
                <w:szCs w:val="12"/>
                <w:color w:val="auto"/>
              </w:rPr>
              <w:t>14,299</w:t>
            </w:r>
          </w:p>
        </w:tc>
        <w:tc>
          <w:tcPr>
            <w:tcW w:w="80" w:type="dxa"/>
            <w:vAlign w:val="bottom"/>
          </w:tcPr>
          <w:p>
            <w:pPr>
              <w:spacing w:after="0"/>
              <w:rPr>
                <w:sz w:val="12"/>
                <w:szCs w:val="12"/>
                <w:color w:val="auto"/>
              </w:rPr>
            </w:pPr>
          </w:p>
        </w:tc>
        <w:tc>
          <w:tcPr>
            <w:tcW w:w="1120" w:type="dxa"/>
            <w:vAlign w:val="bottom"/>
          </w:tcPr>
          <w:p>
            <w:pPr>
              <w:jc w:val="right"/>
              <w:ind w:right="18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20" w:type="dxa"/>
            <w:vAlign w:val="bottom"/>
          </w:tcPr>
          <w:p>
            <w:pPr>
              <w:jc w:val="right"/>
              <w:ind w:right="83"/>
              <w:spacing w:after="0"/>
              <w:rPr>
                <w:sz w:val="20"/>
                <w:szCs w:val="20"/>
                <w:color w:val="auto"/>
              </w:rPr>
            </w:pPr>
            <w:r>
              <w:rPr>
                <w:rFonts w:ascii="Arial" w:cs="Arial" w:eastAsia="Arial" w:hAnsi="Arial"/>
                <w:sz w:val="12"/>
                <w:szCs w:val="12"/>
                <w:color w:val="auto"/>
              </w:rPr>
              <w:t>14,331</w:t>
            </w:r>
          </w:p>
        </w:tc>
        <w:tc>
          <w:tcPr>
            <w:tcW w:w="0" w:type="dxa"/>
            <w:vAlign w:val="bottom"/>
          </w:tcPr>
          <w:p>
            <w:pPr>
              <w:spacing w:after="0"/>
              <w:rPr>
                <w:sz w:val="1"/>
                <w:szCs w:val="1"/>
                <w:color w:val="auto"/>
              </w:rPr>
            </w:pPr>
          </w:p>
        </w:tc>
      </w:tr>
      <w:tr>
        <w:trPr>
          <w:trHeight w:val="135"/>
        </w:trPr>
        <w:tc>
          <w:tcPr>
            <w:tcW w:w="2620" w:type="dxa"/>
            <w:vAlign w:val="bottom"/>
            <w:tcBorders>
              <w:bottom w:val="single" w:sz="8" w:color="CFF0FC"/>
            </w:tcBorders>
            <w:gridSpan w:val="2"/>
            <w:shd w:val="clear" w:color="auto" w:fill="CFF0FC"/>
          </w:tcPr>
          <w:p>
            <w:pPr>
              <w:spacing w:after="0" w:line="135" w:lineRule="exact"/>
              <w:rPr>
                <w:sz w:val="20"/>
                <w:szCs w:val="20"/>
                <w:color w:val="auto"/>
              </w:rPr>
            </w:pPr>
            <w:r>
              <w:rPr>
                <w:rFonts w:ascii="Arial" w:cs="Arial" w:eastAsia="Arial" w:hAnsi="Arial"/>
                <w:sz w:val="12"/>
                <w:szCs w:val="12"/>
                <w:color w:val="auto"/>
              </w:rPr>
              <w:t>Net loss</w:t>
            </w:r>
          </w:p>
        </w:tc>
        <w:tc>
          <w:tcPr>
            <w:tcW w:w="1140" w:type="dxa"/>
            <w:vAlign w:val="bottom"/>
            <w:tcBorders>
              <w:bottom w:val="single" w:sz="8" w:color="auto"/>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FF0FC"/>
              <w:right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right w:val="single" w:sz="8" w:color="CFF0FC"/>
            </w:tcBorders>
            <w:shd w:val="clear" w:color="auto" w:fill="CFF0FC"/>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left w:val="single" w:sz="8" w:color="CFF0FC"/>
              <w:bottom w:val="single" w:sz="8" w:color="auto"/>
            </w:tcBorders>
            <w:shd w:val="clear" w:color="auto" w:fill="CFF0FC"/>
          </w:tcPr>
          <w:p>
            <w:pPr>
              <w:spacing w:after="0"/>
              <w:rPr>
                <w:sz w:val="11"/>
                <w:szCs w:val="11"/>
                <w:color w:val="auto"/>
              </w:rPr>
            </w:pPr>
          </w:p>
        </w:tc>
        <w:tc>
          <w:tcPr>
            <w:tcW w:w="460" w:type="dxa"/>
            <w:vAlign w:val="bottom"/>
            <w:tcBorders>
              <w:bottom w:val="single" w:sz="8" w:color="auto"/>
              <w:right w:val="single" w:sz="8" w:color="CFF0FC"/>
            </w:tcBorders>
            <w:shd w:val="clear" w:color="auto" w:fill="CFF0FC"/>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bottom w:val="single" w:sz="8" w:color="auto"/>
            </w:tcBorders>
            <w:shd w:val="clear" w:color="auto" w:fill="CFF0FC"/>
          </w:tcPr>
          <w:p>
            <w:pPr>
              <w:spacing w:after="0"/>
              <w:rPr>
                <w:sz w:val="11"/>
                <w:szCs w:val="11"/>
                <w:color w:val="auto"/>
              </w:rPr>
            </w:pPr>
          </w:p>
        </w:tc>
        <w:tc>
          <w:tcPr>
            <w:tcW w:w="1100" w:type="dxa"/>
            <w:vAlign w:val="bottom"/>
            <w:tcBorders>
              <w:bottom w:val="single" w:sz="8" w:color="auto"/>
              <w:right w:val="single" w:sz="8" w:color="CFF0FC"/>
            </w:tcBorders>
            <w:shd w:val="clear" w:color="auto" w:fill="CFF0FC"/>
          </w:tcPr>
          <w:p>
            <w:pPr>
              <w:jc w:val="right"/>
              <w:ind w:right="204"/>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right w:val="single" w:sz="8" w:color="CFF0FC"/>
            </w:tcBorders>
            <w:shd w:val="clear" w:color="auto" w:fill="CFF0FC"/>
          </w:tcPr>
          <w:p>
            <w:pPr>
              <w:jc w:val="right"/>
              <w:ind w:right="123"/>
              <w:spacing w:after="0" w:line="135" w:lineRule="exact"/>
              <w:rPr>
                <w:sz w:val="20"/>
                <w:szCs w:val="20"/>
                <w:color w:val="auto"/>
              </w:rPr>
            </w:pPr>
            <w:r>
              <w:rPr>
                <w:rFonts w:ascii="Arial" w:cs="Arial" w:eastAsia="Arial" w:hAnsi="Arial"/>
                <w:sz w:val="12"/>
                <w:szCs w:val="12"/>
                <w:color w:val="auto"/>
              </w:rPr>
              <w:t>(4,796)</w:t>
            </w:r>
          </w:p>
        </w:tc>
        <w:tc>
          <w:tcPr>
            <w:tcW w:w="120" w:type="dxa"/>
            <w:vAlign w:val="bottom"/>
            <w:tcBorders>
              <w:left w:val="single" w:sz="8" w:color="CFF0FC"/>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ind w:right="23"/>
              <w:spacing w:after="0" w:line="135" w:lineRule="exact"/>
              <w:rPr>
                <w:sz w:val="20"/>
                <w:szCs w:val="20"/>
                <w:color w:val="auto"/>
              </w:rPr>
            </w:pPr>
            <w:r>
              <w:rPr>
                <w:rFonts w:ascii="Arial" w:cs="Arial" w:eastAsia="Arial" w:hAnsi="Arial"/>
                <w:sz w:val="12"/>
                <w:szCs w:val="12"/>
                <w:color w:val="auto"/>
              </w:rPr>
              <w:t>(4,796)</w:t>
            </w:r>
          </w:p>
        </w:tc>
        <w:tc>
          <w:tcPr>
            <w:tcW w:w="0" w:type="dxa"/>
            <w:vAlign w:val="bottom"/>
          </w:tcPr>
          <w:p>
            <w:pPr>
              <w:spacing w:after="0"/>
              <w:rPr>
                <w:sz w:val="1"/>
                <w:szCs w:val="1"/>
                <w:color w:val="auto"/>
              </w:rPr>
            </w:pPr>
          </w:p>
        </w:tc>
      </w:tr>
      <w:tr>
        <w:trPr>
          <w:trHeight w:val="128"/>
        </w:trPr>
        <w:tc>
          <w:tcPr>
            <w:tcW w:w="2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Balance, June 30, 2025</w:t>
            </w:r>
          </w:p>
        </w:tc>
        <w:tc>
          <w:tcPr>
            <w:tcW w:w="1140" w:type="dxa"/>
            <w:vAlign w:val="bottom"/>
          </w:tcPr>
          <w:p>
            <w:pPr>
              <w:jc w:val="right"/>
              <w:ind w:right="63"/>
              <w:spacing w:after="0" w:line="129" w:lineRule="exact"/>
              <w:rPr>
                <w:sz w:val="20"/>
                <w:szCs w:val="20"/>
                <w:color w:val="auto"/>
              </w:rPr>
            </w:pPr>
            <w:r>
              <w:rPr>
                <w:rFonts w:ascii="Arial" w:cs="Arial" w:eastAsia="Arial" w:hAnsi="Arial"/>
                <w:sz w:val="12"/>
                <w:szCs w:val="12"/>
                <w:color w:val="auto"/>
              </w:rPr>
              <w:t>55,012,239</w:t>
            </w:r>
          </w:p>
        </w:tc>
        <w:tc>
          <w:tcPr>
            <w:tcW w:w="360" w:type="dxa"/>
            <w:vAlign w:val="bottom"/>
            <w:gridSpan w:val="2"/>
          </w:tcPr>
          <w:p>
            <w:pPr>
              <w:jc w:val="right"/>
              <w:ind w:right="145"/>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549</w:t>
            </w:r>
          </w:p>
        </w:tc>
        <w:tc>
          <w:tcPr>
            <w:tcW w:w="1160" w:type="dxa"/>
            <w:vAlign w:val="bottom"/>
          </w:tcPr>
          <w:p>
            <w:pPr>
              <w:jc w:val="right"/>
              <w:ind w:right="43"/>
              <w:spacing w:after="0" w:line="129" w:lineRule="exact"/>
              <w:rPr>
                <w:sz w:val="20"/>
                <w:szCs w:val="20"/>
                <w:color w:val="auto"/>
              </w:rPr>
            </w:pPr>
            <w:r>
              <w:rPr>
                <w:rFonts w:ascii="Arial" w:cs="Arial" w:eastAsia="Arial" w:hAnsi="Arial"/>
                <w:sz w:val="12"/>
                <w:szCs w:val="12"/>
                <w:color w:val="auto"/>
              </w:rPr>
              <w:t>(122,608)</w:t>
            </w:r>
          </w:p>
        </w:tc>
        <w:tc>
          <w:tcPr>
            <w:tcW w:w="840" w:type="dxa"/>
            <w:vAlign w:val="bottom"/>
            <w:gridSpan w:val="2"/>
          </w:tcPr>
          <w:p>
            <w:pPr>
              <w:jc w:val="right"/>
              <w:ind w:right="649"/>
              <w:spacing w:after="0" w:line="129"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122"/>
              <w:spacing w:after="0" w:line="129" w:lineRule="exact"/>
              <w:rPr>
                <w:sz w:val="20"/>
                <w:szCs w:val="20"/>
                <w:color w:val="auto"/>
              </w:rPr>
            </w:pPr>
            <w:r>
              <w:rPr>
                <w:rFonts w:ascii="Arial" w:cs="Arial" w:eastAsia="Arial" w:hAnsi="Arial"/>
                <w:sz w:val="12"/>
                <w:szCs w:val="12"/>
                <w:color w:val="auto"/>
                <w:w w:val="92"/>
              </w:rPr>
              <w:t>(448)</w:t>
            </w:r>
          </w:p>
        </w:tc>
        <w:tc>
          <w:tcPr>
            <w:tcW w:w="160" w:type="dxa"/>
            <w:vAlign w:val="bottom"/>
          </w:tcPr>
          <w:p>
            <w:pPr>
              <w:jc w:val="right"/>
              <w:ind w:right="47"/>
              <w:spacing w:after="0"/>
              <w:rPr>
                <w:sz w:val="20"/>
                <w:szCs w:val="20"/>
                <w:color w:val="auto"/>
              </w:rPr>
            </w:pPr>
            <w:r>
              <w:rPr>
                <w:rFonts w:ascii="Arial" w:cs="Arial" w:eastAsia="Arial" w:hAnsi="Arial"/>
                <w:sz w:val="9"/>
                <w:szCs w:val="9"/>
                <w:color w:val="auto"/>
                <w:w w:val="78"/>
              </w:rPr>
              <w:t>$</w:t>
            </w:r>
          </w:p>
        </w:tc>
        <w:tc>
          <w:tcPr>
            <w:tcW w:w="1100" w:type="dxa"/>
            <w:vAlign w:val="bottom"/>
          </w:tcPr>
          <w:p>
            <w:pPr>
              <w:jc w:val="right"/>
              <w:ind w:right="204"/>
              <w:spacing w:after="0" w:line="129" w:lineRule="exact"/>
              <w:rPr>
                <w:sz w:val="20"/>
                <w:szCs w:val="20"/>
                <w:color w:val="auto"/>
              </w:rPr>
            </w:pPr>
            <w:r>
              <w:rPr>
                <w:rFonts w:ascii="Arial" w:cs="Arial" w:eastAsia="Arial" w:hAnsi="Arial"/>
                <w:sz w:val="12"/>
                <w:szCs w:val="12"/>
                <w:color w:val="auto"/>
              </w:rPr>
              <w:t>279,731</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Pr>
          <w:p>
            <w:pPr>
              <w:jc w:val="right"/>
              <w:ind w:right="123"/>
              <w:spacing w:after="0" w:line="129" w:lineRule="exact"/>
              <w:rPr>
                <w:sz w:val="20"/>
                <w:szCs w:val="20"/>
                <w:color w:val="auto"/>
              </w:rPr>
            </w:pPr>
            <w:r>
              <w:rPr>
                <w:rFonts w:ascii="Arial" w:cs="Arial" w:eastAsia="Arial" w:hAnsi="Arial"/>
                <w:sz w:val="12"/>
                <w:szCs w:val="12"/>
                <w:color w:val="auto"/>
              </w:rPr>
              <w:t>(189,622)</w:t>
            </w:r>
          </w:p>
        </w:tc>
        <w:tc>
          <w:tcPr>
            <w:tcW w:w="120" w:type="dxa"/>
            <w:vAlign w:val="bottom"/>
          </w:tcPr>
          <w:p>
            <w:pPr>
              <w:jc w:val="right"/>
              <w:ind w:right="7"/>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ind w:right="83"/>
              <w:spacing w:after="0" w:line="129" w:lineRule="exact"/>
              <w:rPr>
                <w:sz w:val="20"/>
                <w:szCs w:val="20"/>
                <w:color w:val="auto"/>
              </w:rPr>
            </w:pPr>
            <w:r>
              <w:rPr>
                <w:rFonts w:ascii="Arial" w:cs="Arial" w:eastAsia="Arial" w:hAnsi="Arial"/>
                <w:sz w:val="12"/>
                <w:szCs w:val="12"/>
                <w:color w:val="auto"/>
              </w:rPr>
              <w:t>90,210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960" w:type="dxa"/>
            <w:vAlign w:val="bottom"/>
          </w:tcPr>
          <w:p>
            <w:pPr>
              <w:spacing w:after="0"/>
              <w:rPr>
                <w:sz w:val="21"/>
                <w:szCs w:val="21"/>
                <w:color w:val="auto"/>
              </w:rPr>
            </w:pPr>
          </w:p>
        </w:tc>
        <w:tc>
          <w:tcPr>
            <w:tcW w:w="2000" w:type="dxa"/>
            <w:vAlign w:val="bottom"/>
            <w:gridSpan w:val="3"/>
            <w:vMerge w:val="restart"/>
          </w:tcPr>
          <w:p>
            <w:pPr>
              <w:jc w:val="right"/>
              <w:ind w:right="349"/>
              <w:spacing w:after="0"/>
              <w:rPr>
                <w:sz w:val="20"/>
                <w:szCs w:val="20"/>
                <w:color w:val="auto"/>
              </w:rPr>
            </w:pPr>
            <w:r>
              <w:rPr>
                <w:rFonts w:ascii="Arial" w:cs="Arial" w:eastAsia="Arial" w:hAnsi="Arial"/>
                <w:sz w:val="10"/>
                <w:szCs w:val="10"/>
                <w:b w:val="1"/>
                <w:bCs w:val="1"/>
                <w:color w:val="auto"/>
              </w:rPr>
              <w:t>TREASURY STOCK</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284"/>
              <w:spacing w:after="0"/>
              <w:rPr>
                <w:sz w:val="20"/>
                <w:szCs w:val="20"/>
                <w:color w:val="auto"/>
              </w:rPr>
            </w:pPr>
            <w:r>
              <w:rPr>
                <w:rFonts w:ascii="Arial" w:cs="Arial" w:eastAsia="Arial" w:hAnsi="Arial"/>
                <w:sz w:val="10"/>
                <w:szCs w:val="10"/>
                <w:b w:val="1"/>
                <w:bCs w:val="1"/>
                <w:color w:val="auto"/>
                <w:w w:val="97"/>
              </w:rPr>
              <w:t>ADDITIONAL</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2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3"/>
            <w:vMerge w:val="continue"/>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3"/>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jc w:val="center"/>
              <w:ind w:right="284"/>
              <w:spacing w:after="0" w:line="113" w:lineRule="exact"/>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9"/>
                <w:szCs w:val="9"/>
                <w:color w:val="auto"/>
              </w:rPr>
            </w:pPr>
          </w:p>
        </w:tc>
        <w:tc>
          <w:tcPr>
            <w:tcW w:w="1120" w:type="dxa"/>
            <w:vAlign w:val="bottom"/>
          </w:tcPr>
          <w:p>
            <w:pPr>
              <w:jc w:val="center"/>
              <w:ind w:right="203"/>
              <w:spacing w:after="0" w:line="113"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9"/>
                <w:szCs w:val="9"/>
                <w:color w:val="auto"/>
              </w:rPr>
            </w:pPr>
          </w:p>
        </w:tc>
        <w:tc>
          <w:tcPr>
            <w:tcW w:w="1120" w:type="dxa"/>
            <w:vAlign w:val="bottom"/>
          </w:tcPr>
          <w:p>
            <w:pPr>
              <w:jc w:val="center"/>
              <w:ind w:right="143"/>
              <w:spacing w:after="0" w:line="113" w:lineRule="exact"/>
              <w:rPr>
                <w:sz w:val="20"/>
                <w:szCs w:val="20"/>
                <w:color w:val="auto"/>
              </w:rPr>
            </w:pPr>
            <w:r>
              <w:rPr>
                <w:rFonts w:ascii="Arial" w:cs="Arial" w:eastAsia="Arial" w:hAnsi="Arial"/>
                <w:sz w:val="10"/>
                <w:szCs w:val="10"/>
                <w:b w:val="1"/>
                <w:bCs w:val="1"/>
                <w:color w:val="auto"/>
                <w:w w:val="96"/>
              </w:rPr>
              <w:t>STOCKHOLDERS’</w:t>
            </w:r>
          </w:p>
        </w:tc>
        <w:tc>
          <w:tcPr>
            <w:tcW w:w="0" w:type="dxa"/>
            <w:vAlign w:val="bottom"/>
          </w:tcPr>
          <w:p>
            <w:pPr>
              <w:spacing w:after="0"/>
              <w:rPr>
                <w:sz w:val="1"/>
                <w:szCs w:val="1"/>
                <w:color w:val="auto"/>
              </w:rPr>
            </w:pPr>
          </w:p>
        </w:tc>
      </w:tr>
      <w:tr>
        <w:trPr>
          <w:trHeight w:val="115"/>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ind w:right="423"/>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jc w:val="right"/>
              <w:ind w:right="462"/>
              <w:spacing w:after="0"/>
              <w:rPr>
                <w:sz w:val="20"/>
                <w:szCs w:val="20"/>
                <w:color w:val="auto"/>
              </w:rPr>
            </w:pPr>
            <w:r>
              <w:rPr>
                <w:rFonts w:ascii="Arial" w:cs="Arial" w:eastAsia="Arial" w:hAnsi="Arial"/>
                <w:sz w:val="10"/>
                <w:szCs w:val="10"/>
                <w:b w:val="1"/>
                <w:bCs w:val="1"/>
                <w:color w:val="auto"/>
                <w:w w:val="95"/>
              </w:rPr>
              <w:t>AMOUNT</w:t>
            </w:r>
          </w:p>
        </w:tc>
        <w:tc>
          <w:tcPr>
            <w:tcW w:w="1160" w:type="dxa"/>
            <w:vAlign w:val="bottom"/>
          </w:tcPr>
          <w:p>
            <w:pPr>
              <w:jc w:val="right"/>
              <w:ind w:right="363"/>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AMOUNT</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284"/>
              <w:spacing w:after="0"/>
              <w:rPr>
                <w:sz w:val="20"/>
                <w:szCs w:val="20"/>
                <w:color w:val="auto"/>
              </w:rPr>
            </w:pPr>
            <w:r>
              <w:rPr>
                <w:rFonts w:ascii="Arial" w:cs="Arial" w:eastAsia="Arial" w:hAnsi="Arial"/>
                <w:sz w:val="10"/>
                <w:szCs w:val="10"/>
                <w:b w:val="1"/>
                <w:bCs w:val="1"/>
                <w:color w:val="auto"/>
              </w:rPr>
              <w:t>CAPITAL</w:t>
            </w:r>
          </w:p>
        </w:tc>
        <w:tc>
          <w:tcPr>
            <w:tcW w:w="80" w:type="dxa"/>
            <w:vAlign w:val="bottom"/>
          </w:tcPr>
          <w:p>
            <w:pPr>
              <w:spacing w:after="0"/>
              <w:rPr>
                <w:sz w:val="10"/>
                <w:szCs w:val="10"/>
                <w:color w:val="auto"/>
              </w:rPr>
            </w:pPr>
          </w:p>
        </w:tc>
        <w:tc>
          <w:tcPr>
            <w:tcW w:w="1120" w:type="dxa"/>
            <w:vAlign w:val="bottom"/>
          </w:tcPr>
          <w:p>
            <w:pPr>
              <w:jc w:val="center"/>
              <w:ind w:right="203"/>
              <w:spacing w:after="0"/>
              <w:rPr>
                <w:sz w:val="20"/>
                <w:szCs w:val="20"/>
                <w:color w:val="auto"/>
              </w:rPr>
            </w:pPr>
            <w:r>
              <w:rPr>
                <w:rFonts w:ascii="Arial" w:cs="Arial" w:eastAsia="Arial" w:hAnsi="Arial"/>
                <w:sz w:val="10"/>
                <w:szCs w:val="10"/>
                <w:b w:val="1"/>
                <w:bCs w:val="1"/>
                <w:color w:val="auto"/>
                <w:w w:val="97"/>
              </w:rPr>
              <w:t>DEFICIT</w:t>
            </w:r>
          </w:p>
        </w:tc>
        <w:tc>
          <w:tcPr>
            <w:tcW w:w="120" w:type="dxa"/>
            <w:vAlign w:val="bottom"/>
          </w:tcPr>
          <w:p>
            <w:pPr>
              <w:spacing w:after="0"/>
              <w:rPr>
                <w:sz w:val="10"/>
                <w:szCs w:val="10"/>
                <w:color w:val="auto"/>
              </w:rPr>
            </w:pPr>
          </w:p>
        </w:tc>
        <w:tc>
          <w:tcPr>
            <w:tcW w:w="1120" w:type="dxa"/>
            <w:vAlign w:val="bottom"/>
          </w:tcPr>
          <w:p>
            <w:pPr>
              <w:jc w:val="center"/>
              <w:ind w:right="143"/>
              <w:spacing w:after="0"/>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129"/>
        </w:trPr>
        <w:tc>
          <w:tcPr>
            <w:tcW w:w="2540" w:type="dxa"/>
            <w:vAlign w:val="bottom"/>
          </w:tcPr>
          <w:p>
            <w:pPr>
              <w:spacing w:after="0" w:line="129" w:lineRule="exact"/>
              <w:rPr>
                <w:sz w:val="20"/>
                <w:szCs w:val="20"/>
                <w:color w:val="auto"/>
              </w:rPr>
            </w:pPr>
            <w:r>
              <w:rPr>
                <w:rFonts w:ascii="Arial" w:cs="Arial" w:eastAsia="Arial" w:hAnsi="Arial"/>
                <w:sz w:val="12"/>
                <w:szCs w:val="12"/>
                <w:b w:val="1"/>
                <w:bCs w:val="1"/>
                <w:color w:val="auto"/>
              </w:rPr>
              <w:t>Balance, December 31, 2023</w:t>
            </w: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03"/>
              <w:spacing w:after="0" w:line="129" w:lineRule="exact"/>
              <w:rPr>
                <w:sz w:val="20"/>
                <w:szCs w:val="20"/>
                <w:color w:val="auto"/>
              </w:rPr>
            </w:pPr>
            <w:r>
              <w:rPr>
                <w:rFonts w:ascii="Arial" w:cs="Arial" w:eastAsia="Arial" w:hAnsi="Arial"/>
                <w:sz w:val="12"/>
                <w:szCs w:val="12"/>
                <w:color w:val="auto"/>
              </w:rPr>
              <w:t>29,213,627</w:t>
            </w:r>
          </w:p>
        </w:tc>
        <w:tc>
          <w:tcPr>
            <w:tcW w:w="120" w:type="dxa"/>
            <w:vAlign w:val="bottom"/>
          </w:tcPr>
          <w:p>
            <w:pPr>
              <w:spacing w:after="0"/>
              <w:rPr>
                <w:sz w:val="11"/>
                <w:szCs w:val="11"/>
                <w:color w:val="auto"/>
              </w:rPr>
            </w:pPr>
          </w:p>
        </w:tc>
        <w:tc>
          <w:tcPr>
            <w:tcW w:w="240" w:type="dxa"/>
            <w:vAlign w:val="bottom"/>
            <w:tcBorders>
              <w:top w:val="single" w:sz="8" w:color="auto"/>
            </w:tcBorders>
          </w:tcPr>
          <w:p>
            <w:pPr>
              <w:jc w:val="right"/>
              <w:ind w:right="165"/>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tcBorders>
          </w:tcPr>
          <w:p>
            <w:pPr>
              <w:jc w:val="right"/>
              <w:ind w:right="182"/>
              <w:spacing w:after="0" w:line="129" w:lineRule="exact"/>
              <w:rPr>
                <w:sz w:val="20"/>
                <w:szCs w:val="20"/>
                <w:color w:val="auto"/>
              </w:rPr>
            </w:pPr>
            <w:r>
              <w:rPr>
                <w:rFonts w:ascii="Arial" w:cs="Arial" w:eastAsia="Arial" w:hAnsi="Arial"/>
                <w:sz w:val="12"/>
                <w:szCs w:val="12"/>
                <w:color w:val="auto"/>
              </w:rPr>
              <w:t>290</w:t>
            </w:r>
          </w:p>
        </w:tc>
        <w:tc>
          <w:tcPr>
            <w:tcW w:w="1160" w:type="dxa"/>
            <w:vAlign w:val="bottom"/>
            <w:tcBorders>
              <w:top w:val="single" w:sz="8" w:color="auto"/>
            </w:tcBorders>
          </w:tcPr>
          <w:p>
            <w:pPr>
              <w:jc w:val="right"/>
              <w:ind w:right="3"/>
              <w:spacing w:after="0" w:line="129" w:lineRule="exact"/>
              <w:rPr>
                <w:sz w:val="20"/>
                <w:szCs w:val="20"/>
                <w:color w:val="auto"/>
              </w:rPr>
            </w:pPr>
            <w:r>
              <w:rPr>
                <w:rFonts w:ascii="Arial" w:cs="Arial" w:eastAsia="Arial" w:hAnsi="Arial"/>
                <w:sz w:val="12"/>
                <w:szCs w:val="12"/>
                <w:color w:val="auto"/>
              </w:rPr>
              <w:t>(122,608)</w:t>
            </w:r>
          </w:p>
        </w:tc>
        <w:tc>
          <w:tcPr>
            <w:tcW w:w="80" w:type="dxa"/>
            <w:vAlign w:val="bottom"/>
          </w:tcPr>
          <w:p>
            <w:pPr>
              <w:spacing w:after="0"/>
              <w:rPr>
                <w:sz w:val="11"/>
                <w:szCs w:val="11"/>
                <w:color w:val="auto"/>
              </w:rPr>
            </w:pPr>
          </w:p>
        </w:tc>
        <w:tc>
          <w:tcPr>
            <w:tcW w:w="760" w:type="dxa"/>
            <w:vAlign w:val="bottom"/>
            <w:tcBorders>
              <w:top w:val="single" w:sz="8" w:color="auto"/>
            </w:tcBorders>
          </w:tcPr>
          <w:p>
            <w:pPr>
              <w:jc w:val="right"/>
              <w:ind w:right="609"/>
              <w:spacing w:after="0" w:line="129"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2"/>
                <w:szCs w:val="12"/>
                <w:color w:val="auto"/>
              </w:rPr>
              <w:t>(448)</w:t>
            </w:r>
          </w:p>
        </w:tc>
        <w:tc>
          <w:tcPr>
            <w:tcW w:w="160" w:type="dxa"/>
            <w:vAlign w:val="bottom"/>
            <w:tcBorders>
              <w:top w:val="single" w:sz="8" w:color="auto"/>
            </w:tcBorders>
          </w:tcPr>
          <w:p>
            <w:pPr>
              <w:jc w:val="right"/>
              <w:ind w:right="7"/>
              <w:spacing w:after="0" w:line="129" w:lineRule="exact"/>
              <w:rPr>
                <w:sz w:val="20"/>
                <w:szCs w:val="20"/>
                <w:color w:val="auto"/>
              </w:rPr>
            </w:pPr>
            <w:r>
              <w:rPr>
                <w:rFonts w:ascii="Arial" w:cs="Arial" w:eastAsia="Arial" w:hAnsi="Arial"/>
                <w:sz w:val="12"/>
                <w:szCs w:val="12"/>
                <w:color w:val="auto"/>
              </w:rPr>
              <w:t>$</w:t>
            </w:r>
          </w:p>
        </w:tc>
        <w:tc>
          <w:tcPr>
            <w:tcW w:w="1100" w:type="dxa"/>
            <w:vAlign w:val="bottom"/>
            <w:tcBorders>
              <w:top w:val="single" w:sz="8" w:color="auto"/>
            </w:tcBorders>
          </w:tcPr>
          <w:p>
            <w:pPr>
              <w:jc w:val="right"/>
              <w:ind w:right="164"/>
              <w:spacing w:after="0" w:line="129" w:lineRule="exact"/>
              <w:rPr>
                <w:sz w:val="20"/>
                <w:szCs w:val="20"/>
                <w:color w:val="auto"/>
              </w:rPr>
            </w:pPr>
            <w:r>
              <w:rPr>
                <w:rFonts w:ascii="Arial" w:cs="Arial" w:eastAsia="Arial" w:hAnsi="Arial"/>
                <w:sz w:val="12"/>
                <w:szCs w:val="12"/>
                <w:color w:val="auto"/>
              </w:rPr>
              <w:t>149,931</w:t>
            </w:r>
          </w:p>
        </w:tc>
        <w:tc>
          <w:tcPr>
            <w:tcW w:w="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tcPr>
          <w:p>
            <w:pPr>
              <w:jc w:val="right"/>
              <w:ind w:right="83"/>
              <w:spacing w:after="0" w:line="129" w:lineRule="exact"/>
              <w:rPr>
                <w:sz w:val="20"/>
                <w:szCs w:val="20"/>
                <w:color w:val="auto"/>
              </w:rPr>
            </w:pPr>
            <w:r>
              <w:rPr>
                <w:rFonts w:ascii="Arial" w:cs="Arial" w:eastAsia="Arial" w:hAnsi="Arial"/>
                <w:sz w:val="12"/>
                <w:szCs w:val="12"/>
                <w:color w:val="auto"/>
              </w:rPr>
              <w:t>(137,028)</w:t>
            </w:r>
          </w:p>
        </w:tc>
        <w:tc>
          <w:tcPr>
            <w:tcW w:w="1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tcPr>
          <w:p>
            <w:pPr>
              <w:jc w:val="right"/>
              <w:ind w:right="63"/>
              <w:spacing w:after="0" w:line="129" w:lineRule="exact"/>
              <w:rPr>
                <w:sz w:val="20"/>
                <w:szCs w:val="20"/>
                <w:color w:val="auto"/>
              </w:rPr>
            </w:pPr>
            <w:r>
              <w:rPr>
                <w:rFonts w:ascii="Arial" w:cs="Arial" w:eastAsia="Arial" w:hAnsi="Arial"/>
                <w:sz w:val="12"/>
                <w:szCs w:val="12"/>
                <w:color w:val="auto"/>
              </w:rPr>
              <w:t>12,745</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Arial" w:cs="Arial" w:eastAsia="Arial" w:hAnsi="Arial"/>
                <w:sz w:val="12"/>
                <w:szCs w:val="12"/>
                <w:color w:val="auto"/>
              </w:rPr>
              <w:t>Options exercised</w:t>
            </w:r>
          </w:p>
        </w:tc>
        <w:tc>
          <w:tcPr>
            <w:tcW w:w="1140" w:type="dxa"/>
            <w:vAlign w:val="bottom"/>
            <w:tcBorders>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684,873</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jc w:val="right"/>
              <w:ind w:right="182"/>
              <w:spacing w:after="0" w:line="135" w:lineRule="exact"/>
              <w:rPr>
                <w:sz w:val="20"/>
                <w:szCs w:val="20"/>
                <w:color w:val="auto"/>
              </w:rPr>
            </w:pPr>
            <w:r>
              <w:rPr>
                <w:rFonts w:ascii="Arial" w:cs="Arial" w:eastAsia="Arial" w:hAnsi="Arial"/>
                <w:sz w:val="12"/>
                <w:szCs w:val="12"/>
                <w:color w:val="auto"/>
              </w:rPr>
              <w:t>7</w:t>
            </w:r>
          </w:p>
        </w:tc>
        <w:tc>
          <w:tcPr>
            <w:tcW w:w="1160" w:type="dxa"/>
            <w:vAlign w:val="bottom"/>
            <w:tcBorders>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jc w:val="right"/>
              <w:ind w:right="164"/>
              <w:spacing w:after="0" w:line="135" w:lineRule="exact"/>
              <w:rPr>
                <w:sz w:val="20"/>
                <w:szCs w:val="20"/>
                <w:color w:val="auto"/>
              </w:rPr>
            </w:pPr>
            <w:r>
              <w:rPr>
                <w:rFonts w:ascii="Arial" w:cs="Arial" w:eastAsia="Arial" w:hAnsi="Arial"/>
                <w:sz w:val="12"/>
                <w:szCs w:val="12"/>
                <w:color w:val="auto"/>
              </w:rPr>
              <w:t>1,209</w:t>
            </w: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jc w:val="right"/>
              <w:ind w:right="14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1,216</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Stock-based compensation</w:t>
            </w:r>
          </w:p>
        </w:tc>
        <w:tc>
          <w:tcPr>
            <w:tcW w:w="114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164"/>
              <w:spacing w:after="0" w:line="135" w:lineRule="exact"/>
              <w:rPr>
                <w:sz w:val="20"/>
                <w:szCs w:val="20"/>
                <w:color w:val="auto"/>
              </w:rPr>
            </w:pPr>
            <w:r>
              <w:rPr>
                <w:rFonts w:ascii="Arial" w:cs="Arial" w:eastAsia="Arial" w:hAnsi="Arial"/>
                <w:sz w:val="12"/>
                <w:szCs w:val="12"/>
                <w:color w:val="auto"/>
              </w:rPr>
              <w:t>2,138</w:t>
            </w:r>
          </w:p>
        </w:tc>
        <w:tc>
          <w:tcPr>
            <w:tcW w:w="80" w:type="dxa"/>
            <w:vAlign w:val="bottom"/>
          </w:tcPr>
          <w:p>
            <w:pPr>
              <w:spacing w:after="0"/>
              <w:rPr>
                <w:sz w:val="11"/>
                <w:szCs w:val="11"/>
                <w:color w:val="auto"/>
              </w:rPr>
            </w:pPr>
          </w:p>
        </w:tc>
        <w:tc>
          <w:tcPr>
            <w:tcW w:w="1120" w:type="dxa"/>
            <w:vAlign w:val="bottom"/>
          </w:tcPr>
          <w:p>
            <w:pPr>
              <w:jc w:val="right"/>
              <w:ind w:right="14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63"/>
              <w:spacing w:after="0" w:line="135" w:lineRule="exact"/>
              <w:rPr>
                <w:sz w:val="20"/>
                <w:szCs w:val="20"/>
                <w:color w:val="auto"/>
              </w:rPr>
            </w:pPr>
            <w:r>
              <w:rPr>
                <w:rFonts w:ascii="Arial" w:cs="Arial" w:eastAsia="Arial" w:hAnsi="Arial"/>
                <w:sz w:val="12"/>
                <w:szCs w:val="12"/>
                <w:color w:val="auto"/>
              </w:rPr>
              <w:t>2,138</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Arial" w:cs="Arial" w:eastAsia="Arial" w:hAnsi="Arial"/>
                <w:sz w:val="12"/>
                <w:szCs w:val="12"/>
                <w:color w:val="auto"/>
              </w:rPr>
              <w:t>Restricted stock unit vesting</w:t>
            </w:r>
          </w:p>
        </w:tc>
        <w:tc>
          <w:tcPr>
            <w:tcW w:w="1140" w:type="dxa"/>
            <w:vAlign w:val="bottom"/>
            <w:tcBorders>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703,427</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jc w:val="right"/>
              <w:ind w:right="164"/>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jc w:val="right"/>
              <w:ind w:right="14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620" w:type="dxa"/>
            <w:vAlign w:val="bottom"/>
            <w:gridSpan w:val="2"/>
          </w:tcPr>
          <w:p>
            <w:pPr>
              <w:spacing w:after="0" w:line="128" w:lineRule="exact"/>
              <w:rPr>
                <w:sz w:val="20"/>
                <w:szCs w:val="20"/>
                <w:color w:val="auto"/>
              </w:rPr>
            </w:pPr>
            <w:r>
              <w:rPr>
                <w:rFonts w:ascii="Arial" w:cs="Arial" w:eastAsia="Arial" w:hAnsi="Arial"/>
                <w:sz w:val="12"/>
                <w:szCs w:val="12"/>
                <w:color w:val="auto"/>
              </w:rPr>
              <w:t>Change in fair value of</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ind w:left="100"/>
              <w:spacing w:after="0"/>
              <w:rPr>
                <w:sz w:val="20"/>
                <w:szCs w:val="20"/>
                <w:color w:val="auto"/>
              </w:rPr>
            </w:pPr>
            <w:r>
              <w:rPr>
                <w:rFonts w:ascii="Arial" w:cs="Arial" w:eastAsia="Arial" w:hAnsi="Arial"/>
                <w:sz w:val="12"/>
                <w:szCs w:val="12"/>
                <w:color w:val="auto"/>
              </w:rPr>
              <w:t>NC Ohio Trust Warrants</w:t>
            </w:r>
          </w:p>
        </w:tc>
        <w:tc>
          <w:tcPr>
            <w:tcW w:w="1140" w:type="dxa"/>
            <w:vAlign w:val="bottom"/>
          </w:tcPr>
          <w:p>
            <w:pPr>
              <w:jc w:val="right"/>
              <w:ind w:right="10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00" w:type="dxa"/>
            <w:vAlign w:val="bottom"/>
          </w:tcPr>
          <w:p>
            <w:pPr>
              <w:jc w:val="right"/>
              <w:ind w:right="164"/>
              <w:spacing w:after="0"/>
              <w:rPr>
                <w:sz w:val="20"/>
                <w:szCs w:val="20"/>
                <w:color w:val="auto"/>
              </w:rPr>
            </w:pPr>
            <w:r>
              <w:rPr>
                <w:rFonts w:ascii="Arial" w:cs="Arial" w:eastAsia="Arial" w:hAnsi="Arial"/>
                <w:sz w:val="12"/>
                <w:szCs w:val="12"/>
                <w:color w:val="auto"/>
              </w:rPr>
              <w:t>746</w:t>
            </w:r>
          </w:p>
        </w:tc>
        <w:tc>
          <w:tcPr>
            <w:tcW w:w="80" w:type="dxa"/>
            <w:vAlign w:val="bottom"/>
          </w:tcPr>
          <w:p>
            <w:pPr>
              <w:spacing w:after="0"/>
              <w:rPr>
                <w:sz w:val="12"/>
                <w:szCs w:val="12"/>
                <w:color w:val="auto"/>
              </w:rPr>
            </w:pPr>
          </w:p>
        </w:tc>
        <w:tc>
          <w:tcPr>
            <w:tcW w:w="1120" w:type="dxa"/>
            <w:vAlign w:val="bottom"/>
          </w:tcPr>
          <w:p>
            <w:pPr>
              <w:jc w:val="right"/>
              <w:ind w:right="1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20" w:type="dxa"/>
            <w:vAlign w:val="bottom"/>
          </w:tcPr>
          <w:p>
            <w:pPr>
              <w:jc w:val="right"/>
              <w:ind w:right="63"/>
              <w:spacing w:after="0"/>
              <w:rPr>
                <w:sz w:val="20"/>
                <w:szCs w:val="20"/>
                <w:color w:val="auto"/>
              </w:rPr>
            </w:pPr>
            <w:r>
              <w:rPr>
                <w:rFonts w:ascii="Arial" w:cs="Arial" w:eastAsia="Arial" w:hAnsi="Arial"/>
                <w:sz w:val="12"/>
                <w:szCs w:val="12"/>
                <w:color w:val="auto"/>
              </w:rPr>
              <w:t>746</w:t>
            </w:r>
          </w:p>
        </w:tc>
        <w:tc>
          <w:tcPr>
            <w:tcW w:w="0" w:type="dxa"/>
            <w:vAlign w:val="bottom"/>
          </w:tcPr>
          <w:p>
            <w:pPr>
              <w:spacing w:after="0"/>
              <w:rPr>
                <w:sz w:val="1"/>
                <w:szCs w:val="1"/>
                <w:color w:val="auto"/>
              </w:rPr>
            </w:pPr>
          </w:p>
        </w:tc>
      </w:tr>
      <w:tr>
        <w:trPr>
          <w:trHeight w:val="127"/>
        </w:trPr>
        <w:tc>
          <w:tcPr>
            <w:tcW w:w="2620" w:type="dxa"/>
            <w:vAlign w:val="bottom"/>
            <w:gridSpan w:val="2"/>
            <w:shd w:val="clear" w:color="auto" w:fill="CFF0FC"/>
          </w:tcPr>
          <w:p>
            <w:pPr>
              <w:spacing w:after="0" w:line="128" w:lineRule="exact"/>
              <w:rPr>
                <w:sz w:val="20"/>
                <w:szCs w:val="20"/>
                <w:color w:val="auto"/>
              </w:rPr>
            </w:pPr>
            <w:r>
              <w:rPr>
                <w:rFonts w:ascii="Arial" w:cs="Arial" w:eastAsia="Arial" w:hAnsi="Arial"/>
                <w:sz w:val="12"/>
                <w:szCs w:val="12"/>
                <w:color w:val="auto"/>
              </w:rPr>
              <w:t>Sale of common stock through</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2"/>
                <w:szCs w:val="12"/>
                <w:color w:val="auto"/>
              </w:rPr>
              <w:t>at-the-market offerings,</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net of issuance costs</w:t>
            </w:r>
          </w:p>
        </w:tc>
        <w:tc>
          <w:tcPr>
            <w:tcW w:w="1140" w:type="dxa"/>
            <w:vAlign w:val="bottom"/>
            <w:tcBorders>
              <w:right w:val="single" w:sz="8" w:color="CFF0FC"/>
            </w:tcBorders>
            <w:shd w:val="clear" w:color="auto" w:fill="CFF0FC"/>
          </w:tcPr>
          <w:p>
            <w:pPr>
              <w:jc w:val="right"/>
              <w:ind w:right="103"/>
              <w:spacing w:after="0"/>
              <w:rPr>
                <w:sz w:val="20"/>
                <w:szCs w:val="20"/>
                <w:color w:val="auto"/>
              </w:rPr>
            </w:pPr>
            <w:r>
              <w:rPr>
                <w:rFonts w:ascii="Arial" w:cs="Arial" w:eastAsia="Arial" w:hAnsi="Arial"/>
                <w:sz w:val="12"/>
                <w:szCs w:val="12"/>
                <w:color w:val="auto"/>
              </w:rPr>
              <w:t>584,890</w:t>
            </w: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ind w:right="182"/>
              <w:spacing w:after="0"/>
              <w:rPr>
                <w:sz w:val="20"/>
                <w:szCs w:val="20"/>
                <w:color w:val="auto"/>
              </w:rPr>
            </w:pPr>
            <w:r>
              <w:rPr>
                <w:rFonts w:ascii="Arial" w:cs="Arial" w:eastAsia="Arial" w:hAnsi="Arial"/>
                <w:sz w:val="12"/>
                <w:szCs w:val="12"/>
                <w:color w:val="auto"/>
              </w:rPr>
              <w:t>6</w:t>
            </w:r>
          </w:p>
        </w:tc>
        <w:tc>
          <w:tcPr>
            <w:tcW w:w="1160" w:type="dxa"/>
            <w:vAlign w:val="bottom"/>
            <w:tcBorders>
              <w:right w:val="single" w:sz="8" w:color="CFF0FC"/>
            </w:tcBorders>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left w:val="single" w:sz="8" w:color="CFF0FC"/>
            </w:tcBorders>
            <w:shd w:val="clear" w:color="auto" w:fill="CFF0FC"/>
          </w:tcPr>
          <w:p>
            <w:pPr>
              <w:spacing w:after="0"/>
              <w:rPr>
                <w:sz w:val="12"/>
                <w:szCs w:val="12"/>
                <w:color w:val="auto"/>
              </w:rPr>
            </w:pPr>
          </w:p>
        </w:tc>
        <w:tc>
          <w:tcPr>
            <w:tcW w:w="460" w:type="dxa"/>
            <w:vAlign w:val="bottom"/>
            <w:tcBorders>
              <w:right w:val="single" w:sz="8" w:color="CFF0FC"/>
            </w:tcBorders>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jc w:val="right"/>
              <w:ind w:right="164"/>
              <w:spacing w:after="0"/>
              <w:rPr>
                <w:sz w:val="20"/>
                <w:szCs w:val="20"/>
                <w:color w:val="auto"/>
              </w:rPr>
            </w:pPr>
            <w:r>
              <w:rPr>
                <w:rFonts w:ascii="Arial" w:cs="Arial" w:eastAsia="Arial" w:hAnsi="Arial"/>
                <w:sz w:val="12"/>
                <w:szCs w:val="12"/>
                <w:color w:val="auto"/>
              </w:rPr>
              <w:t>3,635</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shd w:val="clear" w:color="auto" w:fill="CFF0FC"/>
          </w:tcPr>
          <w:p>
            <w:pPr>
              <w:jc w:val="right"/>
              <w:ind w:right="143"/>
              <w:spacing w:after="0"/>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12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3,641</w:t>
            </w:r>
          </w:p>
        </w:tc>
        <w:tc>
          <w:tcPr>
            <w:tcW w:w="0" w:type="dxa"/>
            <w:vAlign w:val="bottom"/>
          </w:tcPr>
          <w:p>
            <w:pPr>
              <w:spacing w:after="0"/>
              <w:rPr>
                <w:sz w:val="1"/>
                <w:szCs w:val="1"/>
                <w:color w:val="auto"/>
              </w:rPr>
            </w:pP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2"/>
                <w:szCs w:val="12"/>
                <w:color w:val="auto"/>
              </w:rPr>
              <w:t>Net loss</w:t>
            </w: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164"/>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83"/>
              <w:spacing w:after="0" w:line="135" w:lineRule="exact"/>
              <w:rPr>
                <w:sz w:val="20"/>
                <w:szCs w:val="20"/>
                <w:color w:val="auto"/>
              </w:rPr>
            </w:pPr>
            <w:r>
              <w:rPr>
                <w:rFonts w:ascii="Arial" w:cs="Arial" w:eastAsia="Arial" w:hAnsi="Arial"/>
                <w:sz w:val="12"/>
                <w:szCs w:val="12"/>
                <w:color w:val="auto"/>
              </w:rPr>
              <w:t>(30,458)</w:t>
            </w: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3"/>
              <w:spacing w:after="0" w:line="135" w:lineRule="exact"/>
              <w:rPr>
                <w:sz w:val="20"/>
                <w:szCs w:val="20"/>
                <w:color w:val="auto"/>
              </w:rPr>
            </w:pPr>
            <w:r>
              <w:rPr>
                <w:rFonts w:ascii="Arial" w:cs="Arial" w:eastAsia="Arial" w:hAnsi="Arial"/>
                <w:sz w:val="12"/>
                <w:szCs w:val="12"/>
                <w:color w:val="auto"/>
              </w:rPr>
              <w:t>(30,458)</w:t>
            </w:r>
          </w:p>
        </w:tc>
        <w:tc>
          <w:tcPr>
            <w:tcW w:w="0" w:type="dxa"/>
            <w:vAlign w:val="bottom"/>
          </w:tcPr>
          <w:p>
            <w:pPr>
              <w:spacing w:after="0"/>
              <w:rPr>
                <w:sz w:val="1"/>
                <w:szCs w:val="1"/>
                <w:color w:val="auto"/>
              </w:rPr>
            </w:pPr>
          </w:p>
        </w:tc>
      </w:tr>
      <w:tr>
        <w:trPr>
          <w:trHeight w:val="148"/>
        </w:trPr>
        <w:tc>
          <w:tcPr>
            <w:tcW w:w="2540" w:type="dxa"/>
            <w:vAlign w:val="bottom"/>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June 30, 2024</w:t>
            </w:r>
          </w:p>
        </w:tc>
        <w:tc>
          <w:tcPr>
            <w:tcW w:w="80" w:type="dxa"/>
            <w:vAlign w:val="bottom"/>
            <w:shd w:val="clear" w:color="auto" w:fill="CFF0FC"/>
          </w:tcPr>
          <w:p>
            <w:pPr>
              <w:spacing w:after="0"/>
              <w:rPr>
                <w:sz w:val="12"/>
                <w:szCs w:val="12"/>
                <w:color w:val="auto"/>
              </w:rPr>
            </w:pPr>
          </w:p>
        </w:tc>
        <w:tc>
          <w:tcPr>
            <w:tcW w:w="1140" w:type="dxa"/>
            <w:vAlign w:val="bottom"/>
            <w:tcBorders>
              <w:right w:val="single" w:sz="8" w:color="CFF0FC"/>
            </w:tcBorders>
            <w:shd w:val="clear" w:color="auto" w:fill="CFF0FC"/>
          </w:tcPr>
          <w:p>
            <w:pPr>
              <w:jc w:val="right"/>
              <w:ind w:right="103"/>
              <w:spacing w:after="0" w:line="129" w:lineRule="exact"/>
              <w:rPr>
                <w:sz w:val="20"/>
                <w:szCs w:val="20"/>
                <w:color w:val="auto"/>
              </w:rPr>
            </w:pPr>
            <w:r>
              <w:rPr>
                <w:rFonts w:ascii="Arial" w:cs="Arial" w:eastAsia="Arial" w:hAnsi="Arial"/>
                <w:sz w:val="12"/>
                <w:szCs w:val="12"/>
                <w:color w:val="auto"/>
              </w:rPr>
              <w:t>31,186,817</w:t>
            </w:r>
          </w:p>
        </w:tc>
        <w:tc>
          <w:tcPr>
            <w:tcW w:w="360" w:type="dxa"/>
            <w:vAlign w:val="bottom"/>
            <w:gridSpan w:val="2"/>
            <w:shd w:val="clear" w:color="auto" w:fill="CFF0FC"/>
          </w:tcPr>
          <w:p>
            <w:pPr>
              <w:jc w:val="right"/>
              <w:ind w:right="165"/>
              <w:spacing w:after="0" w:line="129" w:lineRule="exact"/>
              <w:rPr>
                <w:sz w:val="20"/>
                <w:szCs w:val="20"/>
                <w:color w:val="auto"/>
              </w:rPr>
            </w:pPr>
            <w:r>
              <w:rPr>
                <w:rFonts w:ascii="Arial" w:cs="Arial" w:eastAsia="Arial" w:hAnsi="Arial"/>
                <w:sz w:val="12"/>
                <w:szCs w:val="12"/>
                <w:color w:val="auto"/>
              </w:rPr>
              <w:t>$</w:t>
            </w:r>
          </w:p>
        </w:tc>
        <w:tc>
          <w:tcPr>
            <w:tcW w:w="960" w:type="dxa"/>
            <w:vAlign w:val="bottom"/>
            <w:tcBorders>
              <w:right w:val="single" w:sz="8" w:color="CFF0FC"/>
            </w:tcBorders>
            <w:shd w:val="clear" w:color="auto" w:fill="CFF0FC"/>
          </w:tcPr>
          <w:p>
            <w:pPr>
              <w:jc w:val="right"/>
              <w:ind w:right="182"/>
              <w:spacing w:after="0" w:line="129" w:lineRule="exact"/>
              <w:rPr>
                <w:sz w:val="20"/>
                <w:szCs w:val="20"/>
                <w:color w:val="auto"/>
              </w:rPr>
            </w:pPr>
            <w:r>
              <w:rPr>
                <w:rFonts w:ascii="Arial" w:cs="Arial" w:eastAsia="Arial" w:hAnsi="Arial"/>
                <w:sz w:val="12"/>
                <w:szCs w:val="12"/>
                <w:color w:val="auto"/>
              </w:rPr>
              <w:t>303</w:t>
            </w:r>
          </w:p>
        </w:tc>
        <w:tc>
          <w:tcPr>
            <w:tcW w:w="1160" w:type="dxa"/>
            <w:vAlign w:val="bottom"/>
            <w:tcBorders>
              <w:right w:val="single" w:sz="8" w:color="CFF0FC"/>
            </w:tcBorders>
            <w:shd w:val="clear" w:color="auto" w:fill="CFF0FC"/>
          </w:tcPr>
          <w:p>
            <w:pPr>
              <w:jc w:val="right"/>
              <w:ind w:right="3"/>
              <w:spacing w:after="0" w:line="129" w:lineRule="exact"/>
              <w:rPr>
                <w:sz w:val="20"/>
                <w:szCs w:val="20"/>
                <w:color w:val="auto"/>
              </w:rPr>
            </w:pPr>
            <w:r>
              <w:rPr>
                <w:rFonts w:ascii="Arial" w:cs="Arial" w:eastAsia="Arial" w:hAnsi="Arial"/>
                <w:sz w:val="12"/>
                <w:szCs w:val="12"/>
                <w:color w:val="auto"/>
              </w:rPr>
              <w:t>(122,608)</w:t>
            </w:r>
          </w:p>
        </w:tc>
        <w:tc>
          <w:tcPr>
            <w:tcW w:w="840" w:type="dxa"/>
            <w:vAlign w:val="bottom"/>
            <w:gridSpan w:val="2"/>
            <w:shd w:val="clear" w:color="auto" w:fill="CFF0FC"/>
          </w:tcPr>
          <w:p>
            <w:pPr>
              <w:jc w:val="right"/>
              <w:ind w:right="609"/>
              <w:spacing w:after="0" w:line="129" w:lineRule="exact"/>
              <w:rPr>
                <w:sz w:val="20"/>
                <w:szCs w:val="20"/>
                <w:color w:val="auto"/>
              </w:rPr>
            </w:pPr>
            <w:r>
              <w:rPr>
                <w:rFonts w:ascii="Arial" w:cs="Arial" w:eastAsia="Arial" w:hAnsi="Arial"/>
                <w:sz w:val="12"/>
                <w:szCs w:val="12"/>
                <w:color w:val="auto"/>
              </w:rPr>
              <w:t>$</w:t>
            </w:r>
          </w:p>
        </w:tc>
        <w:tc>
          <w:tcPr>
            <w:tcW w:w="460" w:type="dxa"/>
            <w:vAlign w:val="bottom"/>
            <w:tcBorders>
              <w:right w:val="single" w:sz="8" w:color="CFF0FC"/>
            </w:tcBorders>
            <w:shd w:val="clear" w:color="auto" w:fill="CFF0FC"/>
          </w:tcPr>
          <w:p>
            <w:pPr>
              <w:jc w:val="right"/>
              <w:ind w:right="82"/>
              <w:spacing w:after="0" w:line="129" w:lineRule="exact"/>
              <w:rPr>
                <w:sz w:val="20"/>
                <w:szCs w:val="20"/>
                <w:color w:val="auto"/>
              </w:rPr>
            </w:pPr>
            <w:r>
              <w:rPr>
                <w:rFonts w:ascii="Arial" w:cs="Arial" w:eastAsia="Arial" w:hAnsi="Arial"/>
                <w:sz w:val="12"/>
                <w:szCs w:val="12"/>
                <w:color w:val="auto"/>
              </w:rPr>
              <w:t>(448)</w:t>
            </w:r>
          </w:p>
        </w:tc>
        <w:tc>
          <w:tcPr>
            <w:tcW w:w="160" w:type="dxa"/>
            <w:vAlign w:val="bottom"/>
            <w:tcBorders>
              <w:left w:val="single" w:sz="8" w:color="CFF0FC"/>
            </w:tcBorders>
            <w:shd w:val="clear" w:color="auto" w:fill="CFF0FC"/>
          </w:tcPr>
          <w:p>
            <w:pPr>
              <w:jc w:val="right"/>
              <w:ind w:right="7"/>
              <w:spacing w:after="0" w:line="129" w:lineRule="exact"/>
              <w:rPr>
                <w:sz w:val="20"/>
                <w:szCs w:val="20"/>
                <w:color w:val="auto"/>
              </w:rPr>
            </w:pPr>
            <w:r>
              <w:rPr>
                <w:rFonts w:ascii="Arial" w:cs="Arial" w:eastAsia="Arial" w:hAnsi="Arial"/>
                <w:sz w:val="12"/>
                <w:szCs w:val="12"/>
                <w:color w:val="auto"/>
              </w:rPr>
              <w:t>$</w:t>
            </w:r>
          </w:p>
        </w:tc>
        <w:tc>
          <w:tcPr>
            <w:tcW w:w="1100" w:type="dxa"/>
            <w:vAlign w:val="bottom"/>
            <w:tcBorders>
              <w:right w:val="single" w:sz="8" w:color="CFF0FC"/>
            </w:tcBorders>
            <w:shd w:val="clear" w:color="auto" w:fill="CFF0FC"/>
          </w:tcPr>
          <w:p>
            <w:pPr>
              <w:jc w:val="right"/>
              <w:ind w:right="164"/>
              <w:spacing w:after="0" w:line="129" w:lineRule="exact"/>
              <w:rPr>
                <w:sz w:val="20"/>
                <w:szCs w:val="20"/>
                <w:color w:val="auto"/>
              </w:rPr>
            </w:pPr>
            <w:r>
              <w:rPr>
                <w:rFonts w:ascii="Arial" w:cs="Arial" w:eastAsia="Arial" w:hAnsi="Arial"/>
                <w:sz w:val="12"/>
                <w:szCs w:val="12"/>
                <w:color w:val="auto"/>
              </w:rPr>
              <w:t>157,659</w:t>
            </w:r>
          </w:p>
        </w:tc>
        <w:tc>
          <w:tcPr>
            <w:tcW w:w="8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w w:val="89"/>
              </w:rPr>
              <w:t>$</w:t>
            </w:r>
          </w:p>
        </w:tc>
        <w:tc>
          <w:tcPr>
            <w:tcW w:w="1120" w:type="dxa"/>
            <w:vAlign w:val="bottom"/>
            <w:tcBorders>
              <w:right w:val="single" w:sz="8" w:color="CFF0FC"/>
            </w:tcBorders>
            <w:shd w:val="clear" w:color="auto" w:fill="CFF0FC"/>
          </w:tcPr>
          <w:p>
            <w:pPr>
              <w:jc w:val="right"/>
              <w:ind w:right="83"/>
              <w:spacing w:after="0" w:line="129" w:lineRule="exact"/>
              <w:rPr>
                <w:sz w:val="20"/>
                <w:szCs w:val="20"/>
                <w:color w:val="auto"/>
              </w:rPr>
            </w:pPr>
            <w:r>
              <w:rPr>
                <w:rFonts w:ascii="Arial" w:cs="Arial" w:eastAsia="Arial" w:hAnsi="Arial"/>
                <w:sz w:val="12"/>
                <w:szCs w:val="12"/>
                <w:color w:val="auto"/>
              </w:rPr>
              <w:t>(167,486)</w:t>
            </w:r>
          </w:p>
        </w:tc>
        <w:tc>
          <w:tcPr>
            <w:tcW w:w="120" w:type="dxa"/>
            <w:vAlign w:val="bottom"/>
            <w:tcBorders>
              <w:left w:val="single" w:sz="8" w:color="CFF0FC"/>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ind w:right="3"/>
              <w:spacing w:after="0" w:line="129" w:lineRule="exact"/>
              <w:rPr>
                <w:sz w:val="20"/>
                <w:szCs w:val="20"/>
                <w:color w:val="auto"/>
              </w:rPr>
            </w:pPr>
            <w:r>
              <w:rPr>
                <w:rFonts w:ascii="Arial" w:cs="Arial" w:eastAsia="Arial" w:hAnsi="Arial"/>
                <w:sz w:val="12"/>
                <w:szCs w:val="12"/>
                <w:color w:val="auto"/>
              </w:rPr>
              <w:t>(9,972)</w:t>
            </w: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960" w:type="dxa"/>
            <w:vAlign w:val="bottom"/>
          </w:tcPr>
          <w:p>
            <w:pPr>
              <w:spacing w:after="0"/>
              <w:rPr>
                <w:sz w:val="24"/>
                <w:szCs w:val="24"/>
                <w:color w:val="auto"/>
              </w:rPr>
            </w:pPr>
          </w:p>
        </w:tc>
        <w:tc>
          <w:tcPr>
            <w:tcW w:w="2000" w:type="dxa"/>
            <w:vAlign w:val="bottom"/>
            <w:gridSpan w:val="3"/>
            <w:vMerge w:val="restart"/>
          </w:tcPr>
          <w:p>
            <w:pPr>
              <w:jc w:val="right"/>
              <w:ind w:right="349"/>
              <w:spacing w:after="0"/>
              <w:rPr>
                <w:sz w:val="20"/>
                <w:szCs w:val="20"/>
                <w:color w:val="auto"/>
              </w:rPr>
            </w:pPr>
            <w:r>
              <w:rPr>
                <w:rFonts w:ascii="Arial" w:cs="Arial" w:eastAsia="Arial" w:hAnsi="Arial"/>
                <w:sz w:val="10"/>
                <w:szCs w:val="10"/>
                <w:b w:val="1"/>
                <w:bCs w:val="1"/>
                <w:color w:val="auto"/>
              </w:rPr>
              <w:t>TREASURY STOCK</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284"/>
              <w:spacing w:after="0"/>
              <w:rPr>
                <w:sz w:val="20"/>
                <w:szCs w:val="20"/>
                <w:color w:val="auto"/>
              </w:rPr>
            </w:pPr>
            <w:r>
              <w:rPr>
                <w:rFonts w:ascii="Arial" w:cs="Arial" w:eastAsia="Arial" w:hAnsi="Arial"/>
                <w:sz w:val="10"/>
                <w:szCs w:val="10"/>
                <w:b w:val="1"/>
                <w:bCs w:val="1"/>
                <w:color w:val="auto"/>
                <w:w w:val="97"/>
              </w:rPr>
              <w:t>ADDITIONAL</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3"/>
            <w:vMerge w:val="continue"/>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3"/>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jc w:val="center"/>
              <w:ind w:right="284"/>
              <w:spacing w:after="0" w:line="113" w:lineRule="exact"/>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9"/>
                <w:szCs w:val="9"/>
                <w:color w:val="auto"/>
              </w:rPr>
            </w:pPr>
          </w:p>
        </w:tc>
        <w:tc>
          <w:tcPr>
            <w:tcW w:w="1120" w:type="dxa"/>
            <w:vAlign w:val="bottom"/>
          </w:tcPr>
          <w:p>
            <w:pPr>
              <w:jc w:val="center"/>
              <w:ind w:right="203"/>
              <w:spacing w:after="0" w:line="113"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9"/>
                <w:szCs w:val="9"/>
                <w:color w:val="auto"/>
              </w:rPr>
            </w:pPr>
          </w:p>
        </w:tc>
        <w:tc>
          <w:tcPr>
            <w:tcW w:w="1120" w:type="dxa"/>
            <w:vAlign w:val="bottom"/>
          </w:tcPr>
          <w:p>
            <w:pPr>
              <w:jc w:val="center"/>
              <w:ind w:right="143"/>
              <w:spacing w:after="0" w:line="113" w:lineRule="exact"/>
              <w:rPr>
                <w:sz w:val="20"/>
                <w:szCs w:val="20"/>
                <w:color w:val="auto"/>
              </w:rPr>
            </w:pPr>
            <w:r>
              <w:rPr>
                <w:rFonts w:ascii="Arial" w:cs="Arial" w:eastAsia="Arial" w:hAnsi="Arial"/>
                <w:sz w:val="10"/>
                <w:szCs w:val="10"/>
                <w:b w:val="1"/>
                <w:bCs w:val="1"/>
                <w:color w:val="auto"/>
                <w:w w:val="96"/>
              </w:rPr>
              <w:t>STOCKHOLDERS’</w:t>
            </w:r>
          </w:p>
        </w:tc>
        <w:tc>
          <w:tcPr>
            <w:tcW w:w="0" w:type="dxa"/>
            <w:vAlign w:val="bottom"/>
          </w:tcPr>
          <w:p>
            <w:pPr>
              <w:spacing w:after="0"/>
              <w:rPr>
                <w:sz w:val="1"/>
                <w:szCs w:val="1"/>
                <w:color w:val="auto"/>
              </w:rPr>
            </w:pPr>
          </w:p>
        </w:tc>
      </w:tr>
      <w:tr>
        <w:trPr>
          <w:trHeight w:val="115"/>
        </w:trPr>
        <w:tc>
          <w:tcPr>
            <w:tcW w:w="25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w w:val="95"/>
              </w:rPr>
              <w:t>AMOUNT</w:t>
            </w: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284"/>
              <w:spacing w:after="0"/>
              <w:rPr>
                <w:sz w:val="20"/>
                <w:szCs w:val="20"/>
                <w:color w:val="auto"/>
              </w:rPr>
            </w:pPr>
            <w:r>
              <w:rPr>
                <w:rFonts w:ascii="Arial" w:cs="Arial" w:eastAsia="Arial" w:hAnsi="Arial"/>
                <w:sz w:val="10"/>
                <w:szCs w:val="10"/>
                <w:b w:val="1"/>
                <w:bCs w:val="1"/>
                <w:color w:val="auto"/>
              </w:rPr>
              <w:t>CAPITAL</w:t>
            </w: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03"/>
              <w:spacing w:after="0"/>
              <w:rPr>
                <w:sz w:val="20"/>
                <w:szCs w:val="20"/>
                <w:color w:val="auto"/>
              </w:rPr>
            </w:pPr>
            <w:r>
              <w:rPr>
                <w:rFonts w:ascii="Arial" w:cs="Arial" w:eastAsia="Arial" w:hAnsi="Arial"/>
                <w:sz w:val="10"/>
                <w:szCs w:val="10"/>
                <w:b w:val="1"/>
                <w:bCs w:val="1"/>
                <w:color w:val="auto"/>
                <w:w w:val="97"/>
              </w:rPr>
              <w:t>DEFICIT</w:t>
            </w: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128"/>
        </w:trPr>
        <w:tc>
          <w:tcPr>
            <w:tcW w:w="2620" w:type="dxa"/>
            <w:vAlign w:val="bottom"/>
            <w:gridSpan w:val="2"/>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Balance, March 31, 2024</w:t>
            </w:r>
          </w:p>
        </w:tc>
        <w:tc>
          <w:tcPr>
            <w:tcW w:w="1140" w:type="dxa"/>
            <w:vAlign w:val="bottom"/>
            <w:tcBorders>
              <w:right w:val="single" w:sz="8" w:color="CFF0FC"/>
            </w:tcBorders>
            <w:shd w:val="clear" w:color="auto" w:fill="CFF0FC"/>
          </w:tcPr>
          <w:p>
            <w:pPr>
              <w:jc w:val="right"/>
              <w:ind w:right="103"/>
              <w:spacing w:after="0" w:line="129" w:lineRule="exact"/>
              <w:rPr>
                <w:sz w:val="20"/>
                <w:szCs w:val="20"/>
                <w:color w:val="auto"/>
              </w:rPr>
            </w:pPr>
            <w:r>
              <w:rPr>
                <w:rFonts w:ascii="Arial" w:cs="Arial" w:eastAsia="Arial" w:hAnsi="Arial"/>
                <w:sz w:val="12"/>
                <w:szCs w:val="12"/>
                <w:color w:val="auto"/>
              </w:rPr>
              <w:t>29,470,076</w:t>
            </w:r>
          </w:p>
        </w:tc>
        <w:tc>
          <w:tcPr>
            <w:tcW w:w="360" w:type="dxa"/>
            <w:vAlign w:val="bottom"/>
            <w:gridSpan w:val="2"/>
            <w:shd w:val="clear" w:color="auto" w:fill="CFF0FC"/>
          </w:tcPr>
          <w:p>
            <w:pPr>
              <w:jc w:val="right"/>
              <w:ind w:right="165"/>
              <w:spacing w:after="0" w:line="129" w:lineRule="exact"/>
              <w:rPr>
                <w:sz w:val="20"/>
                <w:szCs w:val="20"/>
                <w:color w:val="auto"/>
              </w:rPr>
            </w:pPr>
            <w:r>
              <w:rPr>
                <w:rFonts w:ascii="Arial" w:cs="Arial" w:eastAsia="Arial" w:hAnsi="Arial"/>
                <w:sz w:val="12"/>
                <w:szCs w:val="12"/>
                <w:color w:val="auto"/>
              </w:rPr>
              <w:t>$</w:t>
            </w:r>
          </w:p>
        </w:tc>
        <w:tc>
          <w:tcPr>
            <w:tcW w:w="960" w:type="dxa"/>
            <w:vAlign w:val="bottom"/>
            <w:tcBorders>
              <w:right w:val="single" w:sz="8" w:color="CFF0FC"/>
            </w:tcBorders>
            <w:shd w:val="clear" w:color="auto" w:fill="CFF0FC"/>
          </w:tcPr>
          <w:p>
            <w:pPr>
              <w:jc w:val="right"/>
              <w:ind w:right="182"/>
              <w:spacing w:after="0" w:line="129" w:lineRule="exact"/>
              <w:rPr>
                <w:sz w:val="20"/>
                <w:szCs w:val="20"/>
                <w:color w:val="auto"/>
              </w:rPr>
            </w:pPr>
            <w:r>
              <w:rPr>
                <w:rFonts w:ascii="Arial" w:cs="Arial" w:eastAsia="Arial" w:hAnsi="Arial"/>
                <w:sz w:val="12"/>
                <w:szCs w:val="12"/>
                <w:color w:val="auto"/>
              </w:rPr>
              <w:t>292</w:t>
            </w:r>
          </w:p>
        </w:tc>
        <w:tc>
          <w:tcPr>
            <w:tcW w:w="1160" w:type="dxa"/>
            <w:vAlign w:val="bottom"/>
            <w:tcBorders>
              <w:right w:val="single" w:sz="8" w:color="CFF0FC"/>
            </w:tcBorders>
            <w:shd w:val="clear" w:color="auto" w:fill="CFF0FC"/>
          </w:tcPr>
          <w:p>
            <w:pPr>
              <w:jc w:val="right"/>
              <w:ind w:right="3"/>
              <w:spacing w:after="0" w:line="129" w:lineRule="exact"/>
              <w:rPr>
                <w:sz w:val="20"/>
                <w:szCs w:val="20"/>
                <w:color w:val="auto"/>
              </w:rPr>
            </w:pPr>
            <w:r>
              <w:rPr>
                <w:rFonts w:ascii="Arial" w:cs="Arial" w:eastAsia="Arial" w:hAnsi="Arial"/>
                <w:sz w:val="12"/>
                <w:szCs w:val="12"/>
                <w:color w:val="auto"/>
              </w:rPr>
              <w:t>(122,608)</w:t>
            </w:r>
          </w:p>
        </w:tc>
        <w:tc>
          <w:tcPr>
            <w:tcW w:w="840" w:type="dxa"/>
            <w:vAlign w:val="bottom"/>
            <w:gridSpan w:val="2"/>
            <w:shd w:val="clear" w:color="auto" w:fill="CFF0FC"/>
          </w:tcPr>
          <w:p>
            <w:pPr>
              <w:jc w:val="right"/>
              <w:ind w:right="609"/>
              <w:spacing w:after="0" w:line="129" w:lineRule="exact"/>
              <w:rPr>
                <w:sz w:val="20"/>
                <w:szCs w:val="20"/>
                <w:color w:val="auto"/>
              </w:rPr>
            </w:pPr>
            <w:r>
              <w:rPr>
                <w:rFonts w:ascii="Arial" w:cs="Arial" w:eastAsia="Arial" w:hAnsi="Arial"/>
                <w:sz w:val="12"/>
                <w:szCs w:val="12"/>
                <w:color w:val="auto"/>
              </w:rPr>
              <w:t>$</w:t>
            </w:r>
          </w:p>
        </w:tc>
        <w:tc>
          <w:tcPr>
            <w:tcW w:w="460" w:type="dxa"/>
            <w:vAlign w:val="bottom"/>
            <w:tcBorders>
              <w:right w:val="single" w:sz="8" w:color="CFF0FC"/>
            </w:tcBorders>
            <w:shd w:val="clear" w:color="auto" w:fill="CFF0FC"/>
          </w:tcPr>
          <w:p>
            <w:pPr>
              <w:jc w:val="right"/>
              <w:ind w:right="82"/>
              <w:spacing w:after="0" w:line="129" w:lineRule="exact"/>
              <w:rPr>
                <w:sz w:val="20"/>
                <w:szCs w:val="20"/>
                <w:color w:val="auto"/>
              </w:rPr>
            </w:pPr>
            <w:r>
              <w:rPr>
                <w:rFonts w:ascii="Arial" w:cs="Arial" w:eastAsia="Arial" w:hAnsi="Arial"/>
                <w:sz w:val="12"/>
                <w:szCs w:val="12"/>
                <w:color w:val="auto"/>
              </w:rPr>
              <w:t>(448)</w:t>
            </w:r>
          </w:p>
        </w:tc>
        <w:tc>
          <w:tcPr>
            <w:tcW w:w="160" w:type="dxa"/>
            <w:vAlign w:val="bottom"/>
            <w:tcBorders>
              <w:left w:val="single" w:sz="8" w:color="CFF0FC"/>
            </w:tcBorders>
            <w:shd w:val="clear" w:color="auto" w:fill="CFF0FC"/>
          </w:tcPr>
          <w:p>
            <w:pPr>
              <w:jc w:val="right"/>
              <w:ind w:right="7"/>
              <w:spacing w:after="0" w:line="129" w:lineRule="exact"/>
              <w:rPr>
                <w:sz w:val="20"/>
                <w:szCs w:val="20"/>
                <w:color w:val="auto"/>
              </w:rPr>
            </w:pPr>
            <w:r>
              <w:rPr>
                <w:rFonts w:ascii="Arial" w:cs="Arial" w:eastAsia="Arial" w:hAnsi="Arial"/>
                <w:sz w:val="12"/>
                <w:szCs w:val="12"/>
                <w:color w:val="auto"/>
              </w:rPr>
              <w:t>$</w:t>
            </w:r>
          </w:p>
        </w:tc>
        <w:tc>
          <w:tcPr>
            <w:tcW w:w="1100" w:type="dxa"/>
            <w:vAlign w:val="bottom"/>
            <w:tcBorders>
              <w:right w:val="single" w:sz="8" w:color="CFF0FC"/>
            </w:tcBorders>
            <w:shd w:val="clear" w:color="auto" w:fill="CFF0FC"/>
          </w:tcPr>
          <w:p>
            <w:pPr>
              <w:jc w:val="right"/>
              <w:ind w:right="164"/>
              <w:spacing w:after="0" w:line="129" w:lineRule="exact"/>
              <w:rPr>
                <w:sz w:val="20"/>
                <w:szCs w:val="20"/>
                <w:color w:val="auto"/>
              </w:rPr>
            </w:pPr>
            <w:r>
              <w:rPr>
                <w:rFonts w:ascii="Arial" w:cs="Arial" w:eastAsia="Arial" w:hAnsi="Arial"/>
                <w:sz w:val="12"/>
                <w:szCs w:val="12"/>
                <w:color w:val="auto"/>
              </w:rPr>
              <w:t>151,384</w:t>
            </w:r>
          </w:p>
        </w:tc>
        <w:tc>
          <w:tcPr>
            <w:tcW w:w="8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w w:val="89"/>
              </w:rPr>
              <w:t>$</w:t>
            </w:r>
          </w:p>
        </w:tc>
        <w:tc>
          <w:tcPr>
            <w:tcW w:w="1120" w:type="dxa"/>
            <w:vAlign w:val="bottom"/>
            <w:tcBorders>
              <w:right w:val="single" w:sz="8" w:color="CFF0FC"/>
            </w:tcBorders>
            <w:shd w:val="clear" w:color="auto" w:fill="CFF0FC"/>
          </w:tcPr>
          <w:p>
            <w:pPr>
              <w:jc w:val="right"/>
              <w:ind w:right="83"/>
              <w:spacing w:after="0" w:line="129" w:lineRule="exact"/>
              <w:rPr>
                <w:sz w:val="20"/>
                <w:szCs w:val="20"/>
                <w:color w:val="auto"/>
              </w:rPr>
            </w:pPr>
            <w:r>
              <w:rPr>
                <w:rFonts w:ascii="Arial" w:cs="Arial" w:eastAsia="Arial" w:hAnsi="Arial"/>
                <w:sz w:val="12"/>
                <w:szCs w:val="12"/>
                <w:color w:val="auto"/>
              </w:rPr>
              <w:t>(145,249)</w:t>
            </w:r>
          </w:p>
        </w:tc>
        <w:tc>
          <w:tcPr>
            <w:tcW w:w="120" w:type="dxa"/>
            <w:vAlign w:val="bottom"/>
            <w:tcBorders>
              <w:left w:val="single" w:sz="8" w:color="CFF0FC"/>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ind w:right="63"/>
              <w:spacing w:after="0" w:line="129" w:lineRule="exact"/>
              <w:rPr>
                <w:sz w:val="20"/>
                <w:szCs w:val="20"/>
                <w:color w:val="auto"/>
              </w:rPr>
            </w:pPr>
            <w:r>
              <w:rPr>
                <w:rFonts w:ascii="Arial" w:cs="Arial" w:eastAsia="Arial" w:hAnsi="Arial"/>
                <w:sz w:val="12"/>
                <w:szCs w:val="12"/>
                <w:color w:val="auto"/>
              </w:rPr>
              <w:t>5,979</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Options exercised</w:t>
            </w:r>
          </w:p>
        </w:tc>
        <w:tc>
          <w:tcPr>
            <w:tcW w:w="114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537,909</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6</w:t>
            </w:r>
          </w:p>
        </w:tc>
        <w:tc>
          <w:tcPr>
            <w:tcW w:w="1160" w:type="dxa"/>
            <w:vAlign w:val="bottom"/>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164"/>
              <w:spacing w:after="0" w:line="135" w:lineRule="exact"/>
              <w:rPr>
                <w:sz w:val="20"/>
                <w:szCs w:val="20"/>
                <w:color w:val="auto"/>
              </w:rPr>
            </w:pPr>
            <w:r>
              <w:rPr>
                <w:rFonts w:ascii="Arial" w:cs="Arial" w:eastAsia="Arial" w:hAnsi="Arial"/>
                <w:sz w:val="12"/>
                <w:szCs w:val="12"/>
                <w:color w:val="auto"/>
              </w:rPr>
              <w:t>984</w:t>
            </w:r>
          </w:p>
        </w:tc>
        <w:tc>
          <w:tcPr>
            <w:tcW w:w="80" w:type="dxa"/>
            <w:vAlign w:val="bottom"/>
          </w:tcPr>
          <w:p>
            <w:pPr>
              <w:spacing w:after="0"/>
              <w:rPr>
                <w:sz w:val="11"/>
                <w:szCs w:val="11"/>
                <w:color w:val="auto"/>
              </w:rPr>
            </w:pPr>
          </w:p>
        </w:tc>
        <w:tc>
          <w:tcPr>
            <w:tcW w:w="1120" w:type="dxa"/>
            <w:vAlign w:val="bottom"/>
          </w:tcPr>
          <w:p>
            <w:pPr>
              <w:jc w:val="right"/>
              <w:ind w:right="14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63"/>
              <w:spacing w:after="0" w:line="135" w:lineRule="exact"/>
              <w:rPr>
                <w:sz w:val="20"/>
                <w:szCs w:val="20"/>
                <w:color w:val="auto"/>
              </w:rPr>
            </w:pPr>
            <w:r>
              <w:rPr>
                <w:rFonts w:ascii="Arial" w:cs="Arial" w:eastAsia="Arial" w:hAnsi="Arial"/>
                <w:sz w:val="12"/>
                <w:szCs w:val="12"/>
                <w:color w:val="auto"/>
              </w:rPr>
              <w:t>990</w:t>
            </w:r>
          </w:p>
        </w:tc>
        <w:tc>
          <w:tcPr>
            <w:tcW w:w="0" w:type="dxa"/>
            <w:vAlign w:val="bottom"/>
          </w:tcPr>
          <w:p>
            <w:pPr>
              <w:spacing w:after="0"/>
              <w:rPr>
                <w:sz w:val="1"/>
                <w:szCs w:val="1"/>
                <w:color w:val="auto"/>
              </w:rPr>
            </w:pPr>
          </w:p>
        </w:tc>
      </w:tr>
      <w:tr>
        <w:trPr>
          <w:trHeight w:val="135"/>
        </w:trPr>
        <w:tc>
          <w:tcPr>
            <w:tcW w:w="2620" w:type="dxa"/>
            <w:vAlign w:val="bottom"/>
            <w:gridSpan w:val="2"/>
            <w:shd w:val="clear" w:color="auto" w:fill="CFF0FC"/>
          </w:tcPr>
          <w:p>
            <w:pPr>
              <w:spacing w:after="0" w:line="135" w:lineRule="exact"/>
              <w:rPr>
                <w:sz w:val="20"/>
                <w:szCs w:val="20"/>
                <w:color w:val="auto"/>
              </w:rPr>
            </w:pPr>
            <w:r>
              <w:rPr>
                <w:rFonts w:ascii="Arial" w:cs="Arial" w:eastAsia="Arial" w:hAnsi="Arial"/>
                <w:sz w:val="12"/>
                <w:szCs w:val="12"/>
                <w:color w:val="auto"/>
              </w:rPr>
              <w:t>Stock-based compensation</w:t>
            </w:r>
          </w:p>
        </w:tc>
        <w:tc>
          <w:tcPr>
            <w:tcW w:w="1140" w:type="dxa"/>
            <w:vAlign w:val="bottom"/>
            <w:tcBorders>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jc w:val="right"/>
              <w:ind w:right="164"/>
              <w:spacing w:after="0" w:line="135" w:lineRule="exact"/>
              <w:rPr>
                <w:sz w:val="20"/>
                <w:szCs w:val="20"/>
                <w:color w:val="auto"/>
              </w:rPr>
            </w:pPr>
            <w:r>
              <w:rPr>
                <w:rFonts w:ascii="Arial" w:cs="Arial" w:eastAsia="Arial" w:hAnsi="Arial"/>
                <w:sz w:val="12"/>
                <w:szCs w:val="12"/>
                <w:color w:val="auto"/>
              </w:rPr>
              <w:t>1,108</w:t>
            </w: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jc w:val="right"/>
              <w:ind w:right="14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1,108</w:t>
            </w: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2"/>
                <w:szCs w:val="12"/>
                <w:color w:val="auto"/>
              </w:rPr>
              <w:t>Restricted stock unit vesting</w:t>
            </w:r>
          </w:p>
        </w:tc>
        <w:tc>
          <w:tcPr>
            <w:tcW w:w="114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703,427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00" w:type="dxa"/>
            <w:vAlign w:val="bottom"/>
          </w:tcPr>
          <w:p>
            <w:pPr>
              <w:jc w:val="right"/>
              <w:ind w:right="164"/>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120" w:type="dxa"/>
            <w:vAlign w:val="bottom"/>
          </w:tcPr>
          <w:p>
            <w:pPr>
              <w:jc w:val="right"/>
              <w:ind w:right="143"/>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20" w:type="dxa"/>
            <w:vAlign w:val="bottom"/>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620" w:type="dxa"/>
            <w:vAlign w:val="bottom"/>
            <w:gridSpan w:val="2"/>
            <w:shd w:val="clear" w:color="auto" w:fill="CFF0FC"/>
          </w:tcPr>
          <w:p>
            <w:pPr>
              <w:spacing w:after="0" w:line="128" w:lineRule="exact"/>
              <w:rPr>
                <w:sz w:val="20"/>
                <w:szCs w:val="20"/>
                <w:color w:val="auto"/>
              </w:rPr>
            </w:pPr>
            <w:r>
              <w:rPr>
                <w:rFonts w:ascii="Arial" w:cs="Arial" w:eastAsia="Arial" w:hAnsi="Arial"/>
                <w:sz w:val="12"/>
                <w:szCs w:val="12"/>
                <w:color w:val="auto"/>
              </w:rPr>
              <w:t>Change in fair value of</w:t>
            </w:r>
          </w:p>
        </w:tc>
        <w:tc>
          <w:tcPr>
            <w:tcW w:w="1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tcBorders>
              <w:right w:val="single" w:sz="8" w:color="CFF0FC"/>
            </w:tcBorders>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2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NC Ohio Trust Warrants</w:t>
            </w:r>
          </w:p>
        </w:tc>
        <w:tc>
          <w:tcPr>
            <w:tcW w:w="1140" w:type="dxa"/>
            <w:vAlign w:val="bottom"/>
            <w:tcBorders>
              <w:right w:val="single" w:sz="8" w:color="CFF0FC"/>
            </w:tcBorders>
            <w:shd w:val="clear" w:color="auto" w:fill="CFF0FC"/>
          </w:tcPr>
          <w:p>
            <w:pPr>
              <w:jc w:val="right"/>
              <w:ind w:right="103"/>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ind w:right="182"/>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CFF0FC"/>
            </w:tcBorders>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tcBorders>
              <w:left w:val="single" w:sz="8" w:color="CFF0FC"/>
            </w:tcBorders>
            <w:shd w:val="clear" w:color="auto" w:fill="CFF0FC"/>
          </w:tcPr>
          <w:p>
            <w:pPr>
              <w:spacing w:after="0"/>
              <w:rPr>
                <w:sz w:val="12"/>
                <w:szCs w:val="12"/>
                <w:color w:val="auto"/>
              </w:rPr>
            </w:pPr>
          </w:p>
        </w:tc>
        <w:tc>
          <w:tcPr>
            <w:tcW w:w="460" w:type="dxa"/>
            <w:vAlign w:val="bottom"/>
            <w:tcBorders>
              <w:right w:val="single" w:sz="8" w:color="CFF0FC"/>
            </w:tcBorders>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jc w:val="right"/>
              <w:ind w:right="164"/>
              <w:spacing w:after="0"/>
              <w:rPr>
                <w:sz w:val="20"/>
                <w:szCs w:val="20"/>
                <w:color w:val="auto"/>
              </w:rPr>
            </w:pPr>
            <w:r>
              <w:rPr>
                <w:rFonts w:ascii="Arial" w:cs="Arial" w:eastAsia="Arial" w:hAnsi="Arial"/>
                <w:sz w:val="12"/>
                <w:szCs w:val="12"/>
                <w:color w:val="auto"/>
              </w:rPr>
              <w:t>733</w:t>
            </w:r>
          </w:p>
        </w:tc>
        <w:tc>
          <w:tcPr>
            <w:tcW w:w="80" w:type="dxa"/>
            <w:vAlign w:val="bottom"/>
            <w:shd w:val="clear" w:color="auto" w:fill="CFF0FC"/>
          </w:tcPr>
          <w:p>
            <w:pPr>
              <w:spacing w:after="0"/>
              <w:rPr>
                <w:sz w:val="12"/>
                <w:szCs w:val="12"/>
                <w:color w:val="auto"/>
              </w:rPr>
            </w:pPr>
          </w:p>
        </w:tc>
        <w:tc>
          <w:tcPr>
            <w:tcW w:w="1120" w:type="dxa"/>
            <w:vAlign w:val="bottom"/>
            <w:tcBorders>
              <w:right w:val="single" w:sz="8" w:color="CFF0FC"/>
            </w:tcBorders>
            <w:shd w:val="clear" w:color="auto" w:fill="CFF0FC"/>
          </w:tcPr>
          <w:p>
            <w:pPr>
              <w:jc w:val="right"/>
              <w:ind w:right="143"/>
              <w:spacing w:after="0"/>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12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733</w:t>
            </w:r>
          </w:p>
        </w:tc>
        <w:tc>
          <w:tcPr>
            <w:tcW w:w="0" w:type="dxa"/>
            <w:vAlign w:val="bottom"/>
          </w:tcPr>
          <w:p>
            <w:pPr>
              <w:spacing w:after="0"/>
              <w:rPr>
                <w:sz w:val="1"/>
                <w:szCs w:val="1"/>
                <w:color w:val="auto"/>
              </w:rPr>
            </w:pPr>
          </w:p>
        </w:tc>
      </w:tr>
      <w:tr>
        <w:trPr>
          <w:trHeight w:val="127"/>
        </w:trPr>
        <w:tc>
          <w:tcPr>
            <w:tcW w:w="2620" w:type="dxa"/>
            <w:vAlign w:val="bottom"/>
            <w:gridSpan w:val="2"/>
          </w:tcPr>
          <w:p>
            <w:pPr>
              <w:spacing w:after="0" w:line="128" w:lineRule="exact"/>
              <w:rPr>
                <w:sz w:val="20"/>
                <w:szCs w:val="20"/>
                <w:color w:val="auto"/>
              </w:rPr>
            </w:pPr>
            <w:r>
              <w:rPr>
                <w:rFonts w:ascii="Arial" w:cs="Arial" w:eastAsia="Arial" w:hAnsi="Arial"/>
                <w:sz w:val="12"/>
                <w:szCs w:val="12"/>
                <w:color w:val="auto"/>
              </w:rPr>
              <w:t>Sale of common stock through</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at-the-market offerings,</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ind w:left="100"/>
              <w:spacing w:after="0"/>
              <w:rPr>
                <w:sz w:val="20"/>
                <w:szCs w:val="20"/>
                <w:color w:val="auto"/>
              </w:rPr>
            </w:pPr>
            <w:r>
              <w:rPr>
                <w:rFonts w:ascii="Arial" w:cs="Arial" w:eastAsia="Arial" w:hAnsi="Arial"/>
                <w:sz w:val="12"/>
                <w:szCs w:val="12"/>
                <w:color w:val="auto"/>
              </w:rPr>
              <w:t>net of issuance costs</w:t>
            </w:r>
          </w:p>
        </w:tc>
        <w:tc>
          <w:tcPr>
            <w:tcW w:w="1140" w:type="dxa"/>
            <w:vAlign w:val="bottom"/>
          </w:tcPr>
          <w:p>
            <w:pPr>
              <w:jc w:val="right"/>
              <w:ind w:right="103"/>
              <w:spacing w:after="0"/>
              <w:rPr>
                <w:sz w:val="20"/>
                <w:szCs w:val="20"/>
                <w:color w:val="auto"/>
              </w:rPr>
            </w:pPr>
            <w:r>
              <w:rPr>
                <w:rFonts w:ascii="Arial" w:cs="Arial" w:eastAsia="Arial" w:hAnsi="Arial"/>
                <w:sz w:val="12"/>
                <w:szCs w:val="12"/>
                <w:color w:val="auto"/>
              </w:rPr>
              <w:t>475,405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182"/>
              <w:spacing w:after="0"/>
              <w:rPr>
                <w:sz w:val="20"/>
                <w:szCs w:val="20"/>
                <w:color w:val="auto"/>
              </w:rPr>
            </w:pPr>
            <w:r>
              <w:rPr>
                <w:rFonts w:ascii="Arial" w:cs="Arial" w:eastAsia="Arial" w:hAnsi="Arial"/>
                <w:sz w:val="12"/>
                <w:szCs w:val="12"/>
                <w:color w:val="auto"/>
              </w:rPr>
              <w:t>5</w:t>
            </w:r>
          </w:p>
        </w:tc>
        <w:tc>
          <w:tcPr>
            <w:tcW w:w="116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00" w:type="dxa"/>
            <w:vAlign w:val="bottom"/>
          </w:tcPr>
          <w:p>
            <w:pPr>
              <w:jc w:val="right"/>
              <w:ind w:right="164"/>
              <w:spacing w:after="0"/>
              <w:rPr>
                <w:sz w:val="20"/>
                <w:szCs w:val="20"/>
                <w:color w:val="auto"/>
              </w:rPr>
            </w:pPr>
            <w:r>
              <w:rPr>
                <w:rFonts w:ascii="Arial" w:cs="Arial" w:eastAsia="Arial" w:hAnsi="Arial"/>
                <w:sz w:val="12"/>
                <w:szCs w:val="12"/>
                <w:color w:val="auto"/>
              </w:rPr>
              <w:t>3,450</w:t>
            </w:r>
          </w:p>
        </w:tc>
        <w:tc>
          <w:tcPr>
            <w:tcW w:w="80" w:type="dxa"/>
            <w:vAlign w:val="bottom"/>
          </w:tcPr>
          <w:p>
            <w:pPr>
              <w:spacing w:after="0"/>
              <w:rPr>
                <w:sz w:val="12"/>
                <w:szCs w:val="12"/>
                <w:color w:val="auto"/>
              </w:rPr>
            </w:pPr>
          </w:p>
        </w:tc>
        <w:tc>
          <w:tcPr>
            <w:tcW w:w="1120" w:type="dxa"/>
            <w:vAlign w:val="bottom"/>
          </w:tcPr>
          <w:p>
            <w:pPr>
              <w:jc w:val="right"/>
              <w:ind w:right="1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20" w:type="dxa"/>
            <w:vAlign w:val="bottom"/>
          </w:tcPr>
          <w:p>
            <w:pPr>
              <w:jc w:val="right"/>
              <w:ind w:right="63"/>
              <w:spacing w:after="0"/>
              <w:rPr>
                <w:sz w:val="20"/>
                <w:szCs w:val="20"/>
                <w:color w:val="auto"/>
              </w:rPr>
            </w:pPr>
            <w:r>
              <w:rPr>
                <w:rFonts w:ascii="Arial" w:cs="Arial" w:eastAsia="Arial" w:hAnsi="Arial"/>
                <w:sz w:val="12"/>
                <w:szCs w:val="12"/>
                <w:color w:val="auto"/>
              </w:rPr>
              <w:t>3,455</w:t>
            </w:r>
          </w:p>
        </w:tc>
        <w:tc>
          <w:tcPr>
            <w:tcW w:w="0" w:type="dxa"/>
            <w:vAlign w:val="bottom"/>
          </w:tcPr>
          <w:p>
            <w:pPr>
              <w:spacing w:after="0"/>
              <w:rPr>
                <w:sz w:val="1"/>
                <w:szCs w:val="1"/>
                <w:color w:val="auto"/>
              </w:rPr>
            </w:pPr>
          </w:p>
        </w:tc>
      </w:tr>
      <w:tr>
        <w:trPr>
          <w:trHeight w:val="135"/>
        </w:trPr>
        <w:tc>
          <w:tcPr>
            <w:tcW w:w="2540" w:type="dxa"/>
            <w:vAlign w:val="bottom"/>
            <w:tcBorders>
              <w:bottom w:val="single" w:sz="8" w:color="CFF0FC"/>
            </w:tcBorders>
            <w:shd w:val="clear" w:color="auto" w:fill="CFF0FC"/>
          </w:tcPr>
          <w:p>
            <w:pPr>
              <w:spacing w:after="0" w:line="135" w:lineRule="exact"/>
              <w:rPr>
                <w:sz w:val="20"/>
                <w:szCs w:val="20"/>
                <w:color w:val="auto"/>
              </w:rPr>
            </w:pPr>
            <w:r>
              <w:rPr>
                <w:rFonts w:ascii="Arial" w:cs="Arial" w:eastAsia="Arial" w:hAnsi="Arial"/>
                <w:sz w:val="12"/>
                <w:szCs w:val="12"/>
                <w:color w:val="auto"/>
              </w:rPr>
              <w:t>Net loss</w:t>
            </w:r>
          </w:p>
        </w:tc>
        <w:tc>
          <w:tcPr>
            <w:tcW w:w="8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right w:val="single" w:sz="8" w:color="CFF0FC"/>
            </w:tcBorders>
            <w:shd w:val="clear" w:color="auto" w:fill="CFF0FC"/>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FF0FC"/>
              <w:right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right w:val="single" w:sz="8" w:color="CFF0FC"/>
            </w:tcBorders>
            <w:shd w:val="clear" w:color="auto" w:fill="CFF0FC"/>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CFF0FC"/>
            </w:tcBorders>
            <w:shd w:val="clear" w:color="auto" w:fill="CFF0FC"/>
          </w:tcPr>
          <w:p>
            <w:pPr>
              <w:jc w:val="right"/>
              <w:ind w:right="63"/>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left w:val="single" w:sz="8" w:color="CFF0FC"/>
              <w:bottom w:val="single" w:sz="8" w:color="auto"/>
            </w:tcBorders>
            <w:shd w:val="clear" w:color="auto" w:fill="CFF0FC"/>
          </w:tcPr>
          <w:p>
            <w:pPr>
              <w:spacing w:after="0"/>
              <w:rPr>
                <w:sz w:val="11"/>
                <w:szCs w:val="11"/>
                <w:color w:val="auto"/>
              </w:rPr>
            </w:pPr>
          </w:p>
        </w:tc>
        <w:tc>
          <w:tcPr>
            <w:tcW w:w="460" w:type="dxa"/>
            <w:vAlign w:val="bottom"/>
            <w:tcBorders>
              <w:bottom w:val="single" w:sz="8" w:color="auto"/>
              <w:right w:val="single" w:sz="8" w:color="CFF0FC"/>
            </w:tcBorders>
            <w:shd w:val="clear" w:color="auto" w:fill="CFF0FC"/>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FF0FC"/>
              <w:bottom w:val="single" w:sz="8" w:color="auto"/>
            </w:tcBorders>
            <w:shd w:val="clear" w:color="auto" w:fill="CFF0FC"/>
          </w:tcPr>
          <w:p>
            <w:pPr>
              <w:spacing w:after="0"/>
              <w:rPr>
                <w:sz w:val="11"/>
                <w:szCs w:val="11"/>
                <w:color w:val="auto"/>
              </w:rPr>
            </w:pPr>
          </w:p>
        </w:tc>
        <w:tc>
          <w:tcPr>
            <w:tcW w:w="1100" w:type="dxa"/>
            <w:vAlign w:val="bottom"/>
            <w:tcBorders>
              <w:bottom w:val="single" w:sz="8" w:color="auto"/>
              <w:right w:val="single" w:sz="8" w:color="CFF0FC"/>
            </w:tcBorders>
            <w:shd w:val="clear" w:color="auto" w:fill="CFF0FC"/>
          </w:tcPr>
          <w:p>
            <w:pPr>
              <w:jc w:val="right"/>
              <w:ind w:right="164"/>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right w:val="single" w:sz="8" w:color="CFF0FC"/>
            </w:tcBorders>
            <w:shd w:val="clear" w:color="auto" w:fill="CFF0FC"/>
          </w:tcPr>
          <w:p>
            <w:pPr>
              <w:jc w:val="right"/>
              <w:ind w:right="83"/>
              <w:spacing w:after="0" w:line="135" w:lineRule="exact"/>
              <w:rPr>
                <w:sz w:val="20"/>
                <w:szCs w:val="20"/>
                <w:color w:val="auto"/>
              </w:rPr>
            </w:pPr>
            <w:r>
              <w:rPr>
                <w:rFonts w:ascii="Arial" w:cs="Arial" w:eastAsia="Arial" w:hAnsi="Arial"/>
                <w:sz w:val="12"/>
                <w:szCs w:val="12"/>
                <w:color w:val="auto"/>
              </w:rPr>
              <w:t>(22,237)</w:t>
            </w:r>
          </w:p>
        </w:tc>
        <w:tc>
          <w:tcPr>
            <w:tcW w:w="120" w:type="dxa"/>
            <w:vAlign w:val="bottom"/>
            <w:tcBorders>
              <w:left w:val="single" w:sz="8" w:color="CFF0FC"/>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ind w:right="3"/>
              <w:spacing w:after="0" w:line="135" w:lineRule="exact"/>
              <w:rPr>
                <w:sz w:val="20"/>
                <w:szCs w:val="20"/>
                <w:color w:val="auto"/>
              </w:rPr>
            </w:pPr>
            <w:r>
              <w:rPr>
                <w:rFonts w:ascii="Arial" w:cs="Arial" w:eastAsia="Arial" w:hAnsi="Arial"/>
                <w:sz w:val="12"/>
                <w:szCs w:val="12"/>
                <w:color w:val="auto"/>
              </w:rPr>
              <w:t>(22,237)</w:t>
            </w:r>
          </w:p>
        </w:tc>
        <w:tc>
          <w:tcPr>
            <w:tcW w:w="0" w:type="dxa"/>
            <w:vAlign w:val="bottom"/>
          </w:tcPr>
          <w:p>
            <w:pPr>
              <w:spacing w:after="0"/>
              <w:rPr>
                <w:sz w:val="1"/>
                <w:szCs w:val="1"/>
                <w:color w:val="auto"/>
              </w:rPr>
            </w:pPr>
          </w:p>
        </w:tc>
      </w:tr>
      <w:tr>
        <w:trPr>
          <w:trHeight w:val="129"/>
        </w:trPr>
        <w:tc>
          <w:tcPr>
            <w:tcW w:w="2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Balance, June 30, 2024</w:t>
            </w:r>
          </w:p>
        </w:tc>
        <w:tc>
          <w:tcPr>
            <w:tcW w:w="1140" w:type="dxa"/>
            <w:vAlign w:val="bottom"/>
          </w:tcPr>
          <w:p>
            <w:pPr>
              <w:jc w:val="right"/>
              <w:ind w:right="103"/>
              <w:spacing w:after="0" w:line="129" w:lineRule="exact"/>
              <w:rPr>
                <w:sz w:val="20"/>
                <w:szCs w:val="20"/>
                <w:color w:val="auto"/>
              </w:rPr>
            </w:pPr>
            <w:r>
              <w:rPr>
                <w:rFonts w:ascii="Arial" w:cs="Arial" w:eastAsia="Arial" w:hAnsi="Arial"/>
                <w:sz w:val="12"/>
                <w:szCs w:val="12"/>
                <w:color w:val="auto"/>
              </w:rPr>
              <w:t>31,186,817</w:t>
            </w:r>
          </w:p>
        </w:tc>
        <w:tc>
          <w:tcPr>
            <w:tcW w:w="360" w:type="dxa"/>
            <w:vAlign w:val="bottom"/>
            <w:gridSpan w:val="2"/>
          </w:tcPr>
          <w:p>
            <w:pPr>
              <w:jc w:val="right"/>
              <w:ind w:right="165"/>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303</w:t>
            </w:r>
          </w:p>
        </w:tc>
        <w:tc>
          <w:tcPr>
            <w:tcW w:w="1160" w:type="dxa"/>
            <w:vAlign w:val="bottom"/>
          </w:tcPr>
          <w:p>
            <w:pPr>
              <w:jc w:val="right"/>
              <w:ind w:right="3"/>
              <w:spacing w:after="0" w:line="129" w:lineRule="exact"/>
              <w:rPr>
                <w:sz w:val="20"/>
                <w:szCs w:val="20"/>
                <w:color w:val="auto"/>
              </w:rPr>
            </w:pPr>
            <w:r>
              <w:rPr>
                <w:rFonts w:ascii="Arial" w:cs="Arial" w:eastAsia="Arial" w:hAnsi="Arial"/>
                <w:sz w:val="12"/>
                <w:szCs w:val="12"/>
                <w:color w:val="auto"/>
              </w:rPr>
              <w:t>(122,608)</w:t>
            </w:r>
          </w:p>
        </w:tc>
        <w:tc>
          <w:tcPr>
            <w:tcW w:w="840" w:type="dxa"/>
            <w:vAlign w:val="bottom"/>
            <w:gridSpan w:val="2"/>
          </w:tcPr>
          <w:p>
            <w:pPr>
              <w:jc w:val="right"/>
              <w:ind w:right="609"/>
              <w:spacing w:after="0" w:line="129"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(448)</w:t>
            </w:r>
          </w:p>
        </w:tc>
        <w:tc>
          <w:tcPr>
            <w:tcW w:w="160" w:type="dxa"/>
            <w:vAlign w:val="bottom"/>
          </w:tcPr>
          <w:p>
            <w:pPr>
              <w:jc w:val="right"/>
              <w:ind w:right="7"/>
              <w:spacing w:after="0" w:line="129"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164"/>
              <w:spacing w:after="0" w:line="129" w:lineRule="exact"/>
              <w:rPr>
                <w:sz w:val="20"/>
                <w:szCs w:val="20"/>
                <w:color w:val="auto"/>
              </w:rPr>
            </w:pPr>
            <w:r>
              <w:rPr>
                <w:rFonts w:ascii="Arial" w:cs="Arial" w:eastAsia="Arial" w:hAnsi="Arial"/>
                <w:sz w:val="12"/>
                <w:szCs w:val="12"/>
                <w:color w:val="auto"/>
              </w:rPr>
              <w:t>157,659</w:t>
            </w:r>
          </w:p>
        </w:tc>
        <w:tc>
          <w:tcPr>
            <w:tcW w:w="80" w:type="dxa"/>
            <w:vAlign w:val="bottom"/>
          </w:tcPr>
          <w:p>
            <w:pPr>
              <w:jc w:val="right"/>
              <w:spacing w:after="0" w:line="129" w:lineRule="exact"/>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3"/>
              <w:spacing w:after="0" w:line="129" w:lineRule="exact"/>
              <w:rPr>
                <w:sz w:val="20"/>
                <w:szCs w:val="20"/>
                <w:color w:val="auto"/>
              </w:rPr>
            </w:pPr>
            <w:r>
              <w:rPr>
                <w:rFonts w:ascii="Arial" w:cs="Arial" w:eastAsia="Arial" w:hAnsi="Arial"/>
                <w:sz w:val="12"/>
                <w:szCs w:val="12"/>
                <w:color w:val="auto"/>
              </w:rPr>
              <w:t>(167,486)</w:t>
            </w:r>
          </w:p>
        </w:tc>
        <w:tc>
          <w:tcPr>
            <w:tcW w:w="1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3"/>
              <w:spacing w:after="0" w:line="129" w:lineRule="exact"/>
              <w:rPr>
                <w:sz w:val="20"/>
                <w:szCs w:val="20"/>
                <w:color w:val="auto"/>
              </w:rPr>
            </w:pPr>
            <w:r>
              <w:rPr>
                <w:rFonts w:ascii="Arial" w:cs="Arial" w:eastAsia="Arial" w:hAnsi="Arial"/>
                <w:sz w:val="12"/>
                <w:szCs w:val="12"/>
                <w:color w:val="auto"/>
              </w:rPr>
              <w:t>(9,972)</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-4688205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-4688205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-4688205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-4688205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-4688205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-4688205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-2802255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-2802255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-2802255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-2802255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-2802255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-2802255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-1396365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-1379220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-1396365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-1379220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-1396365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-1379220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-1396365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-1379220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-1396365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-1379220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-1396365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-1379220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-119380</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-119380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-119380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-119380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-119380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-119380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0" w:name="page11"/>
    <w:bookmarkEnd w:id="10"/>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jc w:val="center"/>
        <w:ind w:right="4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060" w:type="dxa"/>
            <w:vAlign w:val="bottom"/>
          </w:tcPr>
          <w:p>
            <w:pPr>
              <w:spacing w:after="0"/>
              <w:rPr>
                <w:sz w:val="14"/>
                <w:szCs w:val="14"/>
                <w:color w:val="auto"/>
              </w:rPr>
            </w:pPr>
          </w:p>
        </w:tc>
      </w:tr>
      <w:tr>
        <w:trPr>
          <w:trHeight w:val="171"/>
        </w:trPr>
        <w:tc>
          <w:tcPr>
            <w:tcW w:w="7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w w:val="96"/>
              </w:rPr>
              <w:t>2024</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2,583</w:t>
            </w:r>
          </w:p>
        </w:tc>
        <w:tc>
          <w:tcPr>
            <w:tcW w:w="7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(30,458)</w:t>
            </w:r>
          </w:p>
        </w:tc>
      </w:tr>
      <w:tr>
        <w:trPr>
          <w:trHeight w:val="203"/>
        </w:trPr>
        <w:tc>
          <w:tcPr>
            <w:tcW w:w="77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Adjustments to reconcile net income (loss) to net cash used in operating activities: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487</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500</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Impairment of fixed assets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82</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Loss on the disposal of fixed assets</w:t>
            </w:r>
          </w:p>
        </w:tc>
        <w:tc>
          <w:tcPr>
            <w:tcW w:w="36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Non-cash stock compensation expense</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1,364</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2,884</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151</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132</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Non-cash interest expense</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69</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59</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(20,572)</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13,332</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Accretion of debt discount</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76</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156</w:t>
            </w:r>
          </w:p>
        </w:tc>
      </w:tr>
      <w:tr>
        <w:trPr>
          <w:trHeight w:val="203"/>
        </w:trPr>
        <w:tc>
          <w:tcPr>
            <w:tcW w:w="7760" w:type="dxa"/>
            <w:vAlign w:val="bottom"/>
          </w:tcPr>
          <w:p>
            <w:pPr>
              <w:ind w:left="4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(1,771)</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103</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35</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1,513</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11</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(1,243)</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(1,141)</w:t>
            </w:r>
          </w:p>
        </w:tc>
      </w:tr>
      <w:tr>
        <w:trPr>
          <w:trHeight w:val="203"/>
        </w:trPr>
        <w:tc>
          <w:tcPr>
            <w:tcW w:w="7760" w:type="dxa"/>
            <w:vAlign w:val="bottom"/>
            <w:tcBorders>
              <w:bottom w:val="single" w:sz="8" w:color="CFF0FC"/>
            </w:tcBorders>
            <w:shd w:val="clear" w:color="auto" w:fill="CFF0FC"/>
          </w:tcPr>
          <w:p>
            <w:pPr>
              <w:ind w:left="600"/>
              <w:spacing w:after="0" w:line="202" w:lineRule="exact"/>
              <w:rPr>
                <w:sz w:val="20"/>
                <w:szCs w:val="20"/>
                <w:color w:val="auto"/>
              </w:rPr>
            </w:pPr>
            <w:r>
              <w:rPr>
                <w:rFonts w:ascii="Arial" w:cs="Arial" w:eastAsia="Arial" w:hAnsi="Arial"/>
                <w:sz w:val="18"/>
                <w:szCs w:val="18"/>
                <w:color w:val="auto"/>
              </w:rPr>
              <w:t>Lease liability</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(275)</w:t>
            </w:r>
          </w:p>
        </w:tc>
        <w:tc>
          <w:tcPr>
            <w:tcW w:w="1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(249)</w:t>
            </w:r>
          </w:p>
        </w:tc>
      </w:tr>
      <w:tr>
        <w:trPr>
          <w:trHeight w:val="196"/>
        </w:trPr>
        <w:tc>
          <w:tcPr>
            <w:tcW w:w="7760" w:type="dxa"/>
            <w:vAlign w:val="bottom"/>
          </w:tcPr>
          <w:p>
            <w:pPr>
              <w:ind w:left="200"/>
              <w:spacing w:after="0" w:line="196" w:lineRule="exact"/>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(17,507)</w:t>
            </w:r>
          </w:p>
        </w:tc>
        <w:tc>
          <w:tcPr>
            <w:tcW w:w="1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(14,636)</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7760" w:type="dxa"/>
            <w:vAlign w:val="bottom"/>
            <w:tcBorders>
              <w:bottom w:val="single" w:sz="8" w:color="CFF0FC"/>
            </w:tcBorders>
          </w:tcPr>
          <w:p>
            <w:pPr>
              <w:ind w:left="600"/>
              <w:spacing w:after="0" w:line="202" w:lineRule="exact"/>
              <w:rPr>
                <w:sz w:val="20"/>
                <w:szCs w:val="20"/>
                <w:color w:val="auto"/>
              </w:rPr>
            </w:pPr>
            <w:r>
              <w:rPr>
                <w:rFonts w:ascii="Arial" w:cs="Arial" w:eastAsia="Arial" w:hAnsi="Arial"/>
                <w:sz w:val="18"/>
                <w:szCs w:val="18"/>
                <w:color w:val="auto"/>
              </w:rPr>
              <w:t>Purchase of fixed assets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16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r>
      <w:tr>
        <w:trPr>
          <w:trHeight w:val="196"/>
        </w:trPr>
        <w:tc>
          <w:tcPr>
            <w:tcW w:w="77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(34)</w:t>
            </w:r>
          </w:p>
        </w:tc>
        <w:tc>
          <w:tcPr>
            <w:tcW w:w="1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Proceeds from issuance of common stock in registered direct offering</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15,044</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Proceeds from sale of common stock, net of issuance costs</w:t>
            </w:r>
          </w:p>
        </w:tc>
        <w:tc>
          <w:tcPr>
            <w:tcW w:w="36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5,038</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3,641</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Proceeds from option exercises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492</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1,216</w:t>
            </w: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Principal payments on term loan</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(5,000)</w:t>
            </w:r>
          </w:p>
        </w:tc>
        <w:tc>
          <w:tcPr>
            <w:tcW w:w="1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(4,167)</w:t>
            </w:r>
          </w:p>
        </w:tc>
      </w:tr>
      <w:tr>
        <w:trPr>
          <w:trHeight w:val="196"/>
        </w:trPr>
        <w:tc>
          <w:tcPr>
            <w:tcW w:w="7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15,574</w:t>
            </w:r>
          </w:p>
        </w:tc>
        <w:tc>
          <w:tcPr>
            <w:tcW w:w="1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690</w:t>
            </w: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(1,967)</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(13,959)</w:t>
            </w:r>
          </w:p>
        </w:tc>
      </w:tr>
      <w:tr>
        <w:trPr>
          <w:trHeight w:val="203"/>
        </w:trPr>
        <w:tc>
          <w:tcPr>
            <w:tcW w:w="7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102,920</w:t>
            </w:r>
          </w:p>
        </w:tc>
        <w:tc>
          <w:tcPr>
            <w:tcW w:w="1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35,679</w:t>
            </w: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100,953</w:t>
            </w:r>
          </w:p>
        </w:tc>
        <w:tc>
          <w:tcPr>
            <w:tcW w:w="760" w:type="dxa"/>
            <w:vAlign w:val="bottom"/>
            <w:gridSpan w:val="2"/>
          </w:tcPr>
          <w:p>
            <w:pPr>
              <w:jc w:val="right"/>
              <w:ind w:right="50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21,720</w:t>
            </w: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76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444</w:t>
            </w:r>
          </w:p>
        </w:tc>
        <w:tc>
          <w:tcPr>
            <w:tcW w:w="7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1,041</w:t>
            </w: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Supplemental disclosures of non-cash information:</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7760" w:type="dxa"/>
            <w:vAlign w:val="bottom"/>
          </w:tcPr>
          <w:p>
            <w:pPr>
              <w:ind w:left="600"/>
              <w:spacing w:after="0" w:line="202" w:lineRule="exact"/>
              <w:rPr>
                <w:sz w:val="20"/>
                <w:szCs w:val="20"/>
                <w:color w:val="auto"/>
              </w:rPr>
            </w:pPr>
            <w:r>
              <w:rPr>
                <w:rFonts w:ascii="Arial" w:cs="Arial" w:eastAsia="Arial" w:hAnsi="Arial"/>
                <w:sz w:val="18"/>
                <w:szCs w:val="18"/>
                <w:color w:val="auto"/>
              </w:rPr>
              <w:t>Issuance costs in accounts payable and accrued expenses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638</w:t>
            </w:r>
          </w:p>
        </w:tc>
        <w:tc>
          <w:tcPr>
            <w:tcW w:w="7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Capital expenditures in accounts payable and accrued expenses</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w:t>
            </w:r>
          </w:p>
        </w:tc>
        <w:tc>
          <w:tcPr>
            <w:tcW w:w="760" w:type="dxa"/>
            <w:vAlign w:val="bottom"/>
            <w:gridSpan w:val="2"/>
            <w:shd w:val="clear" w:color="auto" w:fill="CFF0FC"/>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-2399665</wp:posOffset>
            </wp:positionV>
            <wp:extent cx="102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-2009140</wp:posOffset>
            </wp:positionV>
            <wp:extent cx="128270" cy="1708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270" cy="1708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-1071245</wp:posOffset>
            </wp:positionV>
            <wp:extent cx="1028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-805180</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1" w:name="page12"/>
    <w:bookmarkEnd w:id="11"/>
    <w:p>
      <w:pPr>
        <w:ind w:left="430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Candel Therapeutics, Inc., formerly known as Advantagene, Inc. (the Company), is a clinical stage biopharmaceutical company that was incorporated in Delaware in June 2003. On November 30, 2020, the Company changed its name to Candel Therapeutics, Inc. The Company is focused on developing off-the-shelf viral immunotherapies that elicit an individualized, systemic anti-tumor immune response to help patients fight cancer. The Company’s engineered viruses are designed to induce immunogenic cell death through direct viral-mediated cytotoxicity in cancer cells, thus releasing tumor neo-antigens and creating a pro-inflammatory microenvironment at the site of injection. This is intended to lead to in-situ immunization against the injected tumor and uninjected distant metastases. The Company has established two off-the-shelf viral immunotherapy platforms and its two product candidates, CAN-2409 and CAN-3110, are in clinical trials for a number of tumor types. Additionally, the Company and the University of Pennsylvania (UPenn) are collaborating to study the impact of novel viral immunotherapies based on Candel's propriety enLIGHTEN™ Discovery Platform, a systematic, iterative herpes simplex virus based platform leveraging human biology and advanced analytics, to strengthen the effects of UPenn's investigational CAR-T cell therapies in solid tumors.</w:t>
      </w:r>
    </w:p>
    <w:p>
      <w:pPr>
        <w:spacing w:after="0" w:line="7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Company is subject to risks and uncertainties common to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Since inception, the Company has funded its operations primarily with proceeds from the sale of its convertible notes and capital stock and from debt borrowings. The Company had net income of $2.6 million and a net loss of $30.5 million for the six months ended June 30, 2025 and 2024, respectively. In addition, as of June 30, 2025, the Company had an accumulated deficit of $189.6 million. The Company expects to continue to generate operating losses and negative cash flows from operations for the foreseeable future.</w:t>
      </w:r>
    </w:p>
    <w:p>
      <w:pPr>
        <w:spacing w:after="0" w:line="6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On August 5, 2022, the Company filed a shelf registration statement on Form S-3 (as amended to date, the Shelf) with the U.S. Securities and Exchange Commission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and expired on August 12, 2025. As of June 30, 2025, the Company sold and issued 3,923,829 shares of common stock under the ATM Program, with total net proceeds of $20.9 million. Subsequent to June 30, 2025 and through August 5, 2025, the Company has not sold any additional shares of common stock under the ATM Program.</w:t>
      </w:r>
    </w:p>
    <w:p>
      <w:pPr>
        <w:spacing w:after="0" w:line="10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On December 16, 2024, the Company completed a public offering of its common stock and, in lieu of common stock to certain investors, pre-funded warrants to purchase shares of its common stock. The Company issued and sold 12,000,001 shares of common stock, including full exercise of the underwriters’ option to purchase an additional 2,000,000 shares, at a public offering price of $6.00 per share. Additionally, in lieu of common stock to certain investors, the Company issued and sold pre-funded warrants to purchase 3,333,333 shares of its common stock at a public offering price of $5.99 per pre-funded warrant, which represents the per share public offering price of each share of common stock less the $0.01 per share exercise price for each pre-funded warrant. The aggregate gross proceeds before deducting underwriting discounts and commissions, and other estimated offering expenses payable by the Company were approximately $92.0 million.</w:t>
      </w:r>
    </w:p>
    <w:p>
      <w:pPr>
        <w:spacing w:after="0" w:line="74" w:lineRule="exact"/>
        <w:rPr>
          <w:sz w:val="20"/>
          <w:szCs w:val="20"/>
          <w:color w:val="auto"/>
        </w:rPr>
      </w:pPr>
    </w:p>
    <w:p>
      <w:pPr>
        <w:ind w:right="380"/>
        <w:spacing w:after="0" w:line="244" w:lineRule="auto"/>
        <w:rPr>
          <w:sz w:val="20"/>
          <w:szCs w:val="20"/>
          <w:color w:val="auto"/>
        </w:rPr>
      </w:pPr>
      <w:r>
        <w:rPr>
          <w:rFonts w:ascii="Arial" w:cs="Arial" w:eastAsia="Arial" w:hAnsi="Arial"/>
          <w:sz w:val="17"/>
          <w:szCs w:val="17"/>
          <w:color w:val="auto"/>
        </w:rPr>
        <w:t>On June 25, 2025, the Company completed a registered direct offering of its common stock. The Company issued and sold 3,221,395 shares of common stock, at a price of $4.67 per share to purchasers including existing healthcare-focused institutional investors, executive officers, and directors of the Company. The aggregate gross proceeds before deducting estimated offering expenses payable by the Company were approximately $15.0 million.</w:t>
      </w:r>
    </w:p>
    <w:p>
      <w:pPr>
        <w:spacing w:after="0" w:line="6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The Company believes that existing resources will fund planned operations for at least 12 months from the issuance date of these condensed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Accordingly, the condensed consolidated financial statements have been prepared on a basis that assumes the Company will</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2" w:name="page13"/>
    <w:bookmarkEnd w:id="12"/>
    <w:p>
      <w:pPr>
        <w:ind w:right="100"/>
        <w:spacing w:after="0" w:line="267" w:lineRule="auto"/>
        <w:rPr>
          <w:sz w:val="20"/>
          <w:szCs w:val="20"/>
          <w:color w:val="auto"/>
        </w:rPr>
      </w:pPr>
      <w:r>
        <w:rPr>
          <w:rFonts w:ascii="Arial" w:cs="Arial" w:eastAsia="Arial" w:hAnsi="Arial"/>
          <w:sz w:val="17"/>
          <w:szCs w:val="17"/>
          <w:color w:val="auto"/>
        </w:rPr>
        <w:t>continue as a going concern and that contemplates the realization of assets and satisfaction of liabilities and commitments in the ordinary course of business.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8"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standards set by the Financial Accounting Standards Board (FASB). The FASB sets generally accepted accounting principles (GAAP) that the Company follows to ensure its financial condition, results of operations, and cash flows are consistently reported. References to GAAP issued by the FASB in these notes to the condensed consolidated financial statements are to the FASB Accounting Standards Codification (ASC).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8" w:lineRule="exact"/>
        <w:rPr>
          <w:sz w:val="20"/>
          <w:szCs w:val="20"/>
          <w:color w:val="auto"/>
        </w:rPr>
      </w:pPr>
    </w:p>
    <w:p>
      <w:pPr>
        <w:ind w:right="660"/>
        <w:spacing w:after="0" w:line="267" w:lineRule="auto"/>
        <w:rPr>
          <w:sz w:val="20"/>
          <w:szCs w:val="20"/>
          <w:color w:val="auto"/>
        </w:rPr>
      </w:pPr>
      <w:r>
        <w:rPr>
          <w:rFonts w:ascii="Arial" w:cs="Arial" w:eastAsia="Arial" w:hAnsi="Arial"/>
          <w:sz w:val="17"/>
          <w:szCs w:val="17"/>
          <w:color w:val="auto"/>
        </w:rPr>
        <w:t>The condensed consolidated financial statements include the accounts of Candel Therapeutics, Inc. and its wholly owned subsidiary Candel Therapeutics Securities Corporation. All intercompany transactions and balances have been eliminated.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is (i)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98"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accompanying condensed consolidated balance sheet as of June 30, 2025, the condensed consolidated statements of operations and comprehensive income (loss) for the three and six months ended June 30, 2025 and 2024, the condensed consolidated statements of stockholders’ equity (deficit) for the three and six months ended June 30, 2025 and 2024, the condensed consolidated statements of cash flows for the six months ended June 30, 2025 and 2024, and the related interim disclosures are unaudited. These unaudited condensed consolidated financial statements include all adjustments necessary, consisting of only normal recurring adjustments,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unaudited condensed consolidated financial statements should be read in conjunction with the Company’s audited consolidated financial statements and notes thereto for the year ended December 31, 2024 included in the Company’s Annual Report on Form 10-K on file with the SEC.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8"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preparation of the Company’s condensed consolidated financial statements in conformity with GAAP requires management to make estimates and assumptions that affect the reported amounts of assets, liabilities, and related disclosure of contingent assets and liabilities at the date of the financial statements and reported amounts of revenue and expenses during the reporting period. On an ongoing basis, the Company’s management evaluates its estimates, which include but are not limited to management’s judgments of accrued expenses, valuation of stock-based option awards, valuations of warrants, and income taxes. Actual results could differ from those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98" w:lineRule="exact"/>
        <w:rPr>
          <w:sz w:val="20"/>
          <w:szCs w:val="20"/>
          <w:color w:val="auto"/>
        </w:rPr>
      </w:pPr>
    </w:p>
    <w:p>
      <w:pPr>
        <w:ind w:right="560"/>
        <w:spacing w:after="0" w:line="267" w:lineRule="auto"/>
        <w:rPr>
          <w:sz w:val="20"/>
          <w:szCs w:val="20"/>
          <w:color w:val="auto"/>
        </w:rPr>
      </w:pPr>
      <w:r>
        <w:rPr>
          <w:rFonts w:ascii="Arial" w:cs="Arial" w:eastAsia="Arial" w:hAnsi="Arial"/>
          <w:sz w:val="17"/>
          <w:szCs w:val="17"/>
          <w:color w:val="auto"/>
        </w:rPr>
        <w:t>The Company had $0.3 million of restricted cash as of both June 30, 2025 and December 31, 2024, which represents cash held as a security deposit under the terms of the Company’s Needham, Massachusetts facility lease.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98"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In November 2023, the FASB issued Accounting Standards Update (ASU) 2023-07, Segment Reporting: Improvements to Reportable Segment Disclosures, which amends guidance in ASC 280, Segment Reporting. The amendments in this ASU expand segment disclosure requirements, including new segment disclosure requirements for entities with a single reportable segment, among other disclosure requirements. The ASU’s amendments are effective for public business entities for interim periods beginning after December 15, 2024. The Company adopted ASU 2023-07 on an interim basis beginning on January 1, 2025 (see Note 16).</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October 2023, the FASB issued ASU 2023-06, Disclosure Improvements: Codification Amendments in Response to the SEC's Disclosure Update and Simplification Initiative, which modifies the disclosure or presentation requirements related to a variety of FASB Accounting Standard Codification topics. The effective date for each amendment will be the date on which the SEC's removal of that related disclosure from Regulation S-X or Regulation S-K is effective, with early adoption prohibited. If by June 30, 2027, the SEC has not removed the applicable requirement from Regulation S-X or Regulation S-K, the pending content of the associated amendment will be removed from the Codification and will not become effective for any entities. The Company is currently evaluating the potential impact that ASU 2023-06 may have on its condensed consolidated financial statements and related disclosures.</w:t>
      </w:r>
    </w:p>
    <w:p>
      <w:pPr>
        <w:spacing w:after="0" w:line="7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December 2023, the FASB issued ASU 2023-09, Improvements to Income Tax Disclosures, which amends the guidance in ASC 740, Income Taxes. The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ASU’s amendments are effective for public business entities for annual periods beginning after December 15, 2024. Early adoption is permitted. Adoption can be either prospectively or retrospectively applied, and the Company will adopt this ASU on a prospective basis. The Company is currently evaluating the potential impact that ASU 2023-09 may have on its condensed consolidated financial statements and related disclosures.</w:t>
      </w:r>
    </w:p>
    <w:p>
      <w:pPr>
        <w:spacing w:after="0" w:line="74"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In November 2024, the FASB issued ASU 2024-03, Income Statement-Reporting Comprehensive Income-Expense Disaggregation Disclosures (Subtopic 220-40): Disaggregation of Income Statement Expenses, which requires additional disclosure in the notes to the financial statements of the nature of certain expenses included in the income statement. The ASU's amendments are effective for annual reporting periods beginning after December 15, 2026, and interim reporting periods beginning after December 15, 2027. Early adoption is permitted. Adoption can be either prospectively or retrospectively applied. The Company is currently evaluating the potential impact that ASU 2024-03 may have on its consolidated financial statements and related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0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AS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center"/>
              <w:ind w:right="36"/>
              <w:spacing w:after="0"/>
              <w:rPr>
                <w:sz w:val="20"/>
                <w:szCs w:val="20"/>
                <w:color w:val="auto"/>
              </w:rPr>
            </w:pPr>
            <w:r>
              <w:rPr>
                <w:rFonts w:ascii="Arial" w:cs="Arial" w:eastAsia="Arial" w:hAnsi="Arial"/>
                <w:sz w:val="14"/>
                <w:szCs w:val="14"/>
                <w:b w:val="1"/>
                <w:bCs w:val="1"/>
                <w:color w:val="auto"/>
              </w:rPr>
              <w:t>JUNE 30, 2025 USING:</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55"/>
        </w:trPr>
        <w:tc>
          <w:tcPr>
            <w:tcW w:w="36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3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36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w:t>
            </w:r>
          </w:p>
        </w:tc>
        <w:tc>
          <w:tcPr>
            <w:tcW w:w="22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1,146</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1,146</w:t>
            </w:r>
          </w:p>
        </w:tc>
      </w:tr>
      <w:tr>
        <w:trPr>
          <w:trHeight w:val="216"/>
        </w:trPr>
        <w:tc>
          <w:tcPr>
            <w:tcW w:w="36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w:t>
            </w:r>
          </w:p>
        </w:tc>
        <w:tc>
          <w:tcPr>
            <w:tcW w:w="3140" w:type="dxa"/>
            <w:vAlign w:val="bottom"/>
            <w:gridSpan w:val="2"/>
            <w:shd w:val="clear" w:color="auto" w:fill="CFF0FC"/>
          </w:tcPr>
          <w:p>
            <w:pPr>
              <w:jc w:val="right"/>
              <w:ind w:right="72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4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72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4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1,146</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1,146</w:t>
            </w: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r>
        <w:trPr>
          <w:trHeight w:val="336"/>
        </w:trPr>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AS OF</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1"/>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center"/>
              <w:ind w:right="56"/>
              <w:spacing w:after="0"/>
              <w:rPr>
                <w:sz w:val="20"/>
                <w:szCs w:val="20"/>
                <w:color w:val="auto"/>
              </w:rPr>
            </w:pPr>
            <w:r>
              <w:rPr>
                <w:rFonts w:ascii="Arial" w:cs="Arial" w:eastAsia="Arial" w:hAnsi="Arial"/>
                <w:sz w:val="14"/>
                <w:szCs w:val="14"/>
                <w:b w:val="1"/>
                <w:bCs w:val="1"/>
                <w:color w:val="auto"/>
              </w:rPr>
              <w:t>DECEMBER 31, 2024 USING:</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55"/>
        </w:trPr>
        <w:tc>
          <w:tcPr>
            <w:tcW w:w="36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3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36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w:t>
            </w:r>
          </w:p>
        </w:tc>
        <w:tc>
          <w:tcPr>
            <w:tcW w:w="22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21,718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21,718</w:t>
            </w:r>
          </w:p>
        </w:tc>
      </w:tr>
      <w:tr>
        <w:trPr>
          <w:trHeight w:val="216"/>
        </w:trPr>
        <w:tc>
          <w:tcPr>
            <w:tcW w:w="36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w:t>
            </w:r>
          </w:p>
        </w:tc>
        <w:tc>
          <w:tcPr>
            <w:tcW w:w="3140" w:type="dxa"/>
            <w:vAlign w:val="bottom"/>
            <w:gridSpan w:val="2"/>
            <w:shd w:val="clear" w:color="auto" w:fill="CFF0FC"/>
          </w:tcPr>
          <w:p>
            <w:pPr>
              <w:jc w:val="right"/>
              <w:ind w:right="72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4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72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4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21,718</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21,718</w:t>
            </w: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-899795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-882015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-899795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-882015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-899795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-882015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68"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following table provides a roll forward of the aggregate fair values of the Company’s warrant liability, for which fair value is determined by Level 3 inputs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center"/>
              <w:ind w:right="379"/>
              <w:spacing w:after="0"/>
              <w:rPr>
                <w:sz w:val="20"/>
                <w:szCs w:val="20"/>
                <w:color w:val="auto"/>
              </w:rPr>
            </w:pPr>
            <w:r>
              <w:rPr>
                <w:rFonts w:ascii="Arial" w:cs="Arial" w:eastAsia="Arial" w:hAnsi="Arial"/>
                <w:sz w:val="14"/>
                <w:szCs w:val="14"/>
                <w:b w:val="1"/>
                <w:bCs w:val="1"/>
                <w:color w:val="auto"/>
              </w:rPr>
              <w:t>SERIES B</w:t>
            </w:r>
          </w:p>
        </w:tc>
      </w:tr>
      <w:tr>
        <w:trPr>
          <w:trHeight w:val="162"/>
        </w:trPr>
        <w:tc>
          <w:tcPr>
            <w:tcW w:w="9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center"/>
              <w:ind w:right="379"/>
              <w:spacing w:after="0"/>
              <w:rPr>
                <w:sz w:val="20"/>
                <w:szCs w:val="20"/>
                <w:color w:val="auto"/>
              </w:rPr>
            </w:pPr>
            <w:r>
              <w:rPr>
                <w:rFonts w:ascii="Arial" w:cs="Arial" w:eastAsia="Arial" w:hAnsi="Arial"/>
                <w:sz w:val="14"/>
                <w:szCs w:val="14"/>
                <w:b w:val="1"/>
                <w:bCs w:val="1"/>
                <w:color w:val="auto"/>
              </w:rPr>
              <w:t>WARRANT</w:t>
            </w:r>
          </w:p>
        </w:tc>
      </w:tr>
      <w:tr>
        <w:trPr>
          <w:trHeight w:val="171"/>
        </w:trPr>
        <w:tc>
          <w:tcPr>
            <w:tcW w:w="9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rPr>
              <w:t>LIABILITY</w:t>
            </w:r>
          </w:p>
        </w:tc>
      </w:tr>
      <w:tr>
        <w:trPr>
          <w:trHeight w:val="196"/>
        </w:trPr>
        <w:tc>
          <w:tcPr>
            <w:tcW w:w="9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2024</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21,718</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Change in fair value</w:t>
            </w: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(20,572)</w:t>
            </w:r>
          </w:p>
        </w:tc>
      </w:tr>
      <w:tr>
        <w:trPr>
          <w:trHeight w:val="236"/>
        </w:trPr>
        <w:tc>
          <w:tcPr>
            <w:tcW w:w="92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at June 30, 2025</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1,146</w:t>
            </w:r>
          </w:p>
        </w:tc>
      </w:tr>
    </w:tbl>
    <w:p>
      <w:pPr>
        <w:spacing w:after="0" w:line="86" w:lineRule="exact"/>
        <w:rPr>
          <w:sz w:val="20"/>
          <w:szCs w:val="20"/>
          <w:color w:val="auto"/>
        </w:rPr>
      </w:pPr>
    </w:p>
    <w:p>
      <w:pPr>
        <w:ind w:right="400"/>
        <w:spacing w:after="0" w:line="267" w:lineRule="auto"/>
        <w:rPr>
          <w:sz w:val="20"/>
          <w:szCs w:val="20"/>
          <w:color w:val="auto"/>
        </w:rPr>
      </w:pPr>
      <w:r>
        <w:rPr>
          <w:rFonts w:ascii="Arial" w:cs="Arial" w:eastAsia="Arial" w:hAnsi="Arial"/>
          <w:sz w:val="17"/>
          <w:szCs w:val="17"/>
          <w:color w:val="auto"/>
        </w:rPr>
        <w:t>The carrying value of cash equivalents (considered as Level 1 measurements) approximates the fair value due to the short-term nature of these assets.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Fixed Assets, Net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Fixed assets, net consisted of the following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474"/>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2024</w:t>
            </w:r>
          </w:p>
        </w:tc>
      </w:tr>
      <w:tr>
        <w:trPr>
          <w:trHeight w:val="196"/>
        </w:trPr>
        <w:tc>
          <w:tcPr>
            <w:tcW w:w="7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Laboratory equipment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1,208</w:t>
            </w:r>
          </w:p>
        </w:tc>
        <w:tc>
          <w:tcPr>
            <w:tcW w:w="3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1,219</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Manufacturing equipment</w:t>
            </w:r>
          </w:p>
        </w:tc>
        <w:tc>
          <w:tcPr>
            <w:tcW w:w="280" w:type="dxa"/>
            <w:vAlign w:val="bottom"/>
          </w:tcPr>
          <w:p>
            <w:pPr>
              <w:spacing w:after="0"/>
              <w:rPr>
                <w:sz w:val="17"/>
                <w:szCs w:val="17"/>
                <w:color w:val="auto"/>
              </w:rPr>
            </w:pPr>
          </w:p>
        </w:tc>
        <w:tc>
          <w:tcPr>
            <w:tcW w:w="1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695</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159</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159</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Networking and computer equipment</w:t>
            </w:r>
          </w:p>
        </w:tc>
        <w:tc>
          <w:tcPr>
            <w:tcW w:w="280" w:type="dxa"/>
            <w:vAlign w:val="bottom"/>
          </w:tcPr>
          <w:p>
            <w:pPr>
              <w:spacing w:after="0"/>
              <w:rPr>
                <w:sz w:val="17"/>
                <w:szCs w:val="17"/>
                <w:color w:val="auto"/>
              </w:rPr>
            </w:pPr>
          </w:p>
        </w:tc>
        <w:tc>
          <w:tcPr>
            <w:tcW w:w="1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85</w:t>
            </w:r>
          </w:p>
        </w:tc>
      </w:tr>
      <w:tr>
        <w:trPr>
          <w:trHeight w:val="203"/>
        </w:trPr>
        <w:tc>
          <w:tcPr>
            <w:tcW w:w="7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3,109</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3,109</w:t>
            </w: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fixed assets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5,216</w:t>
            </w:r>
          </w:p>
        </w:tc>
        <w:tc>
          <w:tcPr>
            <w:tcW w:w="3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5,267</w:t>
            </w:r>
          </w:p>
        </w:tc>
      </w:tr>
      <w:tr>
        <w:trPr>
          <w:trHeight w:val="203"/>
        </w:trPr>
        <w:tc>
          <w:tcPr>
            <w:tcW w:w="7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(3,558)</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(3,076)</w:t>
            </w:r>
          </w:p>
        </w:tc>
      </w:tr>
      <w:tr>
        <w:trPr>
          <w:trHeight w:val="196"/>
        </w:trPr>
        <w:tc>
          <w:tcPr>
            <w:tcW w:w="774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Fixed assets, net</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1,658</w:t>
            </w:r>
          </w:p>
        </w:tc>
        <w:tc>
          <w:tcPr>
            <w:tcW w:w="3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2,191</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-427990</wp:posOffset>
            </wp:positionV>
            <wp:extent cx="1111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1111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$0.2 million and $0.5 million for each of the three and six months ended June 30, 2025 and 2024,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2024</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Payroll and employee related expenses</w:t>
            </w:r>
          </w:p>
        </w:tc>
        <w:tc>
          <w:tcPr>
            <w:tcW w:w="1080" w:type="dxa"/>
            <w:vAlign w:val="bottom"/>
            <w:shd w:val="clear" w:color="auto" w:fill="CFF0FC"/>
          </w:tcPr>
          <w:p>
            <w:pPr>
              <w:jc w:val="right"/>
              <w:ind w:right="899"/>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7"/>
              </w:rPr>
              <w:t>1,933</w:t>
            </w:r>
          </w:p>
        </w:tc>
        <w:tc>
          <w:tcPr>
            <w:tcW w:w="3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3,038</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Professional fees</w:t>
            </w:r>
          </w:p>
        </w:tc>
        <w:tc>
          <w:tcPr>
            <w:tcW w:w="1080" w:type="dxa"/>
            <w:vAlign w:val="bottom"/>
          </w:tcPr>
          <w:p>
            <w:pPr>
              <w:spacing w:after="0"/>
              <w:rPr>
                <w:sz w:val="17"/>
                <w:szCs w:val="17"/>
                <w:color w:val="auto"/>
              </w:rPr>
            </w:pP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7"/>
              </w:rPr>
              <w:t>1,110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920</w:t>
            </w: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Third-party research and development expenses</w:t>
            </w:r>
          </w:p>
        </w:tc>
        <w:tc>
          <w:tcPr>
            <w:tcW w:w="108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7"/>
              </w:rPr>
              <w:t>1,009</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765</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266</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390</w:t>
            </w:r>
          </w:p>
        </w:tc>
      </w:tr>
      <w:tr>
        <w:trPr>
          <w:trHeight w:val="216"/>
        </w:trPr>
        <w:tc>
          <w:tcPr>
            <w:tcW w:w="77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899"/>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7"/>
              </w:rPr>
              <w:t>4,318</w:t>
            </w:r>
          </w:p>
        </w:tc>
        <w:tc>
          <w:tcPr>
            <w:tcW w:w="3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5,113</w:t>
            </w: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-25400</wp:posOffset>
            </wp:positionV>
            <wp:extent cx="1028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w:t>
      </w:r>
    </w:p>
    <w:p>
      <w:pPr>
        <w:spacing w:after="0" w:line="10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On February 24, 2022, the Company entered into a four-year loan and security agreement (the Loan Agreement) with Silicon Valley Bank (SVB) pursuant to which SVB has agreed to provide term loans to the Company in an aggregate principal amount of up to $25.0 million. The Company borrowed $20.0 million upon entering into the Loan Agreement. The term loan is secured by substantially all of the Company’s properties, rights and assets, except for its intellectual property, which is subject to a negative pledge under the Loan Agreement.</w:t>
      </w:r>
    </w:p>
    <w:p>
      <w:pPr>
        <w:spacing w:after="0" w:line="69"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The Company is required to make monthly interest payments, and commencing on February 1, 2024, 24 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repayment.</w:t>
      </w:r>
    </w:p>
    <w:p>
      <w:pPr>
        <w:spacing w:after="0" w:line="74"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During the three and six months ended June 30, 2025, the Company recorded interest expense relating to the Loan Agreement of $0.2 million and $0.5 million, respectively. During the three and six months ended June 30, 2024, the Company recorded interest expense relating to the Loan Agreement of $0.5 million and $1.2 million, respectively. The weighted average effective interest rate as of June 30, 2025 was 11.79%.</w:t>
      </w:r>
    </w:p>
    <w:p>
      <w:pPr>
        <w:spacing w:after="0" w:line="67"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color w:val="auto"/>
        </w:rPr>
        <w:t>The Company incurred $89,000 of debt issuance costs and will incur a $0.9 million final payment fee, which were recorded as debt discount and are being amortized over the term of the Loan Agreement. The scheduled principal payments and net carrying amount of the term loan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1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2025 (remaining six months)</w:t>
            </w:r>
          </w:p>
        </w:tc>
        <w:tc>
          <w:tcPr>
            <w:tcW w:w="1460" w:type="dxa"/>
            <w:vAlign w:val="bottom"/>
            <w:shd w:val="clear" w:color="auto" w:fill="CFF0FC"/>
          </w:tcPr>
          <w:p>
            <w:pPr>
              <w:jc w:val="right"/>
              <w:ind w:right="1270"/>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14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833</w:t>
            </w:r>
          </w:p>
        </w:tc>
        <w:tc>
          <w:tcPr>
            <w:tcW w:w="100" w:type="dxa"/>
            <w:vAlign w:val="bottom"/>
          </w:tcPr>
          <w:p>
            <w:pPr>
              <w:spacing w:after="0"/>
              <w:rPr>
                <w:sz w:val="17"/>
                <w:szCs w:val="17"/>
                <w:color w:val="auto"/>
              </w:rPr>
            </w:pPr>
          </w:p>
        </w:tc>
      </w:tr>
      <w:tr>
        <w:trPr>
          <w:trHeight w:val="196"/>
        </w:trPr>
        <w:tc>
          <w:tcPr>
            <w:tcW w:w="78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principal</w:t>
            </w:r>
          </w:p>
        </w:tc>
        <w:tc>
          <w:tcPr>
            <w:tcW w:w="146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5,833</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Final payment fee</w:t>
            </w:r>
          </w:p>
        </w:tc>
        <w:tc>
          <w:tcPr>
            <w:tcW w:w="14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debt discount</w:t>
            </w:r>
          </w:p>
        </w:tc>
        <w:tc>
          <w:tcPr>
            <w:tcW w:w="146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(989)</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Accretion of debt discount</w:t>
            </w:r>
          </w:p>
        </w:tc>
        <w:tc>
          <w:tcPr>
            <w:tcW w:w="14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960</w:t>
            </w:r>
          </w:p>
        </w:tc>
        <w:tc>
          <w:tcPr>
            <w:tcW w:w="100" w:type="dxa"/>
            <w:vAlign w:val="bottom"/>
          </w:tcPr>
          <w:p>
            <w:pPr>
              <w:spacing w:after="0"/>
              <w:rPr>
                <w:sz w:val="17"/>
                <w:szCs w:val="17"/>
                <w:color w:val="auto"/>
              </w:rPr>
            </w:pPr>
          </w:p>
        </w:tc>
      </w:tr>
      <w:tr>
        <w:trPr>
          <w:trHeight w:val="236"/>
        </w:trPr>
        <w:tc>
          <w:tcPr>
            <w:tcW w:w="7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carrying amount</w:t>
            </w:r>
          </w:p>
        </w:tc>
        <w:tc>
          <w:tcPr>
            <w:tcW w:w="1460" w:type="dxa"/>
            <w:vAlign w:val="bottom"/>
            <w:tcBorders>
              <w:bottom w:val="single" w:sz="8" w:color="auto"/>
            </w:tcBorders>
            <w:shd w:val="clear" w:color="auto" w:fill="CFF0FC"/>
          </w:tcPr>
          <w:p>
            <w:pPr>
              <w:jc w:val="right"/>
              <w:ind w:right="127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6,704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Company's term loan approximates fair value.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Long-Term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Periphagen Note</w:t>
      </w:r>
    </w:p>
    <w:p>
      <w:pPr>
        <w:spacing w:after="0" w:line="98"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On December 9, 2019, the Company entered into a series of asset purchase agreements with Periphagen, Inc. (Periphagen), a biopharmaceutical company focused on the development of gene therapy vectors. Under the terms of the asset purchase agreements, the Company assumed a $1.0 million promissory note (the Periphagen Note) bearing a contractual interest rate of 2% compounded annually, with the outstanding balance and accrued interest due upon maturity in November 2027, with no interim installments due. The estimated market rate for the Company for an unsecured loan with a maturity in November 2027 was determined to be 15.83% as of December 9, 2019. Although the Company does not have a public credit rating, management estimates a CCC credit rating based on the Company’s financial position and stage of development. Using the commensurate rate for a CCC rated company and based on the amount due at maturity, the present value of the future cash outflow was determined to be $0.4 million at the transaction date. As of June 30, 2025, the carrying value of the note is $0.9 million. The carrying value of the note approximates fair value. Upon maturity, the Company will pay Periphagen $1.4 million for the outstanding balance and accrued interest due.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Lease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On February 4, 2019, the Company signed a lease agreement for its corporate headquarters at 117 Kendrick Street in Needham, Massachusetts.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The facility consists of a 15,197 square foot property which houses the corporate, clinical, laboratory and manufacturing operations for the Company.</w:t>
      </w:r>
    </w:p>
    <w:p>
      <w:pPr>
        <w:spacing w:after="0"/>
        <w:rPr>
          <w:sz w:val="20"/>
          <w:szCs w:val="20"/>
          <w:color w:val="auto"/>
        </w:rPr>
      </w:pPr>
      <w:r>
        <w:rPr>
          <w:rFonts w:ascii="Arial" w:cs="Arial" w:eastAsia="Arial" w:hAnsi="Arial"/>
          <w:sz w:val="17"/>
          <w:szCs w:val="17"/>
          <w:color w:val="auto"/>
        </w:rPr>
        <w:t>The lease term ends on August 31, 2026.</w:t>
      </w:r>
    </w:p>
    <w:p>
      <w:pPr>
        <w:spacing w:after="0" w:line="86" w:lineRule="exact"/>
        <w:rPr>
          <w:sz w:val="20"/>
          <w:szCs w:val="20"/>
          <w:color w:val="auto"/>
        </w:rPr>
      </w:pPr>
    </w:p>
    <w:p>
      <w:pPr>
        <w:jc w:val="both"/>
        <w:ind w:right="280"/>
        <w:spacing w:after="0" w:line="249" w:lineRule="auto"/>
        <w:rPr>
          <w:sz w:val="20"/>
          <w:szCs w:val="20"/>
          <w:color w:val="auto"/>
        </w:rPr>
      </w:pPr>
      <w:r>
        <w:rPr>
          <w:rFonts w:ascii="Arial" w:cs="Arial" w:eastAsia="Arial" w:hAnsi="Arial"/>
          <w:sz w:val="17"/>
          <w:szCs w:val="17"/>
          <w:color w:val="auto"/>
        </w:rPr>
        <w:t>For the three and six months ended June 30, 2025, the Company recorded $90,000 and $0.2 million of operating lease cost, respectively, and for the three and six months ended June 30, 2025, the Company recorded $39,000 and $80,000, respectively, of variable lease cost. The total lease expense for each of the three and six months ended June 30, 2025 was $0.1 million and $0.3 million, respectively.</w:t>
      </w:r>
    </w:p>
    <w:p>
      <w:pPr>
        <w:spacing w:after="0" w:line="67" w:lineRule="exact"/>
        <w:rPr>
          <w:sz w:val="20"/>
          <w:szCs w:val="20"/>
          <w:color w:val="auto"/>
        </w:rPr>
      </w:pPr>
    </w:p>
    <w:p>
      <w:pPr>
        <w:jc w:val="both"/>
        <w:ind w:right="280"/>
        <w:spacing w:after="0" w:line="249" w:lineRule="auto"/>
        <w:rPr>
          <w:sz w:val="20"/>
          <w:szCs w:val="20"/>
          <w:color w:val="auto"/>
        </w:rPr>
      </w:pPr>
      <w:r>
        <w:rPr>
          <w:rFonts w:ascii="Arial" w:cs="Arial" w:eastAsia="Arial" w:hAnsi="Arial"/>
          <w:sz w:val="17"/>
          <w:szCs w:val="17"/>
          <w:color w:val="auto"/>
        </w:rPr>
        <w:t>For the three and six months ended June 30, 2024, the Company recorded $90,000 and $0.2 million of operating lease cost, respectively, and for the three and six months ended June 30, 2024, the Company recorded $44,000 and $83,000, respectively, of variable lease cost. The total lease expense for each of the three and six months ended June 30, 2024 was $0.1 million and $0.3 million, respectively.</w:t>
      </w:r>
    </w:p>
    <w:p>
      <w:pPr>
        <w:spacing w:after="0" w:line="67" w:lineRule="exact"/>
        <w:rPr>
          <w:sz w:val="20"/>
          <w:szCs w:val="20"/>
          <w:color w:val="auto"/>
        </w:rPr>
      </w:pPr>
    </w:p>
    <w:p>
      <w:pPr>
        <w:ind w:right="560"/>
        <w:spacing w:after="0" w:line="249" w:lineRule="auto"/>
        <w:rPr>
          <w:sz w:val="20"/>
          <w:szCs w:val="20"/>
          <w:color w:val="auto"/>
        </w:rPr>
      </w:pPr>
      <w:r>
        <w:rPr>
          <w:rFonts w:ascii="Arial" w:cs="Arial" w:eastAsia="Arial" w:hAnsi="Arial"/>
          <w:sz w:val="17"/>
          <w:szCs w:val="17"/>
          <w:color w:val="auto"/>
        </w:rPr>
        <w:t>Cash paid for amounts included in the lease liability for the three and six months ended June 30, 2025 was $0.2 million and $0.3 million, respectively. Cash paid for amounts included in the lease liability for the three and six months ended June 30, 2024 was $0.1 million and $0.3 million, respectively.</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438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Other Information</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43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01"/>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96"/>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spacing w:after="0"/>
              <w:rPr>
                <w:sz w:val="13"/>
                <w:szCs w:val="13"/>
                <w:color w:val="auto"/>
              </w:rPr>
            </w:pPr>
          </w:p>
        </w:tc>
        <w:tc>
          <w:tcPr>
            <w:tcW w:w="4380" w:type="dxa"/>
            <w:vAlign w:val="bottom"/>
            <w:shd w:val="clear" w:color="auto" w:fill="CFF0FC"/>
          </w:tcPr>
          <w:p>
            <w:pPr>
              <w:spacing w:after="0" w:line="160" w:lineRule="exact"/>
              <w:rPr>
                <w:sz w:val="20"/>
                <w:szCs w:val="20"/>
                <w:color w:val="auto"/>
              </w:rPr>
            </w:pPr>
            <w:r>
              <w:rPr>
                <w:rFonts w:ascii="Arial" w:cs="Arial" w:eastAsia="Arial" w:hAnsi="Arial"/>
                <w:sz w:val="17"/>
                <w:szCs w:val="17"/>
                <w:color w:val="auto"/>
              </w:rPr>
              <w:t>Operating cash flows used for operating leases (in</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7"/>
                <w:szCs w:val="17"/>
                <w:color w:val="auto"/>
              </w:rPr>
              <w:t>thousands)</w:t>
            </w: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304</w:t>
            </w:r>
          </w:p>
        </w:tc>
        <w:tc>
          <w:tcPr>
            <w:tcW w:w="3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296</w:t>
            </w:r>
          </w:p>
        </w:tc>
        <w:tc>
          <w:tcPr>
            <w:tcW w:w="160" w:type="dxa"/>
            <w:vAlign w:val="bottom"/>
            <w:shd w:val="clear" w:color="auto" w:fill="CFF0FC"/>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4380" w:type="dxa"/>
            <w:vAlign w:val="bottom"/>
          </w:tcPr>
          <w:p>
            <w:pPr>
              <w:ind w:left="40"/>
              <w:spacing w:after="0" w:line="189" w:lineRule="exact"/>
              <w:rPr>
                <w:sz w:val="20"/>
                <w:szCs w:val="20"/>
                <w:color w:val="auto"/>
              </w:rPr>
            </w:pPr>
            <w:r>
              <w:rPr>
                <w:rFonts w:ascii="Arial" w:cs="Arial" w:eastAsia="Arial" w:hAnsi="Arial"/>
                <w:sz w:val="17"/>
                <w:szCs w:val="17"/>
                <w:color w:val="auto"/>
              </w:rPr>
              <w:t>Weighted-average remaining lease term (years)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7"/>
                <w:szCs w:val="17"/>
                <w:color w:val="auto"/>
              </w:rPr>
              <w:t>1.2</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2.2</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4380" w:type="dxa"/>
            <w:vAlign w:val="bottom"/>
            <w:shd w:val="clear" w:color="auto" w:fill="CFF0FC"/>
          </w:tcPr>
          <w:p>
            <w:pPr>
              <w:ind w:left="40"/>
              <w:spacing w:after="0" w:line="189" w:lineRule="exact"/>
              <w:rPr>
                <w:sz w:val="20"/>
                <w:szCs w:val="20"/>
                <w:color w:val="auto"/>
              </w:rPr>
            </w:pPr>
            <w:r>
              <w:rPr>
                <w:rFonts w:ascii="Arial" w:cs="Arial" w:eastAsia="Arial" w:hAnsi="Arial"/>
                <w:sz w:val="17"/>
                <w:szCs w:val="17"/>
                <w:color w:val="auto"/>
              </w:rPr>
              <w:t>Weighted-average incremental borrowing rate</w:t>
            </w: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7"/>
                <w:szCs w:val="17"/>
                <w:color w:val="auto"/>
              </w:rPr>
              <w:t>7.02%</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7.02%</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7960" w:type="dxa"/>
            <w:vAlign w:val="bottom"/>
            <w:gridSpan w:val="6"/>
          </w:tcPr>
          <w:p>
            <w:pPr>
              <w:spacing w:after="0"/>
              <w:rPr>
                <w:sz w:val="20"/>
                <w:szCs w:val="20"/>
                <w:color w:val="auto"/>
              </w:rPr>
            </w:pPr>
            <w:r>
              <w:rPr>
                <w:rFonts w:ascii="Arial" w:cs="Arial" w:eastAsia="Arial" w:hAnsi="Arial"/>
                <w:sz w:val="17"/>
                <w:szCs w:val="17"/>
                <w:color w:val="auto"/>
              </w:rPr>
              <w:t>The future lease payments under non-cancelable leases at June 30, 2025, are as follows (in thousands):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2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246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FF0FC"/>
          </w:tcPr>
          <w:p>
            <w:pPr>
              <w:jc w:val="right"/>
              <w:ind w:right="675"/>
              <w:spacing w:after="0" w:line="189" w:lineRule="exact"/>
              <w:rPr>
                <w:sz w:val="20"/>
                <w:szCs w:val="20"/>
                <w:color w:val="auto"/>
              </w:rPr>
            </w:pPr>
            <w:r>
              <w:rPr>
                <w:rFonts w:ascii="Arial" w:cs="Arial" w:eastAsia="Arial" w:hAnsi="Arial"/>
                <w:sz w:val="17"/>
                <w:szCs w:val="17"/>
                <w:color w:val="auto"/>
              </w:rPr>
              <w:t>2025</w:t>
            </w:r>
          </w:p>
        </w:tc>
        <w:tc>
          <w:tcPr>
            <w:tcW w:w="4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2460" w:type="dxa"/>
            <w:vAlign w:val="bottom"/>
            <w:gridSpan w:val="3"/>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309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right"/>
              <w:ind w:right="675"/>
              <w:spacing w:after="0" w:line="189" w:lineRule="exact"/>
              <w:rPr>
                <w:sz w:val="20"/>
                <w:szCs w:val="20"/>
                <w:color w:val="auto"/>
              </w:rPr>
            </w:pPr>
            <w:r>
              <w:rPr>
                <w:rFonts w:ascii="Arial" w:cs="Arial" w:eastAsia="Arial" w:hAnsi="Arial"/>
                <w:sz w:val="17"/>
                <w:szCs w:val="17"/>
                <w:color w:val="auto"/>
              </w:rPr>
              <w:t>2026</w:t>
            </w:r>
          </w:p>
        </w:tc>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20"/>
              <w:spacing w:after="0" w:line="189" w:lineRule="exact"/>
              <w:rPr>
                <w:sz w:val="20"/>
                <w:szCs w:val="20"/>
                <w:color w:val="auto"/>
              </w:rPr>
            </w:pPr>
            <w:r>
              <w:rPr>
                <w:rFonts w:ascii="Arial" w:cs="Arial" w:eastAsia="Arial" w:hAnsi="Arial"/>
                <w:sz w:val="17"/>
                <w:szCs w:val="17"/>
                <w:color w:val="auto"/>
              </w:rPr>
              <w:t>415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580" w:type="dxa"/>
            <w:vAlign w:val="bottom"/>
            <w:gridSpan w:val="2"/>
            <w:shd w:val="clear" w:color="auto" w:fill="CFF0FC"/>
          </w:tcPr>
          <w:p>
            <w:pPr>
              <w:ind w:left="300"/>
              <w:spacing w:after="0" w:line="183" w:lineRule="exact"/>
              <w:rPr>
                <w:sz w:val="20"/>
                <w:szCs w:val="20"/>
                <w:color w:val="auto"/>
              </w:rPr>
            </w:pPr>
            <w:r>
              <w:rPr>
                <w:rFonts w:ascii="Arial" w:cs="Arial" w:eastAsia="Arial" w:hAnsi="Arial"/>
                <w:sz w:val="17"/>
                <w:szCs w:val="17"/>
                <w:color w:val="auto"/>
              </w:rPr>
              <w:t>Total future lease payments</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60" w:type="dxa"/>
            <w:vAlign w:val="bottom"/>
            <w:gridSpan w:val="3"/>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724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80" w:type="dxa"/>
            <w:vAlign w:val="bottom"/>
            <w:gridSpan w:val="2"/>
          </w:tcPr>
          <w:p>
            <w:pPr>
              <w:spacing w:after="0" w:line="189" w:lineRule="exact"/>
              <w:rPr>
                <w:sz w:val="20"/>
                <w:szCs w:val="20"/>
                <w:color w:val="auto"/>
              </w:rPr>
            </w:pPr>
            <w:r>
              <w:rPr>
                <w:rFonts w:ascii="Arial" w:cs="Arial" w:eastAsia="Arial" w:hAnsi="Arial"/>
                <w:sz w:val="17"/>
                <w:szCs w:val="17"/>
                <w:color w:val="auto"/>
              </w:rPr>
              <w:t>Less: imputed interest</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6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gridSpan w:val="2"/>
            <w:shd w:val="clear" w:color="auto" w:fill="CFF0FC"/>
          </w:tcPr>
          <w:p>
            <w:pPr>
              <w:spacing w:after="0" w:line="183" w:lineRule="exact"/>
              <w:rPr>
                <w:sz w:val="20"/>
                <w:szCs w:val="20"/>
                <w:color w:val="auto"/>
              </w:rPr>
            </w:pPr>
            <w:r>
              <w:rPr>
                <w:rFonts w:ascii="Arial" w:cs="Arial" w:eastAsia="Arial" w:hAnsi="Arial"/>
                <w:sz w:val="17"/>
                <w:szCs w:val="17"/>
                <w:color w:val="auto"/>
              </w:rPr>
              <w:t>Total lease liability</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gridSpan w:val="3"/>
            <w:shd w:val="clear" w:color="auto" w:fill="CFF0FC"/>
          </w:tcPr>
          <w:p>
            <w:pPr>
              <w:jc w:val="right"/>
              <w:ind w:right="280"/>
              <w:spacing w:after="0" w:line="183" w:lineRule="exact"/>
              <w:rPr>
                <w:sz w:val="20"/>
                <w:szCs w:val="20"/>
                <w:color w:val="auto"/>
              </w:rPr>
            </w:pPr>
            <w:r>
              <w:rPr>
                <w:rFonts w:ascii="Arial" w:cs="Arial" w:eastAsia="Arial" w:hAnsi="Arial"/>
                <w:sz w:val="17"/>
                <w:szCs w:val="17"/>
                <w:color w:val="auto"/>
              </w:rPr>
              <w:t>$</w:t>
            </w:r>
          </w:p>
        </w:tc>
        <w:tc>
          <w:tcPr>
            <w:tcW w:w="2460" w:type="dxa"/>
            <w:vAlign w:val="bottom"/>
            <w:gridSpan w:val="3"/>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698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FF0FC"/>
            </w:tcBorders>
            <w:shd w:val="clear" w:color="auto" w:fill="CFF0FC"/>
          </w:tcPr>
          <w:p>
            <w:pPr>
              <w:spacing w:after="0" w:line="20" w:lineRule="exact"/>
              <w:rPr>
                <w:sz w:val="1"/>
                <w:szCs w:val="1"/>
                <w:color w:val="auto"/>
              </w:rPr>
            </w:pPr>
          </w:p>
        </w:tc>
        <w:tc>
          <w:tcPr>
            <w:tcW w:w="4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Common shares are voting and dividends may be paid when, as and if declared by the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reserved the following shares of common stock for future issuance as of:</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2140" w:type="dxa"/>
            <w:vAlign w:val="bottom"/>
          </w:tcPr>
          <w:p>
            <w:pPr>
              <w:jc w:val="right"/>
              <w:ind w:right="678"/>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760" w:type="dxa"/>
            <w:vAlign w:val="bottom"/>
          </w:tcPr>
          <w:p>
            <w:pPr>
              <w:spacing w:after="0"/>
              <w:rPr>
                <w:sz w:val="17"/>
                <w:szCs w:val="17"/>
                <w:color w:val="auto"/>
              </w:rPr>
            </w:pPr>
          </w:p>
        </w:tc>
        <w:tc>
          <w:tcPr>
            <w:tcW w:w="2140" w:type="dxa"/>
            <w:vAlign w:val="bottom"/>
          </w:tcPr>
          <w:p>
            <w:pPr>
              <w:jc w:val="right"/>
              <w:ind w:right="838"/>
              <w:spacing w:after="0"/>
              <w:rPr>
                <w:sz w:val="20"/>
                <w:szCs w:val="20"/>
                <w:color w:val="auto"/>
              </w:rPr>
            </w:pPr>
            <w:r>
              <w:rPr>
                <w:rFonts w:ascii="Arial" w:cs="Arial" w:eastAsia="Arial" w:hAnsi="Arial"/>
                <w:sz w:val="14"/>
                <w:szCs w:val="14"/>
                <w:b w:val="1"/>
                <w:bCs w:val="1"/>
                <w:color w:val="auto"/>
              </w:rPr>
              <w:t>2025</w:t>
            </w:r>
          </w:p>
        </w:tc>
        <w:tc>
          <w:tcPr>
            <w:tcW w:w="2240" w:type="dxa"/>
            <w:vAlign w:val="bottom"/>
            <w:gridSpan w:val="3"/>
          </w:tcPr>
          <w:p>
            <w:pPr>
              <w:jc w:val="right"/>
              <w:ind w:right="76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r>
      <w:tr>
        <w:trPr>
          <w:trHeight w:val="137"/>
        </w:trPr>
        <w:tc>
          <w:tcPr>
            <w:tcW w:w="6760" w:type="dxa"/>
            <w:vAlign w:val="bottom"/>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83"/>
        </w:trPr>
        <w:tc>
          <w:tcPr>
            <w:tcW w:w="676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Stock options outstanding</w:t>
            </w:r>
          </w:p>
        </w:tc>
        <w:tc>
          <w:tcPr>
            <w:tcW w:w="21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6,135,068</w:t>
            </w:r>
          </w:p>
        </w:tc>
        <w:tc>
          <w:tcPr>
            <w:tcW w:w="224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7"/>
                <w:szCs w:val="17"/>
                <w:color w:val="auto"/>
              </w:rPr>
              <w:t>4,486,181</w:t>
            </w:r>
          </w:p>
        </w:tc>
        <w:tc>
          <w:tcPr>
            <w:tcW w:w="100" w:type="dxa"/>
            <w:vAlign w:val="bottom"/>
            <w:shd w:val="clear" w:color="auto" w:fill="CFF0FC"/>
          </w:tcPr>
          <w:p>
            <w:pPr>
              <w:spacing w:after="0"/>
              <w:rPr>
                <w:sz w:val="15"/>
                <w:szCs w:val="15"/>
                <w:color w:val="auto"/>
              </w:rPr>
            </w:pPr>
          </w:p>
        </w:tc>
      </w:tr>
      <w:tr>
        <w:trPr>
          <w:trHeight w:val="189"/>
        </w:trPr>
        <w:tc>
          <w:tcPr>
            <w:tcW w:w="6760" w:type="dxa"/>
            <w:vAlign w:val="bottom"/>
          </w:tcPr>
          <w:p>
            <w:pPr>
              <w:spacing w:after="0" w:line="189" w:lineRule="exact"/>
              <w:rPr>
                <w:sz w:val="20"/>
                <w:szCs w:val="20"/>
                <w:color w:val="auto"/>
              </w:rPr>
            </w:pPr>
            <w:r>
              <w:rPr>
                <w:rFonts w:ascii="Arial" w:cs="Arial" w:eastAsia="Arial" w:hAnsi="Arial"/>
                <w:sz w:val="17"/>
                <w:szCs w:val="17"/>
                <w:color w:val="auto"/>
              </w:rPr>
              <w:t>Unvested restricted stock</w:t>
            </w:r>
          </w:p>
        </w:tc>
        <w:tc>
          <w:tcPr>
            <w:tcW w:w="21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4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330,779</w:t>
            </w:r>
          </w:p>
        </w:tc>
        <w:tc>
          <w:tcPr>
            <w:tcW w:w="100" w:type="dxa"/>
            <w:vAlign w:val="bottom"/>
          </w:tcPr>
          <w:p>
            <w:pPr>
              <w:spacing w:after="0"/>
              <w:rPr>
                <w:sz w:val="16"/>
                <w:szCs w:val="16"/>
                <w:color w:val="auto"/>
              </w:rPr>
            </w:pPr>
          </w:p>
        </w:tc>
      </w:tr>
      <w:tr>
        <w:trPr>
          <w:trHeight w:val="189"/>
        </w:trPr>
        <w:tc>
          <w:tcPr>
            <w:tcW w:w="67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Shares available for future grant under stock option plan</w:t>
            </w:r>
          </w:p>
        </w:tc>
        <w:tc>
          <w:tcPr>
            <w:tcW w:w="2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2,020,770</w:t>
            </w:r>
          </w:p>
        </w:tc>
        <w:tc>
          <w:tcPr>
            <w:tcW w:w="2240" w:type="dxa"/>
            <w:vAlign w:val="bottom"/>
            <w:gridSpan w:val="3"/>
            <w:shd w:val="clear" w:color="auto" w:fill="CFF0FC"/>
          </w:tcPr>
          <w:p>
            <w:pPr>
              <w:jc w:val="right"/>
              <w:spacing w:after="0" w:line="189" w:lineRule="exact"/>
              <w:rPr>
                <w:sz w:val="20"/>
                <w:szCs w:val="20"/>
                <w:color w:val="auto"/>
              </w:rPr>
            </w:pPr>
            <w:r>
              <w:rPr>
                <w:rFonts w:ascii="Arial" w:cs="Arial" w:eastAsia="Arial" w:hAnsi="Arial"/>
                <w:sz w:val="17"/>
                <w:szCs w:val="17"/>
                <w:color w:val="auto"/>
              </w:rPr>
              <w:t>2,008,379</w:t>
            </w:r>
          </w:p>
        </w:tc>
        <w:tc>
          <w:tcPr>
            <w:tcW w:w="100" w:type="dxa"/>
            <w:vAlign w:val="bottom"/>
            <w:shd w:val="clear" w:color="auto" w:fill="CFF0FC"/>
          </w:tcPr>
          <w:p>
            <w:pPr>
              <w:spacing w:after="0"/>
              <w:rPr>
                <w:sz w:val="16"/>
                <w:szCs w:val="16"/>
                <w:color w:val="auto"/>
              </w:rPr>
            </w:pPr>
          </w:p>
        </w:tc>
      </w:tr>
      <w:tr>
        <w:trPr>
          <w:trHeight w:val="189"/>
        </w:trPr>
        <w:tc>
          <w:tcPr>
            <w:tcW w:w="6760" w:type="dxa"/>
            <w:vAlign w:val="bottom"/>
          </w:tcPr>
          <w:p>
            <w:pPr>
              <w:spacing w:after="0" w:line="189" w:lineRule="exact"/>
              <w:rPr>
                <w:sz w:val="20"/>
                <w:szCs w:val="20"/>
                <w:color w:val="auto"/>
              </w:rPr>
            </w:pPr>
            <w:r>
              <w:rPr>
                <w:rFonts w:ascii="Arial" w:cs="Arial" w:eastAsia="Arial" w:hAnsi="Arial"/>
                <w:sz w:val="17"/>
                <w:szCs w:val="17"/>
                <w:color w:val="auto"/>
              </w:rPr>
              <w:t>Warrants</w:t>
            </w:r>
          </w:p>
        </w:tc>
        <w:tc>
          <w:tcPr>
            <w:tcW w:w="2140" w:type="dxa"/>
            <w:vAlign w:val="bottom"/>
          </w:tcPr>
          <w:p>
            <w:pPr>
              <w:jc w:val="right"/>
              <w:spacing w:after="0" w:line="189" w:lineRule="exact"/>
              <w:rPr>
                <w:sz w:val="20"/>
                <w:szCs w:val="20"/>
                <w:color w:val="auto"/>
              </w:rPr>
            </w:pPr>
            <w:r>
              <w:rPr>
                <w:rFonts w:ascii="Arial" w:cs="Arial" w:eastAsia="Arial" w:hAnsi="Arial"/>
                <w:sz w:val="17"/>
                <w:szCs w:val="17"/>
                <w:color w:val="auto"/>
              </w:rPr>
              <w:t>7,507,708</w:t>
            </w:r>
          </w:p>
        </w:tc>
        <w:tc>
          <w:tcPr>
            <w:tcW w:w="224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7,507,708</w:t>
            </w:r>
          </w:p>
        </w:tc>
        <w:tc>
          <w:tcPr>
            <w:tcW w:w="100" w:type="dxa"/>
            <w:vAlign w:val="bottom"/>
          </w:tcPr>
          <w:p>
            <w:pPr>
              <w:spacing w:after="0"/>
              <w:rPr>
                <w:sz w:val="16"/>
                <w:szCs w:val="16"/>
                <w:color w:val="auto"/>
              </w:rPr>
            </w:pPr>
          </w:p>
        </w:tc>
      </w:tr>
      <w:tr>
        <w:trPr>
          <w:trHeight w:val="189"/>
        </w:trPr>
        <w:tc>
          <w:tcPr>
            <w:tcW w:w="676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Pre-funded warrants</w:t>
            </w:r>
          </w:p>
        </w:tc>
        <w:tc>
          <w:tcPr>
            <w:tcW w:w="21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gridSpan w:val="2"/>
            <w:shd w:val="clear" w:color="auto" w:fill="CFF0FC"/>
          </w:tcPr>
          <w:p>
            <w:pPr>
              <w:spacing w:after="0"/>
              <w:rPr>
                <w:sz w:val="16"/>
                <w:szCs w:val="16"/>
                <w:color w:val="auto"/>
              </w:rPr>
            </w:pPr>
          </w:p>
        </w:tc>
        <w:tc>
          <w:tcPr>
            <w:tcW w:w="20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3,333,333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760" w:type="dxa"/>
            <w:vAlign w:val="bottom"/>
          </w:tcPr>
          <w:p>
            <w:pPr>
              <w:spacing w:after="0"/>
              <w:rPr>
                <w:sz w:val="15"/>
                <w:szCs w:val="15"/>
                <w:color w:val="auto"/>
              </w:rPr>
            </w:pPr>
          </w:p>
        </w:tc>
        <w:tc>
          <w:tcPr>
            <w:tcW w:w="2140" w:type="dxa"/>
            <w:vAlign w:val="bottom"/>
          </w:tcPr>
          <w:p>
            <w:pPr>
              <w:jc w:val="right"/>
              <w:spacing w:after="0" w:line="183" w:lineRule="exact"/>
              <w:rPr>
                <w:sz w:val="20"/>
                <w:szCs w:val="20"/>
                <w:color w:val="auto"/>
              </w:rPr>
            </w:pPr>
            <w:r>
              <w:rPr>
                <w:rFonts w:ascii="Arial" w:cs="Arial" w:eastAsia="Arial" w:hAnsi="Arial"/>
                <w:sz w:val="17"/>
                <w:szCs w:val="17"/>
                <w:color w:val="auto"/>
              </w:rPr>
              <w:t>15,663,546</w:t>
            </w:r>
          </w:p>
        </w:tc>
        <w:tc>
          <w:tcPr>
            <w:tcW w:w="2240" w:type="dxa"/>
            <w:vAlign w:val="bottom"/>
            <w:gridSpan w:val="3"/>
          </w:tcPr>
          <w:p>
            <w:pPr>
              <w:jc w:val="right"/>
              <w:spacing w:after="0" w:line="183" w:lineRule="exact"/>
              <w:rPr>
                <w:sz w:val="20"/>
                <w:szCs w:val="20"/>
                <w:color w:val="auto"/>
              </w:rPr>
            </w:pPr>
            <w:r>
              <w:rPr>
                <w:rFonts w:ascii="Arial" w:cs="Arial" w:eastAsia="Arial" w:hAnsi="Arial"/>
                <w:sz w:val="17"/>
                <w:szCs w:val="17"/>
                <w:color w:val="auto"/>
              </w:rPr>
              <w:t>17,666,380</w:t>
            </w:r>
          </w:p>
        </w:tc>
        <w:tc>
          <w:tcPr>
            <w:tcW w:w="100" w:type="dxa"/>
            <w:vAlign w:val="bottom"/>
          </w:tcPr>
          <w:p>
            <w:pPr>
              <w:spacing w:after="0"/>
              <w:rPr>
                <w:sz w:val="15"/>
                <w:szCs w:val="15"/>
                <w:color w:val="auto"/>
              </w:rPr>
            </w:pPr>
          </w:p>
        </w:tc>
      </w:tr>
      <w:tr>
        <w:trPr>
          <w:trHeight w:val="20"/>
        </w:trPr>
        <w:tc>
          <w:tcPr>
            <w:tcW w:w="676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-153670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Shelf Registration and At-the-Market Offerings</w:t>
      </w:r>
    </w:p>
    <w:p>
      <w:pPr>
        <w:spacing w:after="0" w:line="10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On August 5, 2022, the Company filed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Shelf was declared effective by the SEC on August 12, 2022 and expired on August 12, 2025. As of June 30, 2025, the Company sold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ind w:right="160"/>
        <w:spacing w:after="0" w:line="267" w:lineRule="auto"/>
        <w:rPr>
          <w:sz w:val="20"/>
          <w:szCs w:val="20"/>
          <w:color w:val="auto"/>
        </w:rPr>
      </w:pPr>
      <w:r>
        <w:rPr>
          <w:rFonts w:ascii="Arial" w:cs="Arial" w:eastAsia="Arial" w:hAnsi="Arial"/>
          <w:sz w:val="17"/>
          <w:szCs w:val="17"/>
          <w:color w:val="auto"/>
        </w:rPr>
        <w:t>and issued 3,923,829 shares of common stock under the ATM Program, with total net proceeds of $20.9 million. Subsequent to June 30, 2025 and through August 5, 2025, the Company has not sold any additional shares of common stock under the ATM Program.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10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Company has the following warrants outstanding for the purchase of common stock as of June 30, 2025 and December 31, 2024 (except for the Pre-Funded Warrants, which had 3,333,333 shares of common stock with an exercise price of $0.01 subject to warrants outstanding as of December 31, 2024):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28"/>
              <w:spacing w:after="0"/>
              <w:rPr>
                <w:sz w:val="20"/>
                <w:szCs w:val="20"/>
                <w:color w:val="auto"/>
              </w:rPr>
            </w:pPr>
            <w:r>
              <w:rPr>
                <w:rFonts w:ascii="Arial" w:cs="Arial" w:eastAsia="Arial" w:hAnsi="Arial"/>
                <w:sz w:val="14"/>
                <w:szCs w:val="14"/>
                <w:b w:val="1"/>
                <w:bCs w:val="1"/>
                <w:color w:val="auto"/>
              </w:rPr>
              <w:t>SHARES OF</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48"/>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ind w:right="339"/>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48"/>
              <w:spacing w:after="0"/>
              <w:rPr>
                <w:sz w:val="20"/>
                <w:szCs w:val="20"/>
                <w:color w:val="auto"/>
              </w:rPr>
            </w:pPr>
            <w:r>
              <w:rPr>
                <w:rFonts w:ascii="Arial" w:cs="Arial" w:eastAsia="Arial" w:hAnsi="Arial"/>
                <w:sz w:val="14"/>
                <w:szCs w:val="14"/>
                <w:b w:val="1"/>
                <w:bCs w:val="1"/>
                <w:color w:val="auto"/>
              </w:rPr>
              <w:t>SUBJECT TO</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ind w:right="319"/>
              <w:spacing w:after="0"/>
              <w:rPr>
                <w:sz w:val="20"/>
                <w:szCs w:val="20"/>
                <w:color w:val="auto"/>
              </w:rPr>
            </w:pPr>
            <w:r>
              <w:rPr>
                <w:rFonts w:ascii="Arial" w:cs="Arial" w:eastAsia="Arial" w:hAnsi="Arial"/>
                <w:sz w:val="14"/>
                <w:szCs w:val="14"/>
                <w:b w:val="1"/>
                <w:bCs w:val="1"/>
                <w:color w:val="auto"/>
              </w:rPr>
              <w:t>PRICE PER</w:t>
            </w:r>
          </w:p>
        </w:tc>
        <w:tc>
          <w:tcPr>
            <w:tcW w:w="200" w:type="dxa"/>
            <w:vAlign w:val="bottom"/>
          </w:tcPr>
          <w:p>
            <w:pPr>
              <w:spacing w:after="0"/>
              <w:rPr>
                <w:sz w:val="14"/>
                <w:szCs w:val="14"/>
                <w:color w:val="auto"/>
              </w:rPr>
            </w:pPr>
          </w:p>
        </w:tc>
        <w:tc>
          <w:tcPr>
            <w:tcW w:w="2320" w:type="dxa"/>
            <w:vAlign w:val="bottom"/>
          </w:tcPr>
          <w:p>
            <w:pPr>
              <w:jc w:val="right"/>
              <w:ind w:right="637"/>
              <w:spacing w:after="0"/>
              <w:rPr>
                <w:sz w:val="20"/>
                <w:szCs w:val="20"/>
                <w:color w:val="auto"/>
              </w:rPr>
            </w:pPr>
            <w:r>
              <w:rPr>
                <w:rFonts w:ascii="Arial" w:cs="Arial" w:eastAsia="Arial" w:hAnsi="Arial"/>
                <w:sz w:val="14"/>
                <w:szCs w:val="14"/>
                <w:b w:val="1"/>
                <w:bCs w:val="1"/>
                <w:color w:val="auto"/>
              </w:rPr>
              <w:t>EXPIRATION</w:t>
            </w:r>
          </w:p>
        </w:tc>
      </w:tr>
      <w:tr>
        <w:trPr>
          <w:trHeight w:val="171"/>
        </w:trPr>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1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WARRANTS</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rPr>
              <w:t>SHARE</w:t>
            </w:r>
          </w:p>
        </w:tc>
        <w:tc>
          <w:tcPr>
            <w:tcW w:w="200" w:type="dxa"/>
            <w:vAlign w:val="bottom"/>
          </w:tcPr>
          <w:p>
            <w:pPr>
              <w:spacing w:after="0"/>
              <w:rPr>
                <w:sz w:val="14"/>
                <w:szCs w:val="14"/>
                <w:color w:val="auto"/>
              </w:rPr>
            </w:pPr>
          </w:p>
        </w:tc>
        <w:tc>
          <w:tcPr>
            <w:tcW w:w="232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DATES</w:t>
            </w:r>
          </w:p>
        </w:tc>
      </w:tr>
      <w:tr>
        <w:trPr>
          <w:trHeight w:val="196"/>
        </w:trPr>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Series B Warrants</w:t>
            </w:r>
          </w:p>
        </w:tc>
        <w:tc>
          <w:tcPr>
            <w:tcW w:w="208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3,672,484</w:t>
            </w:r>
          </w:p>
        </w:tc>
        <w:tc>
          <w:tcPr>
            <w:tcW w:w="5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6.81</w:t>
            </w:r>
          </w:p>
        </w:tc>
        <w:tc>
          <w:tcPr>
            <w:tcW w:w="200" w:type="dxa"/>
            <w:vAlign w:val="bottom"/>
            <w:shd w:val="clear" w:color="auto" w:fill="CFF0FC"/>
          </w:tcPr>
          <w:p>
            <w:pPr>
              <w:spacing w:after="0"/>
              <w:rPr>
                <w:sz w:val="17"/>
                <w:szCs w:val="17"/>
                <w:color w:val="auto"/>
              </w:rPr>
            </w:pPr>
          </w:p>
        </w:tc>
        <w:tc>
          <w:tcPr>
            <w:tcW w:w="2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November 2025</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Conditional Series B Warrants</w:t>
            </w:r>
          </w:p>
        </w:tc>
        <w:tc>
          <w:tcPr>
            <w:tcW w:w="20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3,672,484</w:t>
            </w:r>
          </w:p>
        </w:tc>
        <w:tc>
          <w:tcPr>
            <w:tcW w:w="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6.81</w:t>
            </w:r>
          </w:p>
        </w:tc>
        <w:tc>
          <w:tcPr>
            <w:tcW w:w="200" w:type="dxa"/>
            <w:vAlign w:val="bottom"/>
          </w:tcPr>
          <w:p>
            <w:pPr>
              <w:spacing w:after="0"/>
              <w:rPr>
                <w:sz w:val="17"/>
                <w:szCs w:val="17"/>
                <w:color w:val="auto"/>
              </w:rPr>
            </w:pP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November 2025</w:t>
            </w: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NC Ohio Trust</w:t>
            </w:r>
          </w:p>
        </w:tc>
        <w:tc>
          <w:tcPr>
            <w:tcW w:w="208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162,740</w:t>
            </w:r>
          </w:p>
        </w:tc>
        <w:tc>
          <w:tcPr>
            <w:tcW w:w="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1.46</w:t>
            </w:r>
          </w:p>
        </w:tc>
        <w:tc>
          <w:tcPr>
            <w:tcW w:w="200" w:type="dxa"/>
            <w:vAlign w:val="bottom"/>
            <w:shd w:val="clear" w:color="auto" w:fill="CFF0FC"/>
          </w:tcPr>
          <w:p>
            <w:pPr>
              <w:spacing w:after="0"/>
              <w:rPr>
                <w:sz w:val="17"/>
                <w:szCs w:val="17"/>
                <w:color w:val="auto"/>
              </w:rPr>
            </w:pPr>
          </w:p>
        </w:tc>
        <w:tc>
          <w:tcPr>
            <w:tcW w:w="2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March 2029</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98" w:lineRule="exact"/>
        <w:rPr>
          <w:sz w:val="20"/>
          <w:szCs w:val="20"/>
          <w:color w:val="auto"/>
        </w:rPr>
      </w:pPr>
    </w:p>
    <w:p>
      <w:pPr>
        <w:jc w:val="both"/>
        <w:ind w:right="340"/>
        <w:spacing w:after="0" w:line="249" w:lineRule="auto"/>
        <w:rPr>
          <w:sz w:val="20"/>
          <w:szCs w:val="20"/>
          <w:color w:val="auto"/>
        </w:rPr>
      </w:pPr>
      <w:r>
        <w:rPr>
          <w:rFonts w:ascii="Arial" w:cs="Arial" w:eastAsia="Arial" w:hAnsi="Arial"/>
          <w:sz w:val="17"/>
          <w:szCs w:val="17"/>
          <w:color w:val="auto"/>
        </w:rPr>
        <w:t>In connection with the November 13, 2018 issuance of Series B convertible preferred stock (the Series B Preferred), the Company issued to the purchaser of the Series B Preferred warrants to purchase 3,672,484 shares of common stock for $6.81 per share (the Series B Warrants), which became fully exercisable upon issuance. The Series B Warrants contain provisions allowing cashless exercise.</w:t>
      </w:r>
    </w:p>
    <w:p>
      <w:pPr>
        <w:spacing w:after="0" w:line="67" w:lineRule="exact"/>
        <w:rPr>
          <w:sz w:val="20"/>
          <w:szCs w:val="20"/>
          <w:color w:val="auto"/>
        </w:rPr>
      </w:pPr>
    </w:p>
    <w:p>
      <w:pPr>
        <w:jc w:val="both"/>
        <w:ind w:right="320"/>
        <w:spacing w:after="0" w:line="249" w:lineRule="auto"/>
        <w:rPr>
          <w:sz w:val="20"/>
          <w:szCs w:val="20"/>
          <w:color w:val="auto"/>
        </w:rPr>
      </w:pPr>
      <w:r>
        <w:rPr>
          <w:rFonts w:ascii="Arial" w:cs="Arial" w:eastAsia="Arial" w:hAnsi="Arial"/>
          <w:sz w:val="17"/>
          <w:szCs w:val="17"/>
          <w:color w:val="auto"/>
        </w:rPr>
        <w:t>In addition, the Company issued to the same stockholder additional five-year warrants for the purchase of 3,672,484 shares of common stock for $6.81 per share (the Conditional Series B Warrants), which become exercisable in the event that the Company completes a future financing that meets certain financial milestones or achieves certain share prices as follows:</w:t>
      </w:r>
    </w:p>
    <w:p>
      <w:pPr>
        <w:spacing w:after="0" w:line="67" w:lineRule="exact"/>
        <w:rPr>
          <w:sz w:val="20"/>
          <w:szCs w:val="20"/>
          <w:color w:val="auto"/>
        </w:rPr>
      </w:pPr>
    </w:p>
    <w:p>
      <w:pPr>
        <w:ind w:left="1020" w:right="260" w:hanging="503"/>
        <w:spacing w:after="0" w:line="249"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 $20,000,000 in gross proceeds, with a per share price of $12.47, or (2) an average market price (determined over a consecutive 10-day period) of $12.47 per share;</w:t>
      </w:r>
    </w:p>
    <w:p>
      <w:pPr>
        <w:spacing w:after="0" w:line="65"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5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On June 24, 2021, the Company’s board of directors approved and on July 14, 2021 the stockholders approved, effective upon the closing of the Company’s initial public offering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7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Company recorded the Series B Warrants as a component of stockholder’s equity at the time of issuance at their estimated fair value of $2.1 million and recorded the Conditional Series B Warrants as a liability on the condensed consolidated balance sheet as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and comprehensive income (loss). The Company will continue to recognize changes in the fair value of the Conditional Series B Warrants until each Conditional Series B Warrant is exercised, expires or qualifies for equity classification. The warrant liability fair value was $1.1 million and $21.7 million as of June 30, 2025 and December 31, 2024,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 Ohio Trust Warrants</w:t>
      </w:r>
    </w:p>
    <w:p>
      <w:pPr>
        <w:spacing w:after="0" w:line="98"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On March 20, 2019, the Company established the NC Incorporated Ohio Trust, an irrevocable trust funded by the Company. The beneficiary in the trust agreement has provided past services to the Company for more than 15 years and is a non-employee. The warrant provides the beneficiary the right to purchase 162,740 shares of the Company’s common stock, $0.01 par value at an exercise price of $1.46 per share, subject to adjustments as specified in the warrant agreement. The Company recognizes the warrants as compensation expense within the condensed consolidated statements of operations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8" w:name="page19"/>
    <w:bookmarkEnd w:id="18"/>
    <w:p>
      <w:pPr>
        <w:ind w:right="60"/>
        <w:spacing w:after="0" w:line="237" w:lineRule="auto"/>
        <w:rPr>
          <w:sz w:val="20"/>
          <w:szCs w:val="20"/>
          <w:color w:val="auto"/>
        </w:rPr>
      </w:pPr>
      <w:r>
        <w:rPr>
          <w:rFonts w:ascii="Arial" w:cs="Arial" w:eastAsia="Arial" w:hAnsi="Arial"/>
          <w:sz w:val="17"/>
          <w:szCs w:val="17"/>
          <w:color w:val="auto"/>
        </w:rPr>
        <w:t>comprehensive income (loss) when the warrants are granted or at the service inception date if the service inception date precedes the grant date. In the period in which the grant date occurs, cumulative compensation cost shall be adjusted to reflect the cumulative effect of measuring compensation cost based on the fair value at the grant date rather than the fair value previously used at the service inception date or subsequent reporting dates. As of June 30, 2025 and December 31, 2024, a grant date was not established as there was not a mutual understanding of key terms. The Company remeasures the fair value of the award at each reporting date, as the service date preceded the grant date. The value of the warrants for 162,740 shares of common stock was $0.7 million and $1.3 million as of June 30, 2025 and December 31, 2024, respectively, and was recorded as stock compensation expense within research and development expense and a credit to stockholders’ equity (deficit) in the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Pre-Funded Warrants</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connection with the public offering on December 16, 2024 (see Note 1),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 The pre-funded warrants are exercisable at any time. The holders of Pre-Funded Warrants may not exercise the warrant if the holder, together with its affiliates, would beneficially own more than 4.99%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spacing w:after="0" w:line="74"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During the six months ended June 30, 2025, 3,328,064 shares of common stock were issued upon exercise of pre-funded warrants. As of June 30, 2025, all pre-funded warrants were exercised.</w:t>
      </w:r>
    </w:p>
    <w:p>
      <w:pPr>
        <w:spacing w:after="0" w:line="81" w:lineRule="exact"/>
        <w:rPr>
          <w:sz w:val="20"/>
          <w:szCs w:val="20"/>
          <w:color w:val="auto"/>
        </w:rPr>
      </w:pPr>
    </w:p>
    <w:p>
      <w:pPr>
        <w:ind w:right="5380" w:firstLine="8"/>
        <w:spacing w:after="0" w:line="358"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Restricted Stock and Stock-Based Compensation </w:t>
      </w:r>
      <w:r>
        <w:rPr>
          <w:rFonts w:ascii="Arial" w:cs="Arial" w:eastAsia="Arial" w:hAnsi="Arial"/>
          <w:sz w:val="18"/>
          <w:szCs w:val="18"/>
          <w:b w:val="1"/>
          <w:bCs w:val="1"/>
          <w:i w:val="1"/>
          <w:iCs w:val="1"/>
          <w:color w:val="auto"/>
        </w:rPr>
        <w:t>Equity Incentive Plans</w:t>
      </w:r>
    </w:p>
    <w:p>
      <w:pPr>
        <w:ind w:right="100"/>
        <w:spacing w:after="0" w:line="236" w:lineRule="auto"/>
        <w:rPr>
          <w:sz w:val="20"/>
          <w:szCs w:val="20"/>
          <w:color w:val="auto"/>
        </w:rPr>
      </w:pPr>
      <w:r>
        <w:rPr>
          <w:rFonts w:ascii="Arial" w:cs="Arial" w:eastAsia="Arial" w:hAnsi="Arial"/>
          <w:sz w:val="17"/>
          <w:szCs w:val="17"/>
          <w:color w:val="auto"/>
        </w:rPr>
        <w:t>The Company’s 2015 Stock Plan, as amended, (the 2015 Plan) provides for the Company to sell or issue common shares or restricted common stock, or to grant incentive stock options or nonqualified stock options for the purchase of common stock, to employees, members of the board of directors and consultants of the Company. The 2015 Plan is administered by the board of directors and exercise prices, vesting and other restrictions are determined at its discretion. All stock option grants are non-statutory stock options except option grants to employees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and the vesting periods may vary. Vesting periods are generally four years and are determined by the board of directors. Stock options become exercisable as they vest. Options granted under the 2015 Plan expire no more than ten years from the date of grant. As of June 30, 2025, there are no shares available for grants under the 2015 Plan and the 2015 Plan continues to govern the terms and conditions of the outstanding awards under the 2015 Plan.</w:t>
      </w:r>
    </w:p>
    <w:p>
      <w:pPr>
        <w:spacing w:after="0" w:line="76"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On July 14, 2021, the Company’s 2021 Equity Incentive Plan (the 2021 Plan) was approved by the Company’s stockholders, and became effective upon completion of the IPO and serves as the successor to the 2015 Plan. 8,558,685 shares of common stock are reserved under the 2021 Plan, of which 2,020,770 shares remain available for future grants as of June 30, 2025.</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is summarized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65"/>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257"/>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640" w:type="dxa"/>
            <w:vAlign w:val="bottom"/>
          </w:tcPr>
          <w:p>
            <w:pPr>
              <w:jc w:val="center"/>
              <w:ind w:right="65"/>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ind w:right="159"/>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240" w:type="dxa"/>
            <w:vAlign w:val="bottom"/>
          </w:tcPr>
          <w:p>
            <w:pPr>
              <w:spacing w:after="0"/>
              <w:rPr>
                <w:sz w:val="14"/>
                <w:szCs w:val="14"/>
                <w:color w:val="auto"/>
              </w:rPr>
            </w:pPr>
          </w:p>
        </w:tc>
        <w:tc>
          <w:tcPr>
            <w:tcW w:w="1680" w:type="dxa"/>
            <w:vAlign w:val="bottom"/>
          </w:tcPr>
          <w:p>
            <w:pPr>
              <w:jc w:val="center"/>
              <w:ind w:right="3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257"/>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640" w:type="dxa"/>
            <w:vAlign w:val="bottom"/>
          </w:tcPr>
          <w:p>
            <w:pPr>
              <w:jc w:val="center"/>
              <w:ind w:right="65"/>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ind w:right="179"/>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240" w:type="dxa"/>
            <w:vAlign w:val="bottom"/>
          </w:tcPr>
          <w:p>
            <w:pPr>
              <w:spacing w:after="0"/>
              <w:rPr>
                <w:sz w:val="14"/>
                <w:szCs w:val="14"/>
                <w:color w:val="auto"/>
              </w:rPr>
            </w:pPr>
          </w:p>
        </w:tc>
        <w:tc>
          <w:tcPr>
            <w:tcW w:w="1680" w:type="dxa"/>
            <w:vAlign w:val="bottom"/>
          </w:tcPr>
          <w:p>
            <w:pPr>
              <w:jc w:val="center"/>
              <w:ind w:right="15"/>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257"/>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4"/>
                <w:szCs w:val="14"/>
                <w:color w:val="auto"/>
              </w:rPr>
            </w:pPr>
          </w:p>
        </w:tc>
        <w:tc>
          <w:tcPr>
            <w:tcW w:w="1640" w:type="dxa"/>
            <w:vAlign w:val="bottom"/>
          </w:tcPr>
          <w:p>
            <w:pPr>
              <w:jc w:val="center"/>
              <w:ind w:right="65"/>
              <w:spacing w:after="0"/>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ind w:right="159"/>
              <w:spacing w:after="0"/>
              <w:rPr>
                <w:sz w:val="20"/>
                <w:szCs w:val="20"/>
                <w:color w:val="auto"/>
              </w:rPr>
            </w:pPr>
            <w:r>
              <w:rPr>
                <w:rFonts w:ascii="Arial" w:cs="Arial" w:eastAsia="Arial" w:hAnsi="Arial"/>
                <w:sz w:val="14"/>
                <w:szCs w:val="14"/>
                <w:b w:val="1"/>
                <w:bCs w:val="1"/>
                <w:color w:val="auto"/>
              </w:rPr>
              <w:t>VALUE</w:t>
            </w:r>
          </w:p>
        </w:tc>
      </w:tr>
      <w:tr>
        <w:trPr>
          <w:trHeight w:val="171"/>
        </w:trPr>
        <w:tc>
          <w:tcPr>
            <w:tcW w:w="4240" w:type="dxa"/>
            <w:vAlign w:val="bottom"/>
          </w:tcPr>
          <w:p>
            <w:pPr>
              <w:spacing w:after="0"/>
              <w:rPr>
                <w:sz w:val="14"/>
                <w:szCs w:val="14"/>
                <w:color w:val="auto"/>
              </w:rPr>
            </w:pPr>
          </w:p>
        </w:tc>
        <w:tc>
          <w:tcPr>
            <w:tcW w:w="16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4"/>
                <w:szCs w:val="14"/>
                <w:color w:val="auto"/>
              </w:rPr>
            </w:pPr>
          </w:p>
        </w:tc>
        <w:tc>
          <w:tcPr>
            <w:tcW w:w="16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TERM (IN 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4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as of December 31, 2024</w:t>
            </w:r>
          </w:p>
        </w:tc>
        <w:tc>
          <w:tcPr>
            <w:tcW w:w="16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4,486,181</w:t>
            </w:r>
          </w:p>
        </w:tc>
        <w:tc>
          <w:tcPr>
            <w:tcW w:w="38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2.54</w:t>
            </w:r>
          </w:p>
        </w:tc>
        <w:tc>
          <w:tcPr>
            <w:tcW w:w="1760" w:type="dxa"/>
            <w:vAlign w:val="bottom"/>
            <w:gridSpan w:val="2"/>
            <w:shd w:val="clear" w:color="auto" w:fill="CFF0FC"/>
          </w:tcPr>
          <w:p>
            <w:pPr>
              <w:jc w:val="right"/>
              <w:ind w:right="45"/>
              <w:spacing w:after="0" w:line="196" w:lineRule="exact"/>
              <w:rPr>
                <w:sz w:val="20"/>
                <w:szCs w:val="20"/>
                <w:color w:val="auto"/>
              </w:rPr>
            </w:pPr>
            <w:r>
              <w:rPr>
                <w:rFonts w:ascii="Arial" w:cs="Arial" w:eastAsia="Arial" w:hAnsi="Arial"/>
                <w:sz w:val="18"/>
                <w:szCs w:val="18"/>
                <w:color w:val="auto"/>
              </w:rPr>
              <w:t>6.61</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27,599</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1,981,350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7.87</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4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(211,141)</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2.33</w:t>
            </w: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Cancelled, forfeited or expired</w:t>
            </w: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(121,322)</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6.06</w:t>
            </w:r>
          </w:p>
        </w:tc>
        <w:tc>
          <w:tcPr>
            <w:tcW w:w="12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236"/>
        </w:trPr>
        <w:tc>
          <w:tcPr>
            <w:tcW w:w="42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Outstanding as of June 30, 2025</w:t>
            </w:r>
          </w:p>
        </w:tc>
        <w:tc>
          <w:tcPr>
            <w:tcW w:w="16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6,135,068</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4.20</w:t>
            </w:r>
          </w:p>
        </w:tc>
        <w:tc>
          <w:tcPr>
            <w:tcW w:w="12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45"/>
              <w:spacing w:after="0" w:line="196" w:lineRule="exact"/>
              <w:rPr>
                <w:sz w:val="20"/>
                <w:szCs w:val="20"/>
                <w:color w:val="auto"/>
              </w:rPr>
            </w:pPr>
            <w:r>
              <w:rPr>
                <w:rFonts w:ascii="Arial" w:cs="Arial" w:eastAsia="Arial" w:hAnsi="Arial"/>
                <w:sz w:val="18"/>
                <w:szCs w:val="18"/>
                <w:color w:val="auto"/>
              </w:rPr>
              <w:t>7.25</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11,273</w:t>
            </w:r>
          </w:p>
        </w:tc>
      </w:tr>
      <w:tr>
        <w:trPr>
          <w:trHeight w:val="183"/>
        </w:trPr>
        <w:tc>
          <w:tcPr>
            <w:tcW w:w="4240" w:type="dxa"/>
            <w:vAlign w:val="bottom"/>
          </w:tcPr>
          <w:p>
            <w:pPr>
              <w:spacing w:after="0" w:line="183" w:lineRule="exact"/>
              <w:rPr>
                <w:sz w:val="20"/>
                <w:szCs w:val="20"/>
                <w:color w:val="auto"/>
              </w:rPr>
            </w:pPr>
            <w:r>
              <w:rPr>
                <w:rFonts w:ascii="Arial" w:cs="Arial" w:eastAsia="Arial" w:hAnsi="Arial"/>
                <w:sz w:val="18"/>
                <w:szCs w:val="18"/>
                <w:color w:val="auto"/>
              </w:rPr>
              <w:t>Exercisable as of June 30, 2025</w:t>
            </w:r>
          </w:p>
        </w:tc>
        <w:tc>
          <w:tcPr>
            <w:tcW w:w="1680" w:type="dxa"/>
            <w:vAlign w:val="bottom"/>
          </w:tcPr>
          <w:p>
            <w:pPr>
              <w:jc w:val="right"/>
              <w:ind w:right="35"/>
              <w:spacing w:after="0" w:line="183" w:lineRule="exact"/>
              <w:rPr>
                <w:sz w:val="20"/>
                <w:szCs w:val="20"/>
                <w:color w:val="auto"/>
              </w:rPr>
            </w:pPr>
            <w:r>
              <w:rPr>
                <w:rFonts w:ascii="Arial" w:cs="Arial" w:eastAsia="Arial" w:hAnsi="Arial"/>
                <w:sz w:val="18"/>
                <w:szCs w:val="18"/>
                <w:color w:val="auto"/>
              </w:rPr>
              <w:t>3,731,279</w:t>
            </w:r>
          </w:p>
        </w:tc>
        <w:tc>
          <w:tcPr>
            <w:tcW w:w="380" w:type="dxa"/>
            <w:vAlign w:val="bottom"/>
            <w:gridSpan w:val="2"/>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7"/>
              <w:spacing w:after="0" w:line="183" w:lineRule="exact"/>
              <w:rPr>
                <w:sz w:val="20"/>
                <w:szCs w:val="20"/>
                <w:color w:val="auto"/>
              </w:rPr>
            </w:pPr>
            <w:r>
              <w:rPr>
                <w:rFonts w:ascii="Arial" w:cs="Arial" w:eastAsia="Arial" w:hAnsi="Arial"/>
                <w:sz w:val="18"/>
                <w:szCs w:val="18"/>
                <w:color w:val="auto"/>
              </w:rPr>
              <w:t>2.71</w:t>
            </w:r>
          </w:p>
        </w:tc>
        <w:tc>
          <w:tcPr>
            <w:tcW w:w="1760" w:type="dxa"/>
            <w:vAlign w:val="bottom"/>
            <w:gridSpan w:val="2"/>
          </w:tcPr>
          <w:p>
            <w:pPr>
              <w:jc w:val="right"/>
              <w:ind w:right="45"/>
              <w:spacing w:after="0" w:line="183" w:lineRule="exact"/>
              <w:rPr>
                <w:sz w:val="20"/>
                <w:szCs w:val="20"/>
                <w:color w:val="auto"/>
              </w:rPr>
            </w:pPr>
            <w:r>
              <w:rPr>
                <w:rFonts w:ascii="Arial" w:cs="Arial" w:eastAsia="Arial" w:hAnsi="Arial"/>
                <w:sz w:val="18"/>
                <w:szCs w:val="18"/>
                <w:color w:val="auto"/>
              </w:rPr>
              <w:t>6.02</w:t>
            </w:r>
          </w:p>
        </w:tc>
        <w:tc>
          <w:tcPr>
            <w:tcW w:w="2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39"/>
              <w:spacing w:after="0" w:line="183" w:lineRule="exact"/>
              <w:rPr>
                <w:sz w:val="20"/>
                <w:szCs w:val="20"/>
                <w:color w:val="auto"/>
              </w:rPr>
            </w:pPr>
            <w:r>
              <w:rPr>
                <w:rFonts w:ascii="Arial" w:cs="Arial" w:eastAsia="Arial" w:hAnsi="Arial"/>
                <w:sz w:val="18"/>
                <w:szCs w:val="18"/>
                <w:color w:val="auto"/>
              </w:rPr>
              <w:t>9,717</w:t>
            </w:r>
          </w:p>
        </w:tc>
      </w:tr>
      <w:tr>
        <w:trPr>
          <w:trHeight w:val="20"/>
        </w:trPr>
        <w:tc>
          <w:tcPr>
            <w:tcW w:w="42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2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Unvested as of June 30, 2025</w:t>
            </w:r>
          </w:p>
        </w:tc>
        <w:tc>
          <w:tcPr>
            <w:tcW w:w="1680" w:type="dxa"/>
            <w:vAlign w:val="bottom"/>
            <w:shd w:val="clear" w:color="auto" w:fill="CFF0FC"/>
          </w:tcPr>
          <w:p>
            <w:pPr>
              <w:jc w:val="right"/>
              <w:ind w:right="35"/>
              <w:spacing w:after="0" w:line="183" w:lineRule="exact"/>
              <w:rPr>
                <w:sz w:val="20"/>
                <w:szCs w:val="20"/>
                <w:color w:val="auto"/>
              </w:rPr>
            </w:pPr>
            <w:r>
              <w:rPr>
                <w:rFonts w:ascii="Arial" w:cs="Arial" w:eastAsia="Arial" w:hAnsi="Arial"/>
                <w:sz w:val="18"/>
                <w:szCs w:val="18"/>
                <w:color w:val="auto"/>
              </w:rPr>
              <w:t>2,403,789</w:t>
            </w:r>
          </w:p>
        </w:tc>
        <w:tc>
          <w:tcPr>
            <w:tcW w:w="380" w:type="dxa"/>
            <w:vAlign w:val="bottom"/>
            <w:gridSpan w:val="2"/>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7"/>
              <w:spacing w:after="0" w:line="183" w:lineRule="exact"/>
              <w:rPr>
                <w:sz w:val="20"/>
                <w:szCs w:val="20"/>
                <w:color w:val="auto"/>
              </w:rPr>
            </w:pPr>
            <w:r>
              <w:rPr>
                <w:rFonts w:ascii="Arial" w:cs="Arial" w:eastAsia="Arial" w:hAnsi="Arial"/>
                <w:sz w:val="18"/>
                <w:szCs w:val="18"/>
                <w:color w:val="auto"/>
              </w:rPr>
              <w:t>6.51</w:t>
            </w:r>
          </w:p>
        </w:tc>
        <w:tc>
          <w:tcPr>
            <w:tcW w:w="1760" w:type="dxa"/>
            <w:vAlign w:val="bottom"/>
            <w:gridSpan w:val="2"/>
            <w:shd w:val="clear" w:color="auto" w:fill="CFF0FC"/>
          </w:tcPr>
          <w:p>
            <w:pPr>
              <w:jc w:val="right"/>
              <w:ind w:right="45"/>
              <w:spacing w:after="0" w:line="183" w:lineRule="exact"/>
              <w:rPr>
                <w:sz w:val="20"/>
                <w:szCs w:val="20"/>
                <w:color w:val="auto"/>
              </w:rPr>
            </w:pPr>
            <w:r>
              <w:rPr>
                <w:rFonts w:ascii="Arial" w:cs="Arial" w:eastAsia="Arial" w:hAnsi="Arial"/>
                <w:sz w:val="18"/>
                <w:szCs w:val="18"/>
                <w:color w:val="auto"/>
              </w:rPr>
              <w:t>9.16</w:t>
            </w:r>
          </w:p>
        </w:tc>
        <w:tc>
          <w:tcPr>
            <w:tcW w:w="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8"/>
                <w:szCs w:val="18"/>
                <w:color w:val="auto"/>
              </w:rPr>
              <w:t>1,556</w:t>
            </w:r>
          </w:p>
        </w:tc>
      </w:tr>
      <w:tr>
        <w:trPr>
          <w:trHeight w:val="862"/>
        </w:trPr>
        <w:tc>
          <w:tcPr>
            <w:tcW w:w="4240" w:type="dxa"/>
            <w:vAlign w:val="bottom"/>
            <w:tcBorders>
              <w:top w:val="single" w:sz="8" w:color="CFF0FC"/>
            </w:tcBorders>
          </w:tcPr>
          <w:p>
            <w:pPr>
              <w:spacing w:after="0"/>
              <w:rPr>
                <w:sz w:val="24"/>
                <w:szCs w:val="24"/>
                <w:color w:val="auto"/>
              </w:rPr>
            </w:pPr>
          </w:p>
        </w:tc>
        <w:tc>
          <w:tcPr>
            <w:tcW w:w="1680" w:type="dxa"/>
            <w:vAlign w:val="bottom"/>
            <w:tcBorders>
              <w:top w:val="single" w:sz="8" w:color="auto"/>
            </w:tcBorders>
          </w:tcPr>
          <w:p>
            <w:pPr>
              <w:jc w:val="right"/>
              <w:ind w:right="115"/>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745"/>
        </w:trPr>
        <w:tc>
          <w:tcPr>
            <w:tcW w:w="42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-1379220</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-1362075</wp:posOffset>
            </wp:positionV>
            <wp:extent cx="1028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-1379220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-1362075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-1379220</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-1362075</wp:posOffset>
            </wp:positionV>
            <wp:extent cx="1028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-1070610</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-1053465</wp:posOffset>
            </wp:positionV>
            <wp:extent cx="102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-1070610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-1053465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-1070610</wp:posOffset>
            </wp:positionV>
            <wp:extent cx="1028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-1053465</wp:posOffset>
            </wp:positionV>
            <wp:extent cx="1028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9" w:name="page20"/>
    <w:bookmarkEnd w:id="19"/>
    <w:p>
      <w:pPr>
        <w:ind w:right="60"/>
        <w:spacing w:after="0" w:line="241" w:lineRule="auto"/>
        <w:rPr>
          <w:sz w:val="20"/>
          <w:szCs w:val="20"/>
          <w:color w:val="auto"/>
        </w:rPr>
      </w:pPr>
      <w:r>
        <w:rPr>
          <w:rFonts w:ascii="Arial" w:cs="Arial" w:eastAsia="Arial" w:hAnsi="Arial"/>
          <w:sz w:val="17"/>
          <w:szCs w:val="17"/>
          <w:color w:val="auto"/>
        </w:rPr>
        <w:t>The 2015 Plan, permits participants to use common stock they previously acquired to pay for the exercise of stock options based upon the fair value on the date of exercise. In connection with the exercise of stock options to purchase 306,518 shares of our common stock at an exercise price of $1.46, option holders tendered 122,608 shares of our common stock previously acquired in consideration of the full aggregate exercise price in accordance with the terms of the option and the 2015 Plan. The shares tendered are recorded as treasury stock within the Company’s condensed consolidated financial statements at June 30, 2025.</w:t>
      </w:r>
    </w:p>
    <w:p>
      <w:pPr>
        <w:spacing w:after="0" w:line="72"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fair value of stock options granted was estimated on the grant date using the Black-Scholes option pricing model based on the following range of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360" w:type="dxa"/>
            <w:vAlign w:val="bottom"/>
            <w:gridSpan w:val="3"/>
          </w:tcPr>
          <w:p>
            <w:pPr>
              <w:jc w:val="center"/>
              <w:ind w:left="1558"/>
              <w:spacing w:after="0"/>
              <w:rPr>
                <w:sz w:val="20"/>
                <w:szCs w:val="20"/>
                <w:color w:val="auto"/>
              </w:rPr>
            </w:pPr>
            <w:r>
              <w:rPr>
                <w:rFonts w:ascii="Arial" w:cs="Arial" w:eastAsia="Arial" w:hAnsi="Arial"/>
                <w:sz w:val="14"/>
                <w:szCs w:val="14"/>
                <w:b w:val="1"/>
                <w:bCs w:val="1"/>
                <w:color w:val="auto"/>
              </w:rPr>
              <w:t>SIX MONTHS ENDED</w:t>
            </w:r>
          </w:p>
        </w:tc>
        <w:tc>
          <w:tcPr>
            <w:tcW w:w="1820" w:type="dxa"/>
            <w:vAlign w:val="bottom"/>
          </w:tcPr>
          <w:p>
            <w:pPr>
              <w:spacing w:after="0"/>
              <w:rPr>
                <w:sz w:val="14"/>
                <w:szCs w:val="14"/>
                <w:color w:val="auto"/>
              </w:rPr>
            </w:pPr>
          </w:p>
        </w:tc>
      </w:tr>
      <w:tr>
        <w:trPr>
          <w:trHeight w:val="171"/>
        </w:trPr>
        <w:tc>
          <w:tcPr>
            <w:tcW w:w="6060" w:type="dxa"/>
            <w:vAlign w:val="bottom"/>
          </w:tcPr>
          <w:p>
            <w:pPr>
              <w:spacing w:after="0"/>
              <w:rPr>
                <w:sz w:val="14"/>
                <w:szCs w:val="14"/>
                <w:color w:val="auto"/>
              </w:rPr>
            </w:pPr>
          </w:p>
        </w:tc>
        <w:tc>
          <w:tcPr>
            <w:tcW w:w="3360" w:type="dxa"/>
            <w:vAlign w:val="bottom"/>
            <w:tcBorders>
              <w:bottom w:val="single" w:sz="8" w:color="auto"/>
            </w:tcBorders>
            <w:gridSpan w:val="3"/>
          </w:tcPr>
          <w:p>
            <w:pPr>
              <w:jc w:val="center"/>
              <w:ind w:left="1558"/>
              <w:spacing w:after="0"/>
              <w:rPr>
                <w:sz w:val="20"/>
                <w:szCs w:val="20"/>
                <w:color w:val="auto"/>
              </w:rPr>
            </w:pPr>
            <w:r>
              <w:rPr>
                <w:rFonts w:ascii="Arial" w:cs="Arial" w:eastAsia="Arial" w:hAnsi="Arial"/>
                <w:sz w:val="14"/>
                <w:szCs w:val="14"/>
                <w:b w:val="1"/>
                <w:bCs w:val="1"/>
                <w:color w:val="auto"/>
              </w:rPr>
              <w:t>JUNE 30,</w:t>
            </w:r>
          </w:p>
        </w:tc>
        <w:tc>
          <w:tcPr>
            <w:tcW w:w="1820" w:type="dxa"/>
            <w:vAlign w:val="bottom"/>
            <w:tcBorders>
              <w:bottom w:val="single" w:sz="8" w:color="auto"/>
            </w:tcBorders>
          </w:tcPr>
          <w:p>
            <w:pPr>
              <w:spacing w:after="0"/>
              <w:rPr>
                <w:sz w:val="14"/>
                <w:szCs w:val="14"/>
                <w:color w:val="auto"/>
              </w:rPr>
            </w:pPr>
          </w:p>
        </w:tc>
      </w:tr>
      <w:tr>
        <w:trPr>
          <w:trHeight w:val="155"/>
        </w:trPr>
        <w:tc>
          <w:tcPr>
            <w:tcW w:w="6060" w:type="dxa"/>
            <w:vAlign w:val="bottom"/>
          </w:tcPr>
          <w:p>
            <w:pPr>
              <w:spacing w:after="0"/>
              <w:rPr>
                <w:sz w:val="13"/>
                <w:szCs w:val="13"/>
                <w:color w:val="auto"/>
              </w:rPr>
            </w:pPr>
          </w:p>
        </w:tc>
        <w:tc>
          <w:tcPr>
            <w:tcW w:w="2520" w:type="dxa"/>
            <w:vAlign w:val="bottom"/>
            <w:tcBorders>
              <w:bottom w:val="single" w:sz="8" w:color="auto"/>
            </w:tcBorders>
          </w:tcPr>
          <w:p>
            <w:pPr>
              <w:jc w:val="right"/>
              <w:ind w:right="109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1094"/>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option life (years)</w:t>
            </w:r>
          </w:p>
        </w:tc>
        <w:tc>
          <w:tcPr>
            <w:tcW w:w="2520" w:type="dxa"/>
            <w:vAlign w:val="bottom"/>
            <w:shd w:val="clear" w:color="auto" w:fill="CFF0FC"/>
          </w:tcPr>
          <w:p>
            <w:pPr>
              <w:jc w:val="right"/>
              <w:ind w:right="98"/>
              <w:spacing w:after="0" w:line="196" w:lineRule="exact"/>
              <w:rPr>
                <w:sz w:val="20"/>
                <w:szCs w:val="20"/>
                <w:color w:val="auto"/>
              </w:rPr>
            </w:pPr>
            <w:r>
              <w:rPr>
                <w:rFonts w:ascii="Arial" w:cs="Arial" w:eastAsia="Arial" w:hAnsi="Arial"/>
                <w:sz w:val="18"/>
                <w:szCs w:val="18"/>
                <w:color w:val="auto"/>
              </w:rPr>
              <w:t>5.50 - 6.08</w:t>
            </w: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20" w:type="dxa"/>
            <w:vAlign w:val="bottom"/>
            <w:shd w:val="clear" w:color="auto" w:fill="CFF0FC"/>
          </w:tcPr>
          <w:p>
            <w:pPr>
              <w:jc w:val="right"/>
              <w:ind w:right="94"/>
              <w:spacing w:after="0" w:line="196" w:lineRule="exact"/>
              <w:rPr>
                <w:sz w:val="20"/>
                <w:szCs w:val="20"/>
                <w:color w:val="auto"/>
              </w:rPr>
            </w:pPr>
            <w:r>
              <w:rPr>
                <w:rFonts w:ascii="Arial" w:cs="Arial" w:eastAsia="Arial" w:hAnsi="Arial"/>
                <w:sz w:val="18"/>
                <w:szCs w:val="18"/>
                <w:color w:val="auto"/>
              </w:rPr>
              <w:t>5.50 - 6.08</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520" w:type="dxa"/>
            <w:vAlign w:val="bottom"/>
          </w:tcPr>
          <w:p>
            <w:pPr>
              <w:jc w:val="right"/>
              <w:ind w:right="98"/>
              <w:spacing w:after="0" w:line="202" w:lineRule="exact"/>
              <w:rPr>
                <w:sz w:val="20"/>
                <w:szCs w:val="20"/>
                <w:color w:val="auto"/>
              </w:rPr>
            </w:pPr>
            <w:r>
              <w:rPr>
                <w:rFonts w:ascii="Arial" w:cs="Arial" w:eastAsia="Arial" w:hAnsi="Arial"/>
                <w:sz w:val="18"/>
                <w:szCs w:val="18"/>
                <w:color w:val="auto"/>
              </w:rPr>
              <w:t>3.83% - 4.52%</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4.21% - 4.32%</w:t>
            </w:r>
          </w:p>
        </w:tc>
      </w:tr>
      <w:tr>
        <w:trPr>
          <w:trHeight w:val="203"/>
        </w:trPr>
        <w:tc>
          <w:tcPr>
            <w:tcW w:w="6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volatility</w:t>
            </w:r>
          </w:p>
        </w:tc>
        <w:tc>
          <w:tcPr>
            <w:tcW w:w="2520" w:type="dxa"/>
            <w:vAlign w:val="bottom"/>
            <w:shd w:val="clear" w:color="auto" w:fill="CFF0FC"/>
          </w:tcPr>
          <w:p>
            <w:pPr>
              <w:jc w:val="right"/>
              <w:ind w:right="98"/>
              <w:spacing w:after="0" w:line="202" w:lineRule="exact"/>
              <w:rPr>
                <w:sz w:val="20"/>
                <w:szCs w:val="20"/>
                <w:color w:val="auto"/>
              </w:rPr>
            </w:pPr>
            <w:r>
              <w:rPr>
                <w:rFonts w:ascii="Arial" w:cs="Arial" w:eastAsia="Arial" w:hAnsi="Arial"/>
                <w:sz w:val="18"/>
                <w:szCs w:val="18"/>
                <w:color w:val="auto"/>
              </w:rPr>
              <w:t>118.46% - 121.09%</w:t>
            </w: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20" w:type="dxa"/>
            <w:vAlign w:val="bottom"/>
            <w:shd w:val="clear" w:color="auto" w:fill="CFF0FC"/>
          </w:tcPr>
          <w:p>
            <w:pPr>
              <w:jc w:val="right"/>
              <w:ind w:right="94"/>
              <w:spacing w:after="0" w:line="202" w:lineRule="exact"/>
              <w:rPr>
                <w:sz w:val="20"/>
                <w:szCs w:val="20"/>
                <w:color w:val="auto"/>
              </w:rPr>
            </w:pPr>
            <w:r>
              <w:rPr>
                <w:rFonts w:ascii="Arial" w:cs="Arial" w:eastAsia="Arial" w:hAnsi="Arial"/>
                <w:sz w:val="18"/>
                <w:szCs w:val="18"/>
                <w:color w:val="auto"/>
              </w:rPr>
              <w:t>99.30% - 114.68%</w:t>
            </w:r>
          </w:p>
        </w:tc>
      </w:tr>
      <w:tr>
        <w:trPr>
          <w:trHeight w:val="239"/>
        </w:trPr>
        <w:tc>
          <w:tcPr>
            <w:tcW w:w="6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5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3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total intrinsic value of stock options exercised during the six months ended June 30, 2025 and 2024 was $0.6 million and $3.0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8" w:lineRule="exact"/>
        <w:rPr>
          <w:sz w:val="20"/>
          <w:szCs w:val="20"/>
          <w:color w:val="auto"/>
        </w:rPr>
      </w:pPr>
    </w:p>
    <w:p>
      <w:pPr>
        <w:jc w:val="both"/>
        <w:ind w:right="280"/>
        <w:spacing w:after="0" w:line="249" w:lineRule="auto"/>
        <w:rPr>
          <w:sz w:val="20"/>
          <w:szCs w:val="20"/>
          <w:color w:val="auto"/>
        </w:rPr>
      </w:pPr>
      <w:r>
        <w:rPr>
          <w:rFonts w:ascii="Arial" w:cs="Arial" w:eastAsia="Arial" w:hAnsi="Arial"/>
          <w:sz w:val="17"/>
          <w:szCs w:val="17"/>
          <w:color w:val="auto"/>
        </w:rPr>
        <w:t>Under the terms of the restricted stock unit agreements covering the common stock, shares of common stock related to restricted stock units are subject to time-based vesting. The restricted stock units will immediately be forfeited to the Company if the relationship between the recipient and the Company ceases.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activity is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660" w:type="dxa"/>
            <w:vAlign w:val="bottom"/>
          </w:tcPr>
          <w:p>
            <w:pPr>
              <w:spacing w:after="0"/>
              <w:rPr>
                <w:sz w:val="14"/>
                <w:szCs w:val="14"/>
                <w:color w:val="auto"/>
              </w:rPr>
            </w:pPr>
          </w:p>
        </w:tc>
        <w:tc>
          <w:tcPr>
            <w:tcW w:w="272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 GRANT</w:t>
            </w:r>
          </w:p>
        </w:tc>
      </w:tr>
      <w:tr>
        <w:trPr>
          <w:trHeight w:val="171"/>
        </w:trPr>
        <w:tc>
          <w:tcPr>
            <w:tcW w:w="6660" w:type="dxa"/>
            <w:vAlign w:val="bottom"/>
          </w:tcPr>
          <w:p>
            <w:pPr>
              <w:spacing w:after="0"/>
              <w:rPr>
                <w:sz w:val="14"/>
                <w:szCs w:val="14"/>
                <w:color w:val="auto"/>
              </w:rPr>
            </w:pPr>
          </w:p>
        </w:tc>
        <w:tc>
          <w:tcPr>
            <w:tcW w:w="22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SHARES OPTIONS</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Pr>
          <w:p>
            <w:pPr>
              <w:spacing w:after="0"/>
              <w:rPr>
                <w:sz w:val="14"/>
                <w:szCs w:val="14"/>
                <w:color w:val="auto"/>
              </w:rPr>
            </w:pPr>
          </w:p>
        </w:tc>
      </w:tr>
      <w:tr>
        <w:trPr>
          <w:trHeight w:val="183"/>
        </w:trPr>
        <w:tc>
          <w:tcPr>
            <w:tcW w:w="666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Unvested at December 31, 2024</w:t>
            </w:r>
          </w:p>
        </w:tc>
        <w:tc>
          <w:tcPr>
            <w:tcW w:w="2720" w:type="dxa"/>
            <w:vAlign w:val="bottom"/>
            <w:gridSpan w:val="2"/>
            <w:shd w:val="clear" w:color="auto" w:fill="CFF0FC"/>
          </w:tcPr>
          <w:p>
            <w:pPr>
              <w:jc w:val="right"/>
              <w:ind w:right="440"/>
              <w:spacing w:after="0" w:line="183" w:lineRule="exact"/>
              <w:rPr>
                <w:sz w:val="20"/>
                <w:szCs w:val="20"/>
                <w:color w:val="auto"/>
              </w:rPr>
            </w:pPr>
            <w:r>
              <w:rPr>
                <w:rFonts w:ascii="Arial" w:cs="Arial" w:eastAsia="Arial" w:hAnsi="Arial"/>
                <w:sz w:val="17"/>
                <w:szCs w:val="17"/>
                <w:color w:val="auto"/>
              </w:rPr>
              <w:t>330,779</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0.98</w:t>
            </w:r>
          </w:p>
        </w:tc>
      </w:tr>
      <w:tr>
        <w:trPr>
          <w:trHeight w:val="189"/>
        </w:trPr>
        <w:tc>
          <w:tcPr>
            <w:tcW w:w="666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27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203"/>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Vested</w:t>
            </w:r>
          </w:p>
        </w:tc>
        <w:tc>
          <w:tcPr>
            <w:tcW w:w="272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(330,779)</w:t>
            </w:r>
          </w:p>
        </w:tc>
        <w:tc>
          <w:tcPr>
            <w:tcW w:w="1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0.98</w:t>
            </w:r>
          </w:p>
        </w:tc>
      </w:tr>
      <w:tr>
        <w:trPr>
          <w:trHeight w:val="189"/>
        </w:trPr>
        <w:tc>
          <w:tcPr>
            <w:tcW w:w="6660" w:type="dxa"/>
            <w:vAlign w:val="bottom"/>
          </w:tcPr>
          <w:p>
            <w:pPr>
              <w:spacing w:after="0" w:line="189" w:lineRule="exact"/>
              <w:rPr>
                <w:sz w:val="20"/>
                <w:szCs w:val="20"/>
                <w:color w:val="auto"/>
              </w:rPr>
            </w:pPr>
            <w:r>
              <w:rPr>
                <w:rFonts w:ascii="Arial" w:cs="Arial" w:eastAsia="Arial" w:hAnsi="Arial"/>
                <w:sz w:val="17"/>
                <w:szCs w:val="17"/>
                <w:color w:val="auto"/>
              </w:rPr>
              <w:t>Forfeited</w:t>
            </w:r>
          </w:p>
        </w:tc>
        <w:tc>
          <w:tcPr>
            <w:tcW w:w="2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r>
      <w:tr>
        <w:trPr>
          <w:trHeight w:val="223"/>
        </w:trPr>
        <w:tc>
          <w:tcPr>
            <w:tcW w:w="66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7"/>
                <w:szCs w:val="17"/>
                <w:color w:val="auto"/>
              </w:rPr>
              <w:t>Unvested at June 30, 2025</w:t>
            </w:r>
          </w:p>
        </w:tc>
        <w:tc>
          <w:tcPr>
            <w:tcW w:w="2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aggregate fair value of restricted stock units that vested during the six months ended June 30, 2025 and 2024 was $1.7 million and $4.4 million,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8"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Stock-based compensation expense for the three and six months ended June 30, 2025 and 2024 was classified in the condensed consolidated statements of operations and comprehensive income (loss)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r>
      <w:tr>
        <w:trPr>
          <w:trHeight w:val="155"/>
        </w:trPr>
        <w:tc>
          <w:tcPr>
            <w:tcW w:w="4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15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424</w:t>
            </w:r>
          </w:p>
        </w:tc>
        <w:tc>
          <w:tcPr>
            <w:tcW w:w="4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1,269</w:t>
            </w: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298</w:t>
            </w:r>
          </w:p>
        </w:tc>
        <w:tc>
          <w:tcPr>
            <w:tcW w:w="4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1,822</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line="202" w:lineRule="exact"/>
              <w:rPr>
                <w:sz w:val="20"/>
                <w:szCs w:val="20"/>
                <w:color w:val="auto"/>
              </w:rPr>
            </w:pPr>
            <w:r>
              <w:rPr>
                <w:rFonts w:ascii="Arial" w:cs="Arial" w:eastAsia="Arial" w:hAnsi="Arial"/>
                <w:sz w:val="18"/>
                <w:szCs w:val="18"/>
                <w:color w:val="auto"/>
              </w:rPr>
              <w:t>626</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572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line="202" w:lineRule="exact"/>
              <w:rPr>
                <w:sz w:val="20"/>
                <w:szCs w:val="20"/>
                <w:color w:val="auto"/>
              </w:rPr>
            </w:pPr>
            <w:r>
              <w:rPr>
                <w:rFonts w:ascii="Arial" w:cs="Arial" w:eastAsia="Arial" w:hAnsi="Arial"/>
                <w:sz w:val="18"/>
                <w:szCs w:val="18"/>
                <w:color w:val="auto"/>
              </w:rPr>
              <w:t>1,066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1,062</w:t>
            </w:r>
          </w:p>
        </w:tc>
      </w:tr>
      <w:tr>
        <w:trPr>
          <w:trHeight w:val="216"/>
        </w:trPr>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stock-based compensation expense</w:t>
            </w:r>
          </w:p>
        </w:tc>
        <w:tc>
          <w:tcPr>
            <w:tcW w:w="15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1,050</w:t>
            </w:r>
          </w:p>
        </w:tc>
        <w:tc>
          <w:tcPr>
            <w:tcW w:w="4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1,841</w:t>
            </w: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1,364</w:t>
            </w:r>
          </w:p>
        </w:tc>
        <w:tc>
          <w:tcPr>
            <w:tcW w:w="4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2,884</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-24765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768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47"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As of June 30, 2025, total unrecognized compensation cost related to the unvested stock-based awards was $13.0 million, which is expected to be recognized over a weighted average period of 3.10 years.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12. Exclusive Licensing Agreement with a Related Party</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March 2014, the Company entered into an exclusive licensing agreement with Ventagen, LLC (Ventagen) which provides Ventagen the right to develop products for commercial sale and distribution within Mexico, Belize, Guatemala, Honduras, El Salvador, Costa Rica, Nicaragua, Panama, Colombia, and Bolivia (the Territory). Ventagen paid the Company $1.0 million upon the signing of the agreement and agreed to a fixed future payment to the Company of $2.5 million. The future payment will be made upon the achievement of $5.0 million of sales of an approved product by Ventagen and is subject to reduction if Ventagen’s costs to develop an approved product exceeds $4.0 million. In addition to the upfront payment and the future payment, Ventagen agreed to purchase from the Company all manufactured product that is required for clinical or commercial purposes at a price of cost plus 25% of the wholesale price of the approved product, subject to a minimum or maximum price. In the event the Company is unable or unwilling to manufacture supply under the terms of the agreement, Ventagen has the right to manufacture its own supply and will be required to pay a fixed fee per dose sold. The Company also agreed to provide certain services to Ventagen related to Ventagen’s development plan. Stockholders of the Company own 49.5% of the voting stock of Ventagen, including 47% by the Company’s founders who are currently significant stockholders of the Company, and trusts for the benefit of their children.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the $1.0 million upfront license fee as research and development service revenue as of December 31,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Technology License Agreement</w:t>
      </w:r>
    </w:p>
    <w:p>
      <w:pPr>
        <w:spacing w:after="0" w:line="100"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On January 20, 2018 the Company entered into an exclusive option agreement (Option Agreement) with MGB. Pursuant to the Option Agreement, the Company has obtained the exclusive right from MGB to negotiate an exclusive license to make, develop and commercialize rQNestin, a genetically modified oncolytic herpes simplex virus for the treatment of certain types of cancers. Pursuant to the Option Agreement, the Company will support a clinical trial to be conducted at MGB pursuant to the terms of a clinical trial agreement to be negotiated and the Company has committed to remitting $0.8 million in support of such clinical trial over the course of approximately three years. Upon execution of the Option Agreement, the Company remitted a non-refundable fee of $40,000 to MGB to be applied toward the Company’s on-going obligations to reimburse patent expenses. During each of the six months ended June 30, 2025 and 2024, the Company did not expense any startup and patient fees for clinical trials performed by MGB.</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September 15, 2020, the Company exercised the Option Agreement with MGB and entered into an exclusive worldwide patent license agreement with MGB (the MGB License). In connection with the MGB License, the Company paid a fee of $0.1 million and agreed to reimburse patent costs incurred by MGB, including $0.1 million paid at the time of entering into the MGB License. Prior to the first commercial sale, the Company is required to pay MGB an annual license fee of $50,000 beginning following the fourth anniversary of the effective date. The MGB License contains cumulative milestone payments equaling a maximum amount of $39.0 million upon the achievement of various clinical, commercial and sales milestones of both primary and secondary products. Following the first commercial sale, the Company is required to pay royalties to MGB, which are paid at an increasing rate as net sales increase, ranging from low single digits to high single digits. In addition, after the first commercial sale, the Company is required to pay MGB a pre-determined fixed annual minimum royalty, which amount may be credited against earned royalties starting in the fourth year following the first commercial sale. The Company also agreed to pay a single digit royalty rate on net sales of any derived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has identified the guarantees described below as disclosable, in accordance with ASC 460, </w:t>
      </w:r>
      <w:r>
        <w:rPr>
          <w:rFonts w:ascii="Arial" w:cs="Arial" w:eastAsia="Arial" w:hAnsi="Arial"/>
          <w:sz w:val="17"/>
          <w:szCs w:val="17"/>
          <w:i w:val="1"/>
          <w:iCs w:val="1"/>
          <w:color w:val="auto"/>
        </w:rPr>
        <w:t>Guarantees</w:t>
      </w:r>
      <w:r>
        <w:rPr>
          <w:rFonts w:ascii="Arial" w:cs="Arial" w:eastAsia="Arial" w:hAnsi="Arial"/>
          <w:sz w:val="17"/>
          <w:szCs w:val="17"/>
          <w:color w:val="auto"/>
        </w:rPr>
        <w:t>.</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6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1" w:name="page22"/>
    <w:bookmarkEnd w:id="21"/>
    <w:p>
      <w:pPr>
        <w:ind w:right="480"/>
        <w:spacing w:after="0" w:line="249" w:lineRule="auto"/>
        <w:rPr>
          <w:sz w:val="20"/>
          <w:szCs w:val="20"/>
          <w:color w:val="auto"/>
        </w:rPr>
      </w:pPr>
      <w:r>
        <w:rPr>
          <w:rFonts w:ascii="Arial" w:cs="Arial" w:eastAsia="Arial" w:hAnsi="Arial"/>
          <w:sz w:val="17"/>
          <w:szCs w:val="17"/>
          <w:color w:val="auto"/>
        </w:rPr>
        <w:t>The Company leases office space under a noncancelable operating lease expiring in 2026. The Company has standard indemnification arrangements under this lease that require it to indemnify the landlord against all costs, expenses, fines, suits, claims, demands, liabilities, and actions directly resulting from any breach, violation, or nonperformance of any covenant or condition of the lease.</w:t>
      </w:r>
    </w:p>
    <w:p>
      <w:pPr>
        <w:spacing w:after="0" w:line="6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As of June 30, 2025,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99" w:lineRule="exact"/>
        <w:rPr>
          <w:sz w:val="20"/>
          <w:szCs w:val="20"/>
          <w:color w:val="auto"/>
        </w:rPr>
      </w:pPr>
    </w:p>
    <w:p>
      <w:pPr>
        <w:ind w:right="8480" w:firstLine="8"/>
        <w:spacing w:after="0" w:line="358" w:lineRule="auto"/>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Income (Loss) Per Share </w:t>
      </w:r>
      <w:r>
        <w:rPr>
          <w:rFonts w:ascii="Arial" w:cs="Arial" w:eastAsia="Arial" w:hAnsi="Arial"/>
          <w:sz w:val="18"/>
          <w:szCs w:val="18"/>
          <w:b w:val="1"/>
          <w:bCs w:val="1"/>
          <w:i w:val="1"/>
          <w:iCs w:val="1"/>
          <w:color w:val="auto"/>
        </w:rPr>
        <w:t>Net Income (Loss) Per Share</w:t>
      </w:r>
    </w:p>
    <w:p>
      <w:pPr>
        <w:ind w:right="380"/>
        <w:spacing w:after="0" w:line="244" w:lineRule="auto"/>
        <w:rPr>
          <w:sz w:val="20"/>
          <w:szCs w:val="20"/>
          <w:color w:val="auto"/>
        </w:rPr>
      </w:pPr>
      <w:r>
        <w:rPr>
          <w:rFonts w:ascii="Arial" w:cs="Arial" w:eastAsia="Arial" w:hAnsi="Arial"/>
          <w:sz w:val="17"/>
          <w:szCs w:val="17"/>
          <w:color w:val="auto"/>
        </w:rPr>
        <w:t>Basic net income (loss) per share attributable to common stockholders was computed by dividing net income (loss) by the weighted-average common shares outstanding for the period (in thousands, except share and per share data). Diluted net income (loss) per share attributable to common stockholders was computed by dividing net income (loss) by the weighted-average common shares outstanding and potentially dilutive shares for the period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4"/>
          </w:tcPr>
          <w:p>
            <w:pPr>
              <w:jc w:val="right"/>
              <w:ind w:right="46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right"/>
              <w:ind w:right="56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5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5580" w:type="dxa"/>
            <w:vAlign w:val="bottom"/>
            <w:shd w:val="clear" w:color="auto" w:fill="CFF0FC"/>
          </w:tcPr>
          <w:p>
            <w:pPr>
              <w:ind w:left="160"/>
              <w:spacing w:after="0" w:line="183" w:lineRule="exact"/>
              <w:rPr>
                <w:sz w:val="20"/>
                <w:szCs w:val="20"/>
                <w:color w:val="auto"/>
              </w:rPr>
            </w:pPr>
            <w:r>
              <w:rPr>
                <w:rFonts w:ascii="Arial" w:cs="Arial" w:eastAsia="Arial" w:hAnsi="Arial"/>
                <w:sz w:val="17"/>
                <w:szCs w:val="17"/>
                <w:color w:val="auto"/>
              </w:rPr>
              <w:t>Net income (loss)</w:t>
            </w:r>
          </w:p>
        </w:tc>
        <w:tc>
          <w:tcPr>
            <w:tcW w:w="4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(4,796)</w:t>
            </w:r>
          </w:p>
        </w:tc>
        <w:tc>
          <w:tcPr>
            <w:tcW w:w="3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(22,237)</w:t>
            </w:r>
          </w:p>
        </w:tc>
        <w:tc>
          <w:tcPr>
            <w:tcW w:w="3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7"/>
                <w:szCs w:val="17"/>
                <w:color w:val="auto"/>
              </w:rPr>
              <w:t>2,583</w:t>
            </w:r>
          </w:p>
        </w:tc>
        <w:tc>
          <w:tcPr>
            <w:tcW w:w="3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(30,458)</w:t>
            </w:r>
          </w:p>
        </w:tc>
        <w:tc>
          <w:tcPr>
            <w:tcW w:w="0" w:type="dxa"/>
            <w:vAlign w:val="bottom"/>
          </w:tcPr>
          <w:p>
            <w:pPr>
              <w:spacing w:after="0"/>
              <w:rPr>
                <w:sz w:val="1"/>
                <w:szCs w:val="1"/>
                <w:color w:val="auto"/>
              </w:rPr>
            </w:pPr>
          </w:p>
        </w:tc>
      </w:tr>
      <w:tr>
        <w:trPr>
          <w:trHeight w:val="169"/>
        </w:trPr>
        <w:tc>
          <w:tcPr>
            <w:tcW w:w="5580" w:type="dxa"/>
            <w:vAlign w:val="bottom"/>
            <w:tcBorders>
              <w:top w:val="single" w:sz="8" w:color="CFF0FC"/>
            </w:tcBorders>
          </w:tcPr>
          <w:p>
            <w:pPr>
              <w:spacing w:after="0" w:line="170" w:lineRule="exact"/>
              <w:rPr>
                <w:sz w:val="20"/>
                <w:szCs w:val="20"/>
                <w:color w:val="auto"/>
              </w:rPr>
            </w:pPr>
            <w:r>
              <w:rPr>
                <w:rFonts w:ascii="Arial" w:cs="Arial" w:eastAsia="Arial" w:hAnsi="Arial"/>
                <w:sz w:val="17"/>
                <w:szCs w:val="17"/>
                <w:b w:val="1"/>
                <w:bCs w:val="1"/>
                <w:color w:val="auto"/>
              </w:rPr>
              <w:t>Denominator:</w:t>
            </w:r>
          </w:p>
        </w:tc>
        <w:tc>
          <w:tcPr>
            <w:tcW w:w="28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580" w:type="dxa"/>
            <w:vAlign w:val="bottom"/>
            <w:shd w:val="clear" w:color="auto" w:fill="CFF0FC"/>
          </w:tcPr>
          <w:p>
            <w:pPr>
              <w:ind w:left="160"/>
              <w:spacing w:after="0" w:line="167" w:lineRule="exact"/>
              <w:rPr>
                <w:sz w:val="20"/>
                <w:szCs w:val="20"/>
                <w:color w:val="auto"/>
              </w:rPr>
            </w:pPr>
            <w:r>
              <w:rPr>
                <w:rFonts w:ascii="Arial" w:cs="Arial" w:eastAsia="Arial" w:hAnsi="Arial"/>
                <w:sz w:val="17"/>
                <w:szCs w:val="17"/>
                <w:color w:val="auto"/>
              </w:rPr>
              <w:t>Weighted-average shares of common stock</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ind w:right="64"/>
              <w:spacing w:after="0"/>
              <w:rPr>
                <w:sz w:val="20"/>
                <w:szCs w:val="20"/>
                <w:color w:val="auto"/>
              </w:rPr>
            </w:pPr>
            <w:r>
              <w:rPr>
                <w:rFonts w:ascii="Arial" w:cs="Arial" w:eastAsia="Arial" w:hAnsi="Arial"/>
                <w:sz w:val="17"/>
                <w:szCs w:val="17"/>
                <w:color w:val="auto"/>
              </w:rPr>
              <w:t>51,489,929</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ind w:right="43"/>
              <w:spacing w:after="0"/>
              <w:rPr>
                <w:sz w:val="20"/>
                <w:szCs w:val="20"/>
                <w:color w:val="auto"/>
              </w:rPr>
            </w:pPr>
            <w:r>
              <w:rPr>
                <w:rFonts w:ascii="Arial" w:cs="Arial" w:eastAsia="Arial" w:hAnsi="Arial"/>
                <w:sz w:val="17"/>
                <w:szCs w:val="17"/>
                <w:color w:val="auto"/>
              </w:rPr>
              <w:t>29,878,210</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ind w:right="39"/>
              <w:spacing w:after="0"/>
              <w:rPr>
                <w:sz w:val="20"/>
                <w:szCs w:val="20"/>
                <w:color w:val="auto"/>
              </w:rPr>
            </w:pPr>
            <w:r>
              <w:rPr>
                <w:rFonts w:ascii="Arial" w:cs="Arial" w:eastAsia="Arial" w:hAnsi="Arial"/>
                <w:sz w:val="17"/>
                <w:szCs w:val="17"/>
                <w:color w:val="auto"/>
              </w:rPr>
              <w:t>50,988,887</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ind w:right="43"/>
              <w:spacing w:after="0"/>
              <w:rPr>
                <w:sz w:val="20"/>
                <w:szCs w:val="20"/>
                <w:color w:val="auto"/>
              </w:rPr>
            </w:pPr>
            <w:r>
              <w:rPr>
                <w:rFonts w:ascii="Arial" w:cs="Arial" w:eastAsia="Arial" w:hAnsi="Arial"/>
                <w:sz w:val="17"/>
                <w:szCs w:val="17"/>
                <w:color w:val="auto"/>
              </w:rPr>
              <w:t>29,537,874</w:t>
            </w:r>
          </w:p>
        </w:tc>
        <w:tc>
          <w:tcPr>
            <w:tcW w:w="0" w:type="dxa"/>
            <w:vAlign w:val="bottom"/>
          </w:tcPr>
          <w:p>
            <w:pPr>
              <w:spacing w:after="0"/>
              <w:rPr>
                <w:sz w:val="1"/>
                <w:szCs w:val="1"/>
                <w:color w:val="auto"/>
              </w:rPr>
            </w:pPr>
          </w:p>
        </w:tc>
      </w:tr>
      <w:tr>
        <w:trPr>
          <w:trHeight w:val="211"/>
        </w:trPr>
        <w:tc>
          <w:tcPr>
            <w:tcW w:w="5580" w:type="dxa"/>
            <w:vAlign w:val="bottom"/>
            <w:tcBorders>
              <w:bottom w:val="single" w:sz="8" w:color="CFF0FC"/>
            </w:tcBorders>
            <w:shd w:val="clear" w:color="auto" w:fill="CFF0FC"/>
          </w:tcPr>
          <w:p>
            <w:pPr>
              <w:ind w:left="300"/>
              <w:spacing w:after="0" w:line="150" w:lineRule="exact"/>
              <w:rPr>
                <w:sz w:val="20"/>
                <w:szCs w:val="20"/>
                <w:color w:val="auto"/>
              </w:rPr>
            </w:pPr>
            <w:r>
              <w:rPr>
                <w:rFonts w:ascii="Arial" w:cs="Arial" w:eastAsia="Arial" w:hAnsi="Arial"/>
                <w:sz w:val="17"/>
                <w:szCs w:val="17"/>
                <w:color w:val="auto"/>
              </w:rPr>
              <w:t>outstanding, basic</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580" w:type="dxa"/>
            <w:vAlign w:val="bottom"/>
          </w:tcPr>
          <w:p>
            <w:pPr>
              <w:ind w:left="160"/>
              <w:spacing w:after="0" w:line="170" w:lineRule="exact"/>
              <w:rPr>
                <w:sz w:val="20"/>
                <w:szCs w:val="20"/>
                <w:color w:val="auto"/>
              </w:rPr>
            </w:pPr>
            <w:r>
              <w:rPr>
                <w:rFonts w:ascii="Arial" w:cs="Arial" w:eastAsia="Arial" w:hAnsi="Arial"/>
                <w:sz w:val="17"/>
                <w:szCs w:val="17"/>
                <w:color w:val="auto"/>
              </w:rPr>
              <w:t>Net income (loss) per share, basic</w:t>
            </w:r>
          </w:p>
        </w:tc>
        <w:tc>
          <w:tcPr>
            <w:tcW w:w="460" w:type="dxa"/>
            <w:vAlign w:val="bottom"/>
            <w:gridSpan w:val="2"/>
          </w:tcPr>
          <w:p>
            <w:pPr>
              <w:jc w:val="right"/>
              <w:ind w:right="100"/>
              <w:spacing w:after="0" w:line="170"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70" w:lineRule="exact"/>
              <w:rPr>
                <w:sz w:val="20"/>
                <w:szCs w:val="20"/>
                <w:color w:val="auto"/>
              </w:rPr>
            </w:pPr>
            <w:r>
              <w:rPr>
                <w:rFonts w:ascii="Arial" w:cs="Arial" w:eastAsia="Arial" w:hAnsi="Arial"/>
                <w:sz w:val="17"/>
                <w:szCs w:val="17"/>
                <w:color w:val="auto"/>
              </w:rPr>
              <w:t>(0.09)</w:t>
            </w:r>
          </w:p>
        </w:tc>
        <w:tc>
          <w:tcPr>
            <w:tcW w:w="340" w:type="dxa"/>
            <w:vAlign w:val="bottom"/>
            <w:gridSpan w:val="2"/>
          </w:tcPr>
          <w:p>
            <w:pPr>
              <w:jc w:val="right"/>
              <w:ind w:right="120"/>
              <w:spacing w:after="0" w:line="170"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70" w:lineRule="exact"/>
              <w:rPr>
                <w:sz w:val="20"/>
                <w:szCs w:val="20"/>
                <w:color w:val="auto"/>
              </w:rPr>
            </w:pPr>
            <w:r>
              <w:rPr>
                <w:rFonts w:ascii="Arial" w:cs="Arial" w:eastAsia="Arial" w:hAnsi="Arial"/>
                <w:sz w:val="17"/>
                <w:szCs w:val="17"/>
                <w:color w:val="auto"/>
              </w:rPr>
              <w:t>(0.74)</w:t>
            </w:r>
          </w:p>
        </w:tc>
        <w:tc>
          <w:tcPr>
            <w:tcW w:w="300" w:type="dxa"/>
            <w:vAlign w:val="bottom"/>
            <w:gridSpan w:val="2"/>
          </w:tcPr>
          <w:p>
            <w:pPr>
              <w:jc w:val="right"/>
              <w:ind w:right="100"/>
              <w:spacing w:after="0" w:line="170" w:lineRule="exact"/>
              <w:rPr>
                <w:sz w:val="20"/>
                <w:szCs w:val="20"/>
                <w:color w:val="auto"/>
              </w:rPr>
            </w:pPr>
            <w:r>
              <w:rPr>
                <w:rFonts w:ascii="Arial" w:cs="Arial" w:eastAsia="Arial" w:hAnsi="Arial"/>
                <w:sz w:val="17"/>
                <w:szCs w:val="17"/>
                <w:color w:val="auto"/>
              </w:rPr>
              <w:t>$</w:t>
            </w:r>
          </w:p>
        </w:tc>
        <w:tc>
          <w:tcPr>
            <w:tcW w:w="1060" w:type="dxa"/>
            <w:vAlign w:val="bottom"/>
          </w:tcPr>
          <w:p>
            <w:pPr>
              <w:jc w:val="right"/>
              <w:ind w:right="39"/>
              <w:spacing w:after="0" w:line="170" w:lineRule="exact"/>
              <w:rPr>
                <w:sz w:val="20"/>
                <w:szCs w:val="20"/>
                <w:color w:val="auto"/>
              </w:rPr>
            </w:pPr>
            <w:r>
              <w:rPr>
                <w:rFonts w:ascii="Arial" w:cs="Arial" w:eastAsia="Arial" w:hAnsi="Arial"/>
                <w:sz w:val="17"/>
                <w:szCs w:val="17"/>
                <w:color w:val="auto"/>
              </w:rPr>
              <w:t>0.05</w:t>
            </w:r>
          </w:p>
        </w:tc>
        <w:tc>
          <w:tcPr>
            <w:tcW w:w="340" w:type="dxa"/>
            <w:vAlign w:val="bottom"/>
            <w:gridSpan w:val="2"/>
          </w:tcPr>
          <w:p>
            <w:pPr>
              <w:jc w:val="right"/>
              <w:ind w:right="120"/>
              <w:spacing w:after="0" w:line="170"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70" w:lineRule="exact"/>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80" w:type="dxa"/>
            <w:vAlign w:val="bottom"/>
            <w:shd w:val="clear" w:color="auto" w:fill="CFF0FC"/>
          </w:tcPr>
          <w:p>
            <w:pPr>
              <w:ind w:left="80"/>
              <w:spacing w:after="0" w:line="170" w:lineRule="exact"/>
              <w:rPr>
                <w:sz w:val="20"/>
                <w:szCs w:val="20"/>
                <w:color w:val="auto"/>
              </w:rPr>
            </w:pPr>
            <w:r>
              <w:rPr>
                <w:rFonts w:ascii="Arial" w:cs="Arial" w:eastAsia="Arial" w:hAnsi="Arial"/>
                <w:sz w:val="17"/>
                <w:szCs w:val="17"/>
                <w:i w:val="1"/>
                <w:iCs w:val="1"/>
                <w:color w:val="auto"/>
              </w:rPr>
              <w:t>Add potentially dilutive shares:</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580" w:type="dxa"/>
            <w:vAlign w:val="bottom"/>
          </w:tcPr>
          <w:p>
            <w:pPr>
              <w:ind w:left="160"/>
              <w:spacing w:after="0" w:line="167" w:lineRule="exact"/>
              <w:rPr>
                <w:sz w:val="20"/>
                <w:szCs w:val="20"/>
                <w:color w:val="auto"/>
              </w:rPr>
            </w:pPr>
            <w:r>
              <w:rPr>
                <w:rFonts w:ascii="Arial" w:cs="Arial" w:eastAsia="Arial" w:hAnsi="Arial"/>
                <w:sz w:val="17"/>
                <w:szCs w:val="17"/>
                <w:color w:val="auto"/>
              </w:rPr>
              <w:t>Dilutive effect of outstanding stock options (as converted to common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580" w:type="dxa"/>
            <w:vAlign w:val="bottom"/>
          </w:tcPr>
          <w:p>
            <w:pPr>
              <w:ind w:left="160"/>
              <w:spacing w:after="0"/>
              <w:rPr>
                <w:sz w:val="20"/>
                <w:szCs w:val="20"/>
                <w:color w:val="auto"/>
              </w:rPr>
            </w:pPr>
            <w:r>
              <w:rPr>
                <w:rFonts w:ascii="Arial" w:cs="Arial" w:eastAsia="Arial" w:hAnsi="Arial"/>
                <w:sz w:val="17"/>
                <w:szCs w:val="17"/>
                <w:color w:val="auto"/>
              </w:rPr>
              <w:t>stock)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2,253,771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5580" w:type="dxa"/>
            <w:vAlign w:val="bottom"/>
            <w:tcBorders>
              <w:bottom w:val="single" w:sz="8" w:color="CFF0FC"/>
            </w:tcBorders>
            <w:shd w:val="clear" w:color="auto" w:fill="CFF0FC"/>
          </w:tcPr>
          <w:p>
            <w:pPr>
              <w:ind w:left="160"/>
              <w:spacing w:after="0" w:line="189" w:lineRule="exact"/>
              <w:rPr>
                <w:sz w:val="20"/>
                <w:szCs w:val="20"/>
                <w:color w:val="auto"/>
              </w:rPr>
            </w:pPr>
            <w:r>
              <w:rPr>
                <w:rFonts w:ascii="Arial" w:cs="Arial" w:eastAsia="Arial" w:hAnsi="Arial"/>
                <w:sz w:val="17"/>
                <w:szCs w:val="17"/>
                <w:color w:val="auto"/>
              </w:rPr>
              <w:t>Dilutive effect of outstanding warrants for common stock</w:t>
            </w:r>
          </w:p>
        </w:tc>
        <w:tc>
          <w:tcPr>
            <w:tcW w:w="2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9"/>
              <w:spacing w:after="0" w:line="189" w:lineRule="exact"/>
              <w:rPr>
                <w:sz w:val="20"/>
                <w:szCs w:val="20"/>
                <w:color w:val="auto"/>
              </w:rPr>
            </w:pPr>
            <w:r>
              <w:rPr>
                <w:rFonts w:ascii="Arial" w:cs="Arial" w:eastAsia="Arial" w:hAnsi="Arial"/>
                <w:sz w:val="17"/>
                <w:szCs w:val="17"/>
                <w:color w:val="auto"/>
              </w:rPr>
              <w:t>126,924</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5580" w:type="dxa"/>
            <w:vAlign w:val="bottom"/>
          </w:tcPr>
          <w:p>
            <w:pPr>
              <w:ind w:left="160"/>
              <w:spacing w:after="0" w:line="160" w:lineRule="exact"/>
              <w:rPr>
                <w:sz w:val="20"/>
                <w:szCs w:val="20"/>
                <w:color w:val="auto"/>
              </w:rPr>
            </w:pPr>
            <w:r>
              <w:rPr>
                <w:rFonts w:ascii="Arial" w:cs="Arial" w:eastAsia="Arial" w:hAnsi="Arial"/>
                <w:sz w:val="17"/>
                <w:szCs w:val="17"/>
                <w:color w:val="auto"/>
              </w:rPr>
              <w:t>Weighted-average shares of common stock</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right"/>
              <w:ind w:right="64"/>
              <w:spacing w:after="0"/>
              <w:rPr>
                <w:sz w:val="20"/>
                <w:szCs w:val="20"/>
                <w:color w:val="auto"/>
              </w:rPr>
            </w:pPr>
            <w:r>
              <w:rPr>
                <w:rFonts w:ascii="Arial" w:cs="Arial" w:eastAsia="Arial" w:hAnsi="Arial"/>
                <w:sz w:val="17"/>
                <w:szCs w:val="17"/>
                <w:color w:val="auto"/>
              </w:rPr>
              <w:t>51,489,929</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43"/>
              <w:spacing w:after="0"/>
              <w:rPr>
                <w:sz w:val="20"/>
                <w:szCs w:val="20"/>
                <w:color w:val="auto"/>
              </w:rPr>
            </w:pPr>
            <w:r>
              <w:rPr>
                <w:rFonts w:ascii="Arial" w:cs="Arial" w:eastAsia="Arial" w:hAnsi="Arial"/>
                <w:sz w:val="17"/>
                <w:szCs w:val="17"/>
                <w:color w:val="auto"/>
              </w:rPr>
              <w:t>29,878,210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7"/>
                <w:szCs w:val="17"/>
                <w:color w:val="auto"/>
              </w:rPr>
              <w:t>53,369,582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43"/>
              <w:spacing w:after="0"/>
              <w:rPr>
                <w:sz w:val="20"/>
                <w:szCs w:val="20"/>
                <w:color w:val="auto"/>
              </w:rPr>
            </w:pPr>
            <w:r>
              <w:rPr>
                <w:rFonts w:ascii="Arial" w:cs="Arial" w:eastAsia="Arial" w:hAnsi="Arial"/>
                <w:sz w:val="17"/>
                <w:szCs w:val="17"/>
                <w:color w:val="auto"/>
              </w:rPr>
              <w:t>29,537,874</w:t>
            </w:r>
          </w:p>
        </w:tc>
        <w:tc>
          <w:tcPr>
            <w:tcW w:w="0" w:type="dxa"/>
            <w:vAlign w:val="bottom"/>
          </w:tcPr>
          <w:p>
            <w:pPr>
              <w:spacing w:after="0"/>
              <w:rPr>
                <w:sz w:val="1"/>
                <w:szCs w:val="1"/>
                <w:color w:val="auto"/>
              </w:rPr>
            </w:pPr>
          </w:p>
        </w:tc>
      </w:tr>
      <w:tr>
        <w:trPr>
          <w:trHeight w:val="171"/>
        </w:trPr>
        <w:tc>
          <w:tcPr>
            <w:tcW w:w="5580" w:type="dxa"/>
            <w:vAlign w:val="bottom"/>
          </w:tcPr>
          <w:p>
            <w:pPr>
              <w:ind w:left="300"/>
              <w:spacing w:after="0" w:line="150" w:lineRule="exact"/>
              <w:rPr>
                <w:sz w:val="20"/>
                <w:szCs w:val="20"/>
                <w:color w:val="auto"/>
              </w:rPr>
            </w:pPr>
            <w:r>
              <w:rPr>
                <w:rFonts w:ascii="Arial" w:cs="Arial" w:eastAsia="Arial" w:hAnsi="Arial"/>
                <w:sz w:val="17"/>
                <w:szCs w:val="17"/>
                <w:color w:val="auto"/>
              </w:rPr>
              <w:t>outstanding, diluted</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80" w:type="dxa"/>
            <w:vAlign w:val="bottom"/>
            <w:shd w:val="clear" w:color="auto" w:fill="CFF0FC"/>
          </w:tcPr>
          <w:p>
            <w:pPr>
              <w:ind w:left="160"/>
              <w:spacing w:after="0" w:line="170" w:lineRule="exact"/>
              <w:rPr>
                <w:sz w:val="20"/>
                <w:szCs w:val="20"/>
                <w:color w:val="auto"/>
              </w:rPr>
            </w:pPr>
            <w:r>
              <w:rPr>
                <w:rFonts w:ascii="Arial" w:cs="Arial" w:eastAsia="Arial" w:hAnsi="Arial"/>
                <w:sz w:val="17"/>
                <w:szCs w:val="17"/>
                <w:color w:val="auto"/>
              </w:rPr>
              <w:t>Net income (loss) per share, diluted</w:t>
            </w:r>
          </w:p>
        </w:tc>
        <w:tc>
          <w:tcPr>
            <w:tcW w:w="460" w:type="dxa"/>
            <w:vAlign w:val="bottom"/>
            <w:gridSpan w:val="2"/>
            <w:shd w:val="clear" w:color="auto" w:fill="CFF0FC"/>
          </w:tcPr>
          <w:p>
            <w:pPr>
              <w:jc w:val="right"/>
              <w:ind w:right="100"/>
              <w:spacing w:after="0" w:line="170" w:lineRule="exact"/>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line="170" w:lineRule="exact"/>
              <w:rPr>
                <w:sz w:val="20"/>
                <w:szCs w:val="20"/>
                <w:color w:val="auto"/>
              </w:rPr>
            </w:pPr>
            <w:r>
              <w:rPr>
                <w:rFonts w:ascii="Arial" w:cs="Arial" w:eastAsia="Arial" w:hAnsi="Arial"/>
                <w:sz w:val="17"/>
                <w:szCs w:val="17"/>
                <w:color w:val="auto"/>
              </w:rPr>
              <w:t>(0.09)</w:t>
            </w:r>
          </w:p>
        </w:tc>
        <w:tc>
          <w:tcPr>
            <w:tcW w:w="340" w:type="dxa"/>
            <w:vAlign w:val="bottom"/>
            <w:gridSpan w:val="2"/>
            <w:shd w:val="clear" w:color="auto" w:fill="CFF0FC"/>
          </w:tcPr>
          <w:p>
            <w:pPr>
              <w:jc w:val="right"/>
              <w:ind w:right="120"/>
              <w:spacing w:after="0" w:line="170" w:lineRule="exact"/>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7"/>
                <w:szCs w:val="17"/>
                <w:color w:val="auto"/>
              </w:rPr>
              <w:t>(0.74)</w:t>
            </w:r>
          </w:p>
        </w:tc>
        <w:tc>
          <w:tcPr>
            <w:tcW w:w="300" w:type="dxa"/>
            <w:vAlign w:val="bottom"/>
            <w:gridSpan w:val="2"/>
            <w:shd w:val="clear" w:color="auto" w:fill="CFF0FC"/>
          </w:tcPr>
          <w:p>
            <w:pPr>
              <w:jc w:val="right"/>
              <w:ind w:right="100"/>
              <w:spacing w:after="0" w:line="170" w:lineRule="exact"/>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ind w:right="39"/>
              <w:spacing w:after="0" w:line="170" w:lineRule="exact"/>
              <w:rPr>
                <w:sz w:val="20"/>
                <w:szCs w:val="20"/>
                <w:color w:val="auto"/>
              </w:rPr>
            </w:pPr>
            <w:r>
              <w:rPr>
                <w:rFonts w:ascii="Arial" w:cs="Arial" w:eastAsia="Arial" w:hAnsi="Arial"/>
                <w:sz w:val="17"/>
                <w:szCs w:val="17"/>
                <w:color w:val="auto"/>
              </w:rPr>
              <w:t>0.05</w:t>
            </w:r>
          </w:p>
        </w:tc>
        <w:tc>
          <w:tcPr>
            <w:tcW w:w="340" w:type="dxa"/>
            <w:vAlign w:val="bottom"/>
            <w:gridSpan w:val="2"/>
            <w:shd w:val="clear" w:color="auto" w:fill="CFF0FC"/>
          </w:tcPr>
          <w:p>
            <w:pPr>
              <w:jc w:val="right"/>
              <w:ind w:right="120"/>
              <w:spacing w:after="0" w:line="170"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line="170" w:lineRule="exact"/>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-1405255</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-1388110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-1405255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-1388110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-1405255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-1388110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-1045210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-1028065</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-1045210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-1028065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-1045210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-1028065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-393700</wp:posOffset>
            </wp:positionV>
            <wp:extent cx="85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-393700</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-393700</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85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768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6"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Company’s potentially dilutive securities have been excluded from the computation of dilutive net loss per share for the three months ended June 30, 2025 and the three and six months ended June 30, 2024, as the effect would be to reduce the net loss per share. Therefore, the weighted-average number of shares of common stock outstanding used to calculate both basic and diluted net loss per share is the same.</w:t>
      </w:r>
    </w:p>
    <w:p>
      <w:pPr>
        <w:spacing w:after="0" w:line="67" w:lineRule="exact"/>
        <w:rPr>
          <w:sz w:val="20"/>
          <w:szCs w:val="20"/>
          <w:color w:val="auto"/>
        </w:rPr>
      </w:pPr>
    </w:p>
    <w:p>
      <w:pPr>
        <w:ind w:right="640"/>
        <w:spacing w:after="0" w:line="267" w:lineRule="auto"/>
        <w:rPr>
          <w:sz w:val="20"/>
          <w:szCs w:val="20"/>
          <w:color w:val="auto"/>
        </w:rPr>
      </w:pPr>
      <w:r>
        <w:rPr>
          <w:rFonts w:ascii="Arial" w:cs="Arial" w:eastAsia="Arial" w:hAnsi="Arial"/>
          <w:sz w:val="17"/>
          <w:szCs w:val="17"/>
          <w:color w:val="auto"/>
        </w:rPr>
        <w:t>The Company excluded the following potential shares of common stock from the computation of diluted net income (loss) per share because including them would have had an anti-dilutive effect.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23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AS OF JUNE 30,</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00" w:type="dxa"/>
            <w:vAlign w:val="bottom"/>
          </w:tcPr>
          <w:p>
            <w:pPr>
              <w:spacing w:after="0"/>
              <w:rPr>
                <w:sz w:val="13"/>
                <w:szCs w:val="13"/>
                <w:color w:val="auto"/>
              </w:rPr>
            </w:pPr>
          </w:p>
        </w:tc>
        <w:tc>
          <w:tcPr>
            <w:tcW w:w="1600" w:type="dxa"/>
            <w:vAlign w:val="bottom"/>
            <w:tcBorders>
              <w:bottom w:val="single" w:sz="8" w:color="auto"/>
            </w:tcBorders>
          </w:tcPr>
          <w:p>
            <w:pPr>
              <w:jc w:val="right"/>
              <w:ind w:right="564"/>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83"/>
        </w:trPr>
        <w:tc>
          <w:tcPr>
            <w:tcW w:w="770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Outstanding warrants for common stock</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7,507,708</w:t>
            </w: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7,507,708</w:t>
            </w:r>
          </w:p>
        </w:tc>
        <w:tc>
          <w:tcPr>
            <w:tcW w:w="120" w:type="dxa"/>
            <w:vAlign w:val="bottom"/>
            <w:shd w:val="clear" w:color="auto" w:fill="CFF0FC"/>
          </w:tcPr>
          <w:p>
            <w:pPr>
              <w:spacing w:after="0"/>
              <w:rPr>
                <w:sz w:val="15"/>
                <w:szCs w:val="15"/>
                <w:color w:val="auto"/>
              </w:rPr>
            </w:pPr>
          </w:p>
        </w:tc>
      </w:tr>
      <w:tr>
        <w:trPr>
          <w:trHeight w:val="189"/>
        </w:trPr>
        <w:tc>
          <w:tcPr>
            <w:tcW w:w="7700" w:type="dxa"/>
            <w:vAlign w:val="bottom"/>
          </w:tcPr>
          <w:p>
            <w:pPr>
              <w:spacing w:after="0" w:line="189" w:lineRule="exact"/>
              <w:rPr>
                <w:sz w:val="20"/>
                <w:szCs w:val="20"/>
                <w:color w:val="auto"/>
              </w:rPr>
            </w:pPr>
            <w:r>
              <w:rPr>
                <w:rFonts w:ascii="Arial" w:cs="Arial" w:eastAsia="Arial" w:hAnsi="Arial"/>
                <w:sz w:val="17"/>
                <w:szCs w:val="17"/>
                <w:color w:val="auto"/>
              </w:rPr>
              <w:t>Outstanding stock options (as converted to common stock)</w:t>
            </w:r>
          </w:p>
        </w:tc>
        <w:tc>
          <w:tcPr>
            <w:tcW w:w="1600" w:type="dxa"/>
            <w:vAlign w:val="bottom"/>
          </w:tcPr>
          <w:p>
            <w:pPr>
              <w:jc w:val="right"/>
              <w:spacing w:after="0" w:line="189" w:lineRule="exact"/>
              <w:rPr>
                <w:sz w:val="20"/>
                <w:szCs w:val="20"/>
                <w:color w:val="auto"/>
              </w:rPr>
            </w:pPr>
            <w:r>
              <w:rPr>
                <w:rFonts w:ascii="Arial" w:cs="Arial" w:eastAsia="Arial" w:hAnsi="Arial"/>
                <w:sz w:val="17"/>
                <w:szCs w:val="17"/>
                <w:color w:val="auto"/>
              </w:rPr>
              <w:t>6,135,068</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4,676,338</w:t>
            </w:r>
          </w:p>
        </w:tc>
        <w:tc>
          <w:tcPr>
            <w:tcW w:w="120" w:type="dxa"/>
            <w:vAlign w:val="bottom"/>
          </w:tcPr>
          <w:p>
            <w:pPr>
              <w:spacing w:after="0"/>
              <w:rPr>
                <w:sz w:val="16"/>
                <w:szCs w:val="16"/>
                <w:color w:val="auto"/>
              </w:rPr>
            </w:pPr>
          </w:p>
        </w:tc>
      </w:tr>
      <w:tr>
        <w:trPr>
          <w:trHeight w:val="189"/>
        </w:trPr>
        <w:tc>
          <w:tcPr>
            <w:tcW w:w="770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Unvested restricted stock</w:t>
            </w:r>
          </w:p>
        </w:tc>
        <w:tc>
          <w:tcPr>
            <w:tcW w:w="2360" w:type="dxa"/>
            <w:vAlign w:val="bottom"/>
            <w:gridSpan w:val="3"/>
            <w:shd w:val="clear" w:color="auto" w:fill="CFF0FC"/>
          </w:tcPr>
          <w:p>
            <w:pPr>
              <w:jc w:val="right"/>
              <w:ind w:right="7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1,603,462</w:t>
            </w:r>
          </w:p>
        </w:tc>
        <w:tc>
          <w:tcPr>
            <w:tcW w:w="120" w:type="dxa"/>
            <w:vAlign w:val="bottom"/>
            <w:shd w:val="clear" w:color="auto" w:fill="CFF0FC"/>
          </w:tcPr>
          <w:p>
            <w:pPr>
              <w:spacing w:after="0"/>
              <w:rPr>
                <w:sz w:val="16"/>
                <w:szCs w:val="16"/>
                <w:color w:val="auto"/>
              </w:rPr>
            </w:pPr>
          </w:p>
        </w:tc>
      </w:tr>
      <w:tr>
        <w:trPr>
          <w:trHeight w:val="183"/>
        </w:trPr>
        <w:tc>
          <w:tcPr>
            <w:tcW w:w="7700" w:type="dxa"/>
            <w:vAlign w:val="bottom"/>
            <w:tcBorders>
              <w:top w:val="single" w:sz="8" w:color="CFF0FC"/>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13,642,776</w:t>
            </w:r>
          </w:p>
        </w:tc>
        <w:tc>
          <w:tcPr>
            <w:tcW w:w="220" w:type="dxa"/>
            <w:vAlign w:val="bottom"/>
            <w:tcBorders>
              <w:top w:val="single" w:sz="8" w:color="CFF0FC"/>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13,787,508</w:t>
            </w:r>
          </w:p>
        </w:tc>
        <w:tc>
          <w:tcPr>
            <w:tcW w:w="120" w:type="dxa"/>
            <w:vAlign w:val="bottom"/>
            <w:tcBorders>
              <w:top w:val="single" w:sz="8" w:color="CFF0FC"/>
            </w:tcBorders>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16. Segment Reporting</w:t>
      </w:r>
    </w:p>
    <w:p>
      <w:pPr>
        <w:spacing w:after="0" w:line="10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Company operates in one business segment, which includes all activities related to the discovery, development, and potential commercialization of off-the-shelf viral immunotherapies that help patients fight cancer. The determination of a single business segment is consistent with the consolidated financial information regularly provided to the Company’s chief operating decision maker (CODM). The Company’s CODM is its Chief Executive Officer, who reviews and evaluates consolidated net income (loss) for purposes of assessing performance, making operating decisions, allocating resources, and planning and forecasting for future periods.</w:t>
      </w:r>
    </w:p>
    <w:p>
      <w:pPr>
        <w:spacing w:after="0" w:line="72" w:lineRule="exact"/>
        <w:rPr>
          <w:sz w:val="20"/>
          <w:szCs w:val="20"/>
          <w:color w:val="auto"/>
        </w:rPr>
      </w:pPr>
    </w:p>
    <w:p>
      <w:pPr>
        <w:ind w:right="680"/>
        <w:spacing w:after="0" w:line="249" w:lineRule="auto"/>
        <w:rPr>
          <w:sz w:val="20"/>
          <w:szCs w:val="20"/>
          <w:color w:val="auto"/>
        </w:rPr>
      </w:pPr>
      <w:r>
        <w:rPr>
          <w:rFonts w:ascii="Arial" w:cs="Arial" w:eastAsia="Arial" w:hAnsi="Arial"/>
          <w:sz w:val="17"/>
          <w:szCs w:val="17"/>
          <w:color w:val="auto"/>
        </w:rPr>
        <w:t>In addition to the significant expense categories included within consolidated net income (loss) presented on the Company's condensed consolidated statements of operations and comprehensive income (loss), see below for disaggregated amounts that comprise research and development and general and administrative expenses: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30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4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Operating expenses:</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line="189" w:lineRule="exact"/>
              <w:rPr>
                <w:sz w:val="20"/>
                <w:szCs w:val="20"/>
                <w:color w:val="auto"/>
              </w:rPr>
            </w:pPr>
            <w:r>
              <w:rPr>
                <w:rFonts w:ascii="Arial" w:cs="Arial" w:eastAsia="Arial" w:hAnsi="Arial"/>
                <w:sz w:val="17"/>
                <w:szCs w:val="17"/>
                <w:b w:val="1"/>
                <w:bCs w:val="1"/>
                <w:color w:val="auto"/>
              </w:rPr>
              <w:t>Research and development:</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color w:val="auto"/>
              </w:rPr>
              <w:t>Clinical development</w:t>
            </w:r>
          </w:p>
        </w:tc>
        <w:tc>
          <w:tcPr>
            <w:tcW w:w="340" w:type="dxa"/>
            <w:vAlign w:val="bottom"/>
            <w:shd w:val="clear" w:color="auto" w:fill="CFF0FC"/>
          </w:tcPr>
          <w:p>
            <w:pPr>
              <w:jc w:val="right"/>
              <w:ind w:right="155"/>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3,051</w:t>
            </w:r>
          </w:p>
        </w:tc>
        <w:tc>
          <w:tcPr>
            <w:tcW w:w="10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921</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35"/>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4,296</w:t>
            </w:r>
          </w:p>
        </w:tc>
        <w:tc>
          <w:tcPr>
            <w:tcW w:w="10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1,747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line="189" w:lineRule="exact"/>
              <w:rPr>
                <w:sz w:val="20"/>
                <w:szCs w:val="20"/>
                <w:color w:val="auto"/>
              </w:rPr>
            </w:pPr>
            <w:r>
              <w:rPr>
                <w:rFonts w:ascii="Arial" w:cs="Arial" w:eastAsia="Arial" w:hAnsi="Arial"/>
                <w:sz w:val="17"/>
                <w:szCs w:val="17"/>
                <w:color w:val="auto"/>
              </w:rPr>
              <w:t>Employee-related</w:t>
            </w: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2,957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3,411</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5,109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6,139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color w:val="auto"/>
              </w:rPr>
              <w:t>Facility and equipment costs</w:t>
            </w: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490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379</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868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756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line="189" w:lineRule="exact"/>
              <w:rPr>
                <w:sz w:val="20"/>
                <w:szCs w:val="20"/>
                <w:color w:val="auto"/>
              </w:rPr>
            </w:pPr>
            <w:r>
              <w:rPr>
                <w:rFonts w:ascii="Arial" w:cs="Arial" w:eastAsia="Arial" w:hAnsi="Arial"/>
                <w:sz w:val="17"/>
                <w:szCs w:val="17"/>
                <w:color w:val="auto"/>
              </w:rPr>
              <w:t>Pre-clinical research</w:t>
            </w: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149</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244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201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CFF0FC"/>
            </w:tcBorders>
            <w:shd w:val="clear" w:color="auto" w:fill="CFF0FC"/>
          </w:tcPr>
          <w:p>
            <w:pPr>
              <w:ind w:left="120"/>
              <w:spacing w:after="0" w:line="189" w:lineRule="exact"/>
              <w:rPr>
                <w:sz w:val="20"/>
                <w:szCs w:val="20"/>
                <w:color w:val="auto"/>
              </w:rPr>
            </w:pPr>
            <w:r>
              <w:rPr>
                <w:rFonts w:ascii="Arial" w:cs="Arial" w:eastAsia="Arial" w:hAnsi="Arial"/>
                <w:sz w:val="17"/>
                <w:szCs w:val="17"/>
                <w:color w:val="auto"/>
              </w:rPr>
              <w:t>Other research and development segment expenses</w:t>
            </w:r>
          </w:p>
        </w:tc>
        <w:tc>
          <w:tcPr>
            <w:tcW w:w="3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366</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119</w:t>
            </w:r>
          </w:p>
        </w:tc>
        <w:tc>
          <w:tcPr>
            <w:tcW w:w="2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490</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238</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40" w:type="dxa"/>
            <w:vAlign w:val="bottom"/>
          </w:tcPr>
          <w:p>
            <w:pPr>
              <w:ind w:left="120"/>
              <w:spacing w:after="0" w:line="183" w:lineRule="exact"/>
              <w:rPr>
                <w:sz w:val="20"/>
                <w:szCs w:val="20"/>
                <w:color w:val="auto"/>
              </w:rPr>
            </w:pPr>
            <w:r>
              <w:rPr>
                <w:rFonts w:ascii="Arial" w:cs="Arial" w:eastAsia="Arial" w:hAnsi="Arial"/>
                <w:sz w:val="17"/>
                <w:szCs w:val="17"/>
                <w:b w:val="1"/>
                <w:bCs w:val="1"/>
                <w:color w:val="auto"/>
              </w:rPr>
              <w:t>Total research and development</w:t>
            </w:r>
          </w:p>
        </w:tc>
        <w:tc>
          <w:tcPr>
            <w:tcW w:w="34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7"/>
                <w:szCs w:val="17"/>
                <w:color w:val="auto"/>
              </w:rPr>
              <w:t>6,991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7"/>
                <w:szCs w:val="17"/>
                <w:color w:val="auto"/>
              </w:rPr>
              <w:t>4,979</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7"/>
                <w:szCs w:val="17"/>
                <w:color w:val="auto"/>
              </w:rPr>
              <w:t>11,007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7"/>
                <w:szCs w:val="17"/>
                <w:color w:val="auto"/>
              </w:rPr>
              <w:t>9,081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b w:val="1"/>
                <w:bCs w:val="1"/>
                <w:color w:val="auto"/>
              </w:rPr>
              <w:t>General and administrative:</w:t>
            </w: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line="189" w:lineRule="exact"/>
              <w:rPr>
                <w:sz w:val="20"/>
                <w:szCs w:val="20"/>
                <w:color w:val="auto"/>
              </w:rPr>
            </w:pPr>
            <w:r>
              <w:rPr>
                <w:rFonts w:ascii="Arial" w:cs="Arial" w:eastAsia="Arial" w:hAnsi="Arial"/>
                <w:sz w:val="17"/>
                <w:szCs w:val="17"/>
                <w:color w:val="auto"/>
              </w:rPr>
              <w:t>Employee-related</w:t>
            </w: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1,945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1,867</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3,661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3,506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ind w:left="120"/>
              <w:spacing w:after="0" w:line="189" w:lineRule="exact"/>
              <w:rPr>
                <w:sz w:val="20"/>
                <w:szCs w:val="20"/>
                <w:color w:val="auto"/>
              </w:rPr>
            </w:pPr>
            <w:r>
              <w:rPr>
                <w:rFonts w:ascii="Arial" w:cs="Arial" w:eastAsia="Arial" w:hAnsi="Arial"/>
                <w:sz w:val="17"/>
                <w:szCs w:val="17"/>
                <w:color w:val="auto"/>
              </w:rPr>
              <w:t>Professional and consulting fees</w:t>
            </w: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1,436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1,208</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3,238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2,876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line="189" w:lineRule="exact"/>
              <w:rPr>
                <w:sz w:val="20"/>
                <w:szCs w:val="20"/>
                <w:color w:val="auto"/>
              </w:rPr>
            </w:pPr>
            <w:r>
              <w:rPr>
                <w:rFonts w:ascii="Arial" w:cs="Arial" w:eastAsia="Arial" w:hAnsi="Arial"/>
                <w:sz w:val="17"/>
                <w:szCs w:val="17"/>
                <w:color w:val="auto"/>
              </w:rPr>
              <w:t>Commercial readiness</w:t>
            </w: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343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475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7"/>
        </w:trPr>
        <w:tc>
          <w:tcPr>
            <w:tcW w:w="4440" w:type="dxa"/>
            <w:vAlign w:val="bottom"/>
            <w:shd w:val="clear" w:color="auto" w:fill="CFF0FC"/>
          </w:tcPr>
          <w:p>
            <w:pPr>
              <w:ind w:left="120"/>
              <w:spacing w:after="0" w:line="167" w:lineRule="exact"/>
              <w:rPr>
                <w:sz w:val="20"/>
                <w:szCs w:val="20"/>
                <w:color w:val="auto"/>
              </w:rPr>
            </w:pPr>
            <w:r>
              <w:rPr>
                <w:rFonts w:ascii="Arial" w:cs="Arial" w:eastAsia="Arial" w:hAnsi="Arial"/>
                <w:sz w:val="17"/>
                <w:szCs w:val="17"/>
                <w:color w:val="auto"/>
              </w:rPr>
              <w:t>Other general and administrative segment expenses</w:t>
            </w:r>
          </w:p>
        </w:tc>
        <w:tc>
          <w:tcPr>
            <w:tcW w:w="34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462</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517</w:t>
            </w: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926</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1,010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7"/>
                <w:szCs w:val="17"/>
                <w:color w:val="auto"/>
              </w:rPr>
              <w:t>(1)</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40" w:type="dxa"/>
            <w:vAlign w:val="bottom"/>
          </w:tcPr>
          <w:p>
            <w:pPr>
              <w:ind w:left="120"/>
              <w:spacing w:after="0" w:line="183" w:lineRule="exact"/>
              <w:rPr>
                <w:sz w:val="20"/>
                <w:szCs w:val="20"/>
                <w:color w:val="auto"/>
              </w:rPr>
            </w:pPr>
            <w:r>
              <w:rPr>
                <w:rFonts w:ascii="Arial" w:cs="Arial" w:eastAsia="Arial" w:hAnsi="Arial"/>
                <w:sz w:val="17"/>
                <w:szCs w:val="17"/>
                <w:b w:val="1"/>
                <w:bCs w:val="1"/>
                <w:color w:val="auto"/>
              </w:rPr>
              <w:t>Total general and administrative</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4,186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3,592</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8,300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7,392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40" w:type="dxa"/>
            <w:vAlign w:val="bottom"/>
            <w:tcBorders>
              <w:bottom w:val="single" w:sz="8" w:color="CFF0FC"/>
            </w:tcBorders>
            <w:shd w:val="clear" w:color="auto" w:fill="CFF0FC"/>
          </w:tcPr>
          <w:p>
            <w:pPr>
              <w:ind w:left="220"/>
              <w:spacing w:after="0" w:line="183" w:lineRule="exact"/>
              <w:rPr>
                <w:sz w:val="20"/>
                <w:szCs w:val="20"/>
                <w:color w:val="auto"/>
              </w:rPr>
            </w:pPr>
            <w:r>
              <w:rPr>
                <w:rFonts w:ascii="Arial" w:cs="Arial" w:eastAsia="Arial" w:hAnsi="Arial"/>
                <w:sz w:val="17"/>
                <w:szCs w:val="17"/>
                <w:b w:val="1"/>
                <w:bCs w:val="1"/>
                <w:color w:val="auto"/>
              </w:rPr>
              <w:t>Total operating expenses</w:t>
            </w:r>
          </w:p>
        </w:tc>
        <w:tc>
          <w:tcPr>
            <w:tcW w:w="3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11,177</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8,571</w:t>
            </w:r>
          </w:p>
        </w:tc>
        <w:tc>
          <w:tcPr>
            <w:tcW w:w="2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19,307</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16,473</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40" w:type="dxa"/>
            <w:vAlign w:val="bottom"/>
          </w:tcPr>
          <w:p>
            <w:pPr>
              <w:spacing w:after="0" w:line="183" w:lineRule="exact"/>
              <w:rPr>
                <w:sz w:val="20"/>
                <w:szCs w:val="20"/>
                <w:color w:val="auto"/>
              </w:rPr>
            </w:pPr>
            <w:r>
              <w:rPr>
                <w:rFonts w:ascii="Arial" w:cs="Arial" w:eastAsia="Arial" w:hAnsi="Arial"/>
                <w:sz w:val="17"/>
                <w:szCs w:val="17"/>
                <w:color w:val="auto"/>
              </w:rPr>
              <w:t>Loss from operations</w:t>
            </w:r>
          </w:p>
        </w:tc>
        <w:tc>
          <w:tcPr>
            <w:tcW w:w="340" w:type="dxa"/>
            <w:vAlign w:val="bottom"/>
          </w:tcPr>
          <w:p>
            <w:pPr>
              <w:spacing w:after="0"/>
              <w:rPr>
                <w:sz w:val="15"/>
                <w:szCs w:val="15"/>
                <w:color w:val="auto"/>
              </w:rPr>
            </w:pPr>
          </w:p>
        </w:tc>
        <w:tc>
          <w:tcPr>
            <w:tcW w:w="122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(11,177)</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220"/>
              <w:spacing w:after="0" w:line="183" w:lineRule="exact"/>
              <w:rPr>
                <w:sz w:val="20"/>
                <w:szCs w:val="20"/>
                <w:color w:val="auto"/>
              </w:rPr>
            </w:pPr>
            <w:r>
              <w:rPr>
                <w:rFonts w:ascii="Arial" w:cs="Arial" w:eastAsia="Arial" w:hAnsi="Arial"/>
                <w:sz w:val="17"/>
                <w:szCs w:val="17"/>
                <w:color w:val="auto"/>
              </w:rPr>
              <w:t>(8,571)</w:t>
            </w:r>
          </w:p>
        </w:tc>
        <w:tc>
          <w:tcPr>
            <w:tcW w:w="320" w:type="dxa"/>
            <w:vAlign w:val="bottom"/>
          </w:tcPr>
          <w:p>
            <w:pPr>
              <w:spacing w:after="0"/>
              <w:rPr>
                <w:sz w:val="15"/>
                <w:szCs w:val="15"/>
                <w:color w:val="auto"/>
              </w:rPr>
            </w:pPr>
          </w:p>
        </w:tc>
        <w:tc>
          <w:tcPr>
            <w:tcW w:w="124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(19,307)</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(16,473)</w:t>
            </w: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Interest income</w:t>
            </w: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926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240</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1,860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560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6"/>
                <w:szCs w:val="16"/>
                <w:color w:val="auto"/>
              </w:rPr>
            </w:pPr>
          </w:p>
        </w:tc>
        <w:tc>
          <w:tcPr>
            <w:tcW w:w="12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(236)</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(567)</w:t>
            </w:r>
          </w:p>
        </w:tc>
        <w:tc>
          <w:tcPr>
            <w:tcW w:w="320" w:type="dxa"/>
            <w:vAlign w:val="bottom"/>
          </w:tcPr>
          <w:p>
            <w:pPr>
              <w:spacing w:after="0"/>
              <w:rPr>
                <w:sz w:val="16"/>
                <w:szCs w:val="16"/>
                <w:color w:val="auto"/>
              </w:rPr>
            </w:pPr>
          </w:p>
        </w:tc>
        <w:tc>
          <w:tcPr>
            <w:tcW w:w="12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(542)</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(1,213)</w:t>
            </w: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Change in fair value of warrant liability</w:t>
            </w: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5,691</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(13,339)</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20,572</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(13,332)</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Pr>
          <w:p>
            <w:pPr>
              <w:spacing w:after="0" w:line="183" w:lineRule="exact"/>
              <w:rPr>
                <w:sz w:val="20"/>
                <w:szCs w:val="20"/>
                <w:color w:val="auto"/>
              </w:rPr>
            </w:pPr>
            <w:r>
              <w:rPr>
                <w:rFonts w:ascii="Arial" w:cs="Arial" w:eastAsia="Arial" w:hAnsi="Arial"/>
                <w:sz w:val="17"/>
                <w:szCs w:val="17"/>
                <w:b w:val="1"/>
                <w:bCs w:val="1"/>
                <w:color w:val="auto"/>
              </w:rPr>
              <w:t>Net income (loss)</w:t>
            </w:r>
          </w:p>
        </w:tc>
        <w:tc>
          <w:tcPr>
            <w:tcW w:w="340" w:type="dxa"/>
            <w:vAlign w:val="bottom"/>
          </w:tcPr>
          <w:p>
            <w:pPr>
              <w:jc w:val="right"/>
              <w:ind w:right="155"/>
              <w:spacing w:after="0" w:line="183" w:lineRule="exact"/>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(4,796)</w:t>
            </w:r>
          </w:p>
        </w:tc>
        <w:tc>
          <w:tcPr>
            <w:tcW w:w="540" w:type="dxa"/>
            <w:vAlign w:val="bottom"/>
            <w:gridSpan w:val="2"/>
          </w:tcPr>
          <w:p>
            <w:pPr>
              <w:jc w:val="right"/>
              <w:ind w:right="260"/>
              <w:spacing w:after="0" w:line="183" w:lineRule="exact"/>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20"/>
              <w:spacing w:after="0" w:line="183" w:lineRule="exact"/>
              <w:rPr>
                <w:sz w:val="20"/>
                <w:szCs w:val="20"/>
                <w:color w:val="auto"/>
              </w:rPr>
            </w:pPr>
            <w:r>
              <w:rPr>
                <w:rFonts w:ascii="Arial" w:cs="Arial" w:eastAsia="Arial" w:hAnsi="Arial"/>
                <w:sz w:val="17"/>
                <w:szCs w:val="17"/>
                <w:color w:val="auto"/>
              </w:rPr>
              <w:t>(22,237)</w:t>
            </w:r>
          </w:p>
        </w:tc>
        <w:tc>
          <w:tcPr>
            <w:tcW w:w="320" w:type="dxa"/>
            <w:vAlign w:val="bottom"/>
          </w:tcPr>
          <w:p>
            <w:pPr>
              <w:jc w:val="right"/>
              <w:ind w:right="135"/>
              <w:spacing w:after="0" w:line="183" w:lineRule="exact"/>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line="183" w:lineRule="exact"/>
              <w:rPr>
                <w:sz w:val="20"/>
                <w:szCs w:val="20"/>
                <w:color w:val="auto"/>
              </w:rPr>
            </w:pPr>
            <w:r>
              <w:rPr>
                <w:rFonts w:ascii="Arial" w:cs="Arial" w:eastAsia="Arial" w:hAnsi="Arial"/>
                <w:sz w:val="17"/>
                <w:szCs w:val="17"/>
                <w:color w:val="auto"/>
              </w:rPr>
              <w:t>2,583</w:t>
            </w:r>
          </w:p>
        </w:tc>
        <w:tc>
          <w:tcPr>
            <w:tcW w:w="100" w:type="dxa"/>
            <w:vAlign w:val="bottom"/>
          </w:tcPr>
          <w:p>
            <w:pPr>
              <w:spacing w:after="0"/>
              <w:rPr>
                <w:sz w:val="15"/>
                <w:szCs w:val="15"/>
                <w:color w:val="auto"/>
              </w:rPr>
            </w:pPr>
          </w:p>
        </w:tc>
        <w:tc>
          <w:tcPr>
            <w:tcW w:w="540" w:type="dxa"/>
            <w:vAlign w:val="bottom"/>
            <w:gridSpan w:val="2"/>
          </w:tcPr>
          <w:p>
            <w:pPr>
              <w:jc w:val="right"/>
              <w:ind w:right="260"/>
              <w:spacing w:after="0" w:line="183"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(30,458)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-1739265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-1739265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-1739265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-1739265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-899160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-899160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-899160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-899160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-642620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-642620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-642620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-642620</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-153670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-153670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-153670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0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general and administrative segment expenses primarily consist of insurance, occupancy, and information technology costs.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2" w:lineRule="exact"/>
        <w:rPr>
          <w:sz w:val="20"/>
          <w:szCs w:val="20"/>
          <w:color w:val="auto"/>
        </w:rPr>
      </w:pPr>
    </w:p>
    <w:p>
      <w:pPr>
        <w:ind w:right="80"/>
        <w:spacing w:after="0"/>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and other financial information included elsewhere in this Quarterly Report on Form 10-Q (Form 10-Q). Some of the information contained in this discussion and analysis contains forward-looking statements that involve risks and uncertainties. You should review the section titled “Risk factors” in this Form 10-Q for a discussion of important factors that could cause actual results to differ materially from the results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induction of immunogenic cell death within the tumor microenvironment, thus releasing tumor neo-antigens and creating a pro-inflammatory microenvironment at the site of injection. This is intended to lead to in-situ immunization against the injected tumor and uninjected distant metastases. Our biological multimodal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responses in our preclinical studies and clinical trials that may indicate the potential of our product candidates to induce systemic immune response against distal, uninjected tumors, also known as an “abscopal” effect.</w:t>
      </w:r>
    </w:p>
    <w:p>
      <w:pPr>
        <w:spacing w:after="0" w:line="73"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69"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We have established two clinical off-the-shelf viral immunotherapy platforms based on novel, genetically modified adenovirus and herpes simplex virus (HSV) constructs, respectively.</w:t>
      </w:r>
    </w:p>
    <w:p>
      <w:pPr>
        <w:spacing w:after="0" w:line="51"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Our most advanced product candidate, CAN-2409 (aglatimagene besadenovec), is an off-the-shelf adenovirus product candidate which is administered in conjunction with the prodrug valacyclovir, that has generated promising clinical activity across a range of solid tumor indications. CAN-2409 is being studied in the following ongoing clinical trials:</w:t>
      </w:r>
    </w:p>
    <w:p>
      <w:pPr>
        <w:spacing w:after="0" w:line="69"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Prostate Cancer</w:t>
      </w:r>
    </w:p>
    <w:p>
      <w:pPr>
        <w:spacing w:after="0" w:line="112" w:lineRule="exact"/>
        <w:rPr>
          <w:rFonts w:ascii="Times New Roman" w:cs="Times New Roman" w:eastAsia="Times New Roman" w:hAnsi="Times New Roman"/>
          <w:sz w:val="17"/>
          <w:szCs w:val="17"/>
          <w:color w:val="auto"/>
        </w:rPr>
      </w:pPr>
    </w:p>
    <w:p>
      <w:pPr>
        <w:ind w:left="1540" w:right="20" w:hanging="509"/>
        <w:spacing w:after="0" w:line="2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A pivotal phase 3 randomized, double-blind, placebo-controlled clinical trial in the United States under a Special Protocol Assessment (SPA) with the U.S. Food and Drug Administration (FDA) evaluating patients with newly diagnosed, localized prostate cancer who have an intermediate or high-risk for progression. The FDA previously granted Fast Track Designation for the use of CAN-2409 for the treatment of localized, primary prostate cancer in combination with radiation therapy to improve the local control rate. In May 2025, we announced that the FDA granted Regenerative Medicine Advanced Therapy (RMAT) designation for CAN-2409 for the treatment of newly diagnosed localized prostate cancer in patients with intermediate-to-high-risk disease. In June 2025, the results from our positive phase 3 clinical trial of CAN-2409 in patients with intermediate-to-high-risk localized prostate cancer were presented in an oral presentation at the 2025 American Society of Oncology (ASCO) Annual Meeting.</w:t>
      </w:r>
    </w:p>
    <w:p>
      <w:pPr>
        <w:spacing w:after="0" w:line="79" w:lineRule="exact"/>
        <w:rPr>
          <w:rFonts w:ascii="Times New Roman" w:cs="Times New Roman" w:eastAsia="Times New Roman" w:hAnsi="Times New Roman"/>
          <w:sz w:val="17"/>
          <w:szCs w:val="17"/>
          <w:color w:val="auto"/>
        </w:rPr>
      </w:pPr>
    </w:p>
    <w:p>
      <w:pPr>
        <w:ind w:left="1540" w:hanging="509"/>
        <w:spacing w:after="0" w:line="2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The primary goal of curative treatment for localized prostate cancer is complete tumor eradication, as outlined by National Comprehensive Cancer Network (NCCN) guidelines. However, up to 30% of intermediate-to-high-risk patients experience recurrence despite radical therapy, and salvage treatments often carry significant side effects and limited efficacy. Recurrence beyond two years post-treatment is strongly linked to higher rates of metastasis and prostate cancer-specific mortality after prolonged follow up (~10 years). Studies also show that patients prioritize the perception of being cancer-free and are often willing to risk long-term complications to achieve this. Fear of recurrence remains prevalent, especially after biochemical failure (Hoffman RM et al. Cancer 2003;97:1653-62 ; Jayadevappa R et al. J Clin Oncol 2019;37:964-73 ; Nilsson R et al. Eur Urol Open Sci 2021;25:44-51). Therefore, this study aimed to assess whether adding CAN-2409 plus valacyclovir to standard of care (SoC) radiotherapy could improve disease-free survival (DFS) in patients pursuing curative treatment—a primary endpoint established in the SPA with the FDA. We completed enrollment of this trial in September 2021.</w:t>
      </w:r>
    </w:p>
    <w:p>
      <w:pPr>
        <w:spacing w:after="0" w:line="75" w:lineRule="exact"/>
        <w:rPr>
          <w:rFonts w:ascii="Times New Roman" w:cs="Times New Roman" w:eastAsia="Times New Roman" w:hAnsi="Times New Roman"/>
          <w:sz w:val="17"/>
          <w:szCs w:val="17"/>
          <w:color w:val="auto"/>
        </w:rPr>
      </w:pPr>
    </w:p>
    <w:p>
      <w:pPr>
        <w:ind w:left="2040" w:right="340" w:hanging="505"/>
        <w:spacing w:after="0" w:line="266" w:lineRule="auto"/>
        <w:tabs>
          <w:tab w:leader="none" w:pos="204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In December 2024, we announced positive topline data from our phase 3 clinical trial. This randomized, double-blind, placebo-controlled, multicenter clinical trial enrolled 745 patients (intent to treat population</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4" w:name="page25"/>
    <w:bookmarkEnd w:id="24"/>
    <w:p>
      <w:pPr>
        <w:ind w:left="1523"/>
        <w:spacing w:after="0" w:line="238" w:lineRule="auto"/>
        <w:rPr>
          <w:sz w:val="20"/>
          <w:szCs w:val="20"/>
          <w:color w:val="auto"/>
        </w:rPr>
      </w:pPr>
      <w:r>
        <w:rPr>
          <w:rFonts w:ascii="Arial" w:cs="Arial" w:eastAsia="Arial" w:hAnsi="Arial"/>
          <w:sz w:val="17"/>
          <w:szCs w:val="17"/>
          <w:color w:val="auto"/>
        </w:rPr>
        <w:t>(ITT)) to evaluate the effectiveness and safety of CAN-2409 plus prodrug (valacyclovir) viral immunotherapy in combination with SoC external beam radiation therapy to improve DFS in patients with intermediate-to-high-risk, localized prostate cancer. Patients were randomized 2:1 (496 in CAN-2409+prodrug and 249 in placebo +prodrug). Both arms received standard of care external beam radiation therapy (EBRT) +/- short course androgen deprivation therapy (ADT) (&lt;6 months) and were stratified by NCCN risk group and ADT use. Three intraprostatic injections of CAN-2409 (5x10</w:t>
      </w:r>
    </w:p>
    <w:p>
      <w:pPr>
        <w:spacing w:after="0" w:line="2" w:lineRule="exact"/>
        <w:rPr>
          <w:sz w:val="20"/>
          <w:szCs w:val="20"/>
          <w:color w:val="auto"/>
        </w:rPr>
      </w:pPr>
    </w:p>
    <w:p>
      <w:pPr>
        <w:ind w:left="1523"/>
        <w:spacing w:after="0"/>
        <w:rPr>
          <w:sz w:val="20"/>
          <w:szCs w:val="20"/>
          <w:color w:val="auto"/>
        </w:rPr>
      </w:pPr>
      <w:r>
        <w:rPr>
          <w:rFonts w:ascii="Arial" w:cs="Arial" w:eastAsia="Arial" w:hAnsi="Arial"/>
          <w:sz w:val="22"/>
          <w:szCs w:val="22"/>
          <w:color w:val="auto"/>
          <w:vertAlign w:val="superscript"/>
        </w:rPr>
        <w:t>11</w:t>
      </w:r>
      <w:r>
        <w:rPr>
          <w:rFonts w:ascii="Arial" w:cs="Arial" w:eastAsia="Arial" w:hAnsi="Arial"/>
          <w:sz w:val="17"/>
          <w:szCs w:val="17"/>
          <w:color w:val="auto"/>
        </w:rPr>
        <w:t>vp/2mL) or placebo were administered, each followed by 14 days of prodrug.</w:t>
      </w:r>
    </w:p>
    <w:p>
      <w:pPr>
        <w:spacing w:after="0" w:line="58" w:lineRule="exact"/>
        <w:rPr>
          <w:sz w:val="20"/>
          <w:szCs w:val="20"/>
          <w:color w:val="auto"/>
        </w:rPr>
      </w:pPr>
    </w:p>
    <w:p>
      <w:pPr>
        <w:ind w:left="1523" w:right="140" w:hanging="505"/>
        <w:spacing w:after="0" w:line="249" w:lineRule="auto"/>
        <w:tabs>
          <w:tab w:leader="none" w:pos="1523"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The median follow-up time for the recruited population was 50.3 months. The primary outcome measure, DFS, included the evaluation of post-treatment biopsies, performed at two years from the end of radiation, for the presence of tumor recurrence. Local or systemic recurrence and death from any cause were also part of the primary endpoint.</w:t>
      </w:r>
    </w:p>
    <w:p>
      <w:pPr>
        <w:spacing w:after="0" w:line="65" w:lineRule="exact"/>
        <w:rPr>
          <w:rFonts w:ascii="Times New Roman" w:cs="Times New Roman" w:eastAsia="Times New Roman" w:hAnsi="Times New Roman"/>
          <w:sz w:val="17"/>
          <w:szCs w:val="17"/>
          <w:color w:val="auto"/>
        </w:rPr>
      </w:pPr>
    </w:p>
    <w:p>
      <w:pPr>
        <w:ind w:left="1523" w:hanging="505"/>
        <w:spacing w:after="0"/>
        <w:tabs>
          <w:tab w:leader="none" w:pos="1523"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The study met its primary endpoint, demonstrating a statistically significant improvement in DFS in patients in the CAN-</w:t>
      </w:r>
    </w:p>
    <w:p>
      <w:pPr>
        <w:spacing w:after="0" w:line="8" w:lineRule="exact"/>
        <w:rPr>
          <w:rFonts w:ascii="Times New Roman" w:cs="Times New Roman" w:eastAsia="Times New Roman" w:hAnsi="Times New Roman"/>
          <w:sz w:val="17"/>
          <w:szCs w:val="17"/>
          <w:color w:val="auto"/>
        </w:rPr>
      </w:pPr>
    </w:p>
    <w:p>
      <w:pPr>
        <w:ind w:left="1523"/>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2409 arm compared to the placebo arm. Key topline results include:</w:t>
      </w:r>
    </w:p>
    <w:p>
      <w:pPr>
        <w:spacing w:after="0" w:line="85" w:lineRule="exact"/>
        <w:rPr>
          <w:rFonts w:ascii="Times New Roman" w:cs="Times New Roman" w:eastAsia="Times New Roman" w:hAnsi="Times New Roman"/>
          <w:sz w:val="17"/>
          <w:szCs w:val="17"/>
          <w:color w:val="auto"/>
        </w:rPr>
      </w:pPr>
    </w:p>
    <w:p>
      <w:pPr>
        <w:ind w:left="2043" w:right="120" w:hanging="516"/>
        <w:spacing w:after="0" w:line="243" w:lineRule="auto"/>
        <w:tabs>
          <w:tab w:leader="none" w:pos="2043"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The primary endpoint, as agreed with the FDA under a SPA was met: statistically significant improvement in DFS for CAN-2409 plus radiation therapy (n=496) vs. placebo plus radiation therapy (n=249) (p=0.0155; HR 0.70;95% CI; 0.52 to 0.94). Median DFS was not reached for the CAN-2409 treatment arm vs. 86.1 months in the placebo arm</w:t>
      </w:r>
    </w:p>
    <w:p>
      <w:pPr>
        <w:spacing w:after="0" w:line="71" w:lineRule="exact"/>
        <w:rPr>
          <w:rFonts w:ascii="Times New Roman" w:cs="Times New Roman" w:eastAsia="Times New Roman" w:hAnsi="Times New Roman"/>
          <w:sz w:val="17"/>
          <w:szCs w:val="17"/>
          <w:color w:val="auto"/>
        </w:rPr>
      </w:pPr>
    </w:p>
    <w:p>
      <w:pPr>
        <w:ind w:left="2043" w:hanging="516"/>
        <w:spacing w:after="0"/>
        <w:tabs>
          <w:tab w:leader="none" w:pos="2043"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This result was supported by secondary and exploratory endpoints:</w:t>
      </w:r>
    </w:p>
    <w:p>
      <w:pPr>
        <w:spacing w:after="0" w:line="114" w:lineRule="exact"/>
        <w:rPr>
          <w:rFonts w:ascii="Times New Roman" w:cs="Times New Roman" w:eastAsia="Times New Roman" w:hAnsi="Times New Roman"/>
          <w:sz w:val="17"/>
          <w:szCs w:val="17"/>
          <w:color w:val="auto"/>
        </w:rPr>
      </w:pPr>
    </w:p>
    <w:p>
      <w:pPr>
        <w:ind w:left="2543" w:right="440" w:hanging="50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Statistically significant improvement in prostate cancer-specific DFS (exclusion of non-prostate cancer related deaths) in the CAN-2409 arm vs. placebo (p=0.0046; HR 0.62, 95% CI 0.44 to 0.87)</w:t>
      </w:r>
    </w:p>
    <w:p>
      <w:pPr>
        <w:spacing w:after="0" w:line="51" w:lineRule="exact"/>
        <w:rPr>
          <w:rFonts w:ascii="Times New Roman" w:cs="Times New Roman" w:eastAsia="Times New Roman" w:hAnsi="Times New Roman"/>
          <w:sz w:val="17"/>
          <w:szCs w:val="17"/>
          <w:color w:val="auto"/>
        </w:rPr>
      </w:pPr>
    </w:p>
    <w:p>
      <w:pPr>
        <w:ind w:left="204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Prostate cancer-specific improvement in DFS was observed, independent of the use of short-term ADT</w:t>
      </w:r>
    </w:p>
    <w:p>
      <w:pPr>
        <w:spacing w:after="0" w:line="115" w:lineRule="exact"/>
        <w:rPr>
          <w:rFonts w:ascii="Times New Roman" w:cs="Times New Roman" w:eastAsia="Times New Roman" w:hAnsi="Times New Roman"/>
          <w:sz w:val="17"/>
          <w:szCs w:val="17"/>
          <w:color w:val="auto"/>
        </w:rPr>
      </w:pPr>
    </w:p>
    <w:p>
      <w:pPr>
        <w:ind w:left="2543" w:right="340" w:hanging="50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Statistically significant increase in the proportion of patients achieving a prostate-specific antigen (PSA) nadir (&lt;0.2 ng/ml) was observed in the CAN-2409 arm compared to the placebo control arm (67.1% vs. 58.6%, respectively; p=0.0164)</w:t>
      </w:r>
    </w:p>
    <w:p>
      <w:pPr>
        <w:spacing w:after="0" w:line="66" w:lineRule="exact"/>
        <w:rPr>
          <w:rFonts w:ascii="Times New Roman" w:cs="Times New Roman" w:eastAsia="Times New Roman" w:hAnsi="Times New Roman"/>
          <w:sz w:val="17"/>
          <w:szCs w:val="17"/>
          <w:color w:val="auto"/>
        </w:rPr>
      </w:pPr>
    </w:p>
    <w:p>
      <w:pPr>
        <w:ind w:left="2543" w:right="560" w:hanging="50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Increase in the proportion of patients with a pathological complete response in 2-year post-treatment biopsies (80.4% in the CAN-2409 arm vs. 63.6% observed in the control arm; p=0.0015)</w:t>
      </w:r>
    </w:p>
    <w:p>
      <w:pPr>
        <w:spacing w:after="0" w:line="51" w:lineRule="exact"/>
        <w:rPr>
          <w:rFonts w:ascii="Times New Roman" w:cs="Times New Roman" w:eastAsia="Times New Roman" w:hAnsi="Times New Roman"/>
          <w:sz w:val="17"/>
          <w:szCs w:val="17"/>
          <w:color w:val="auto"/>
        </w:rPr>
      </w:pPr>
    </w:p>
    <w:p>
      <w:pPr>
        <w:ind w:left="1523" w:right="240" w:hanging="505"/>
        <w:spacing w:after="0" w:line="266" w:lineRule="auto"/>
        <w:tabs>
          <w:tab w:leader="none" w:pos="1523"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CAN-2409 was generally well tolerated. The most common CAN-2409-related adverse events were flu-like symptoms, fever and chills, which were generally mild to moderate in severity and self-limited.</w:t>
      </w:r>
    </w:p>
    <w:p>
      <w:pPr>
        <w:spacing w:after="0" w:line="51" w:lineRule="exact"/>
        <w:rPr>
          <w:rFonts w:ascii="Times New Roman" w:cs="Times New Roman" w:eastAsia="Times New Roman" w:hAnsi="Times New Roman"/>
          <w:sz w:val="17"/>
          <w:szCs w:val="17"/>
          <w:color w:val="auto"/>
        </w:rPr>
      </w:pPr>
    </w:p>
    <w:p>
      <w:pPr>
        <w:ind w:left="1523" w:right="380" w:hanging="505"/>
        <w:spacing w:after="0" w:line="266" w:lineRule="auto"/>
        <w:tabs>
          <w:tab w:leader="none" w:pos="1523"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Based on these results, we anticipate submitting a biologics license application for CAN-2409 in the fourth quarter of 2026.</w:t>
      </w:r>
    </w:p>
    <w:p>
      <w:pPr>
        <w:spacing w:after="0" w:line="52" w:lineRule="exact"/>
        <w:rPr>
          <w:sz w:val="20"/>
          <w:szCs w:val="20"/>
          <w:color w:val="auto"/>
        </w:rPr>
      </w:pPr>
    </w:p>
    <w:p>
      <w:pPr>
        <w:ind w:left="1023" w:right="200" w:hanging="514"/>
        <w:spacing w:after="0" w:line="266" w:lineRule="auto"/>
        <w:tabs>
          <w:tab w:leader="none" w:pos="1023" w:val="left"/>
        </w:tabs>
        <w:numPr>
          <w:ilvl w:val="1"/>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A phase 2 randomized, double-blind, placebo-controlled clinical trial in the United States evaluating patients with low-to-intermediate risk, localized prostate cancer undergoing active surveillance. We completed enrollment of this trial in May 2019.</w:t>
      </w:r>
    </w:p>
    <w:p>
      <w:pPr>
        <w:spacing w:after="0" w:line="51" w:lineRule="exact"/>
        <w:rPr>
          <w:rFonts w:ascii="Times New Roman" w:cs="Times New Roman" w:eastAsia="Times New Roman" w:hAnsi="Times New Roman"/>
          <w:sz w:val="17"/>
          <w:szCs w:val="17"/>
          <w:color w:val="auto"/>
        </w:rPr>
      </w:pPr>
    </w:p>
    <w:p>
      <w:pPr>
        <w:ind w:left="1523" w:right="60" w:hanging="505"/>
        <w:spacing w:after="0" w:line="235" w:lineRule="auto"/>
        <w:tabs>
          <w:tab w:leader="none" w:pos="1523" w:val="left"/>
        </w:tabs>
        <w:numPr>
          <w:ilvl w:val="2"/>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In December 2024, we reported that this phase 2 clinical trial of CAN-2409 monotherapy in 190 patients with low-to-intermediate risk localized prostate cancer undergoing active surveillance showed a trend toward improvement in time to radical treatment and the percentage of patients achieving negative (prostate cancer-free) biopsies at 1-year post-treatment. However, these differences did not reach statistical significance, which might be explained by the fact that the study was not statistically powered for the primary endpoint (progression-free survival), that patients received only 2 administrations of CAN-2409 rather than 3 as used in the phase 3 clinical trial described above, that patients did not receive radiotherapy (preclinical models of prostate cancer have shown synergy between CAN-2409 and radiotherapy in this specific indication), and/or that the nucleotide analog that is formed after CAN-2409 treatment incorporated at lower levels in tumor cells with lower proliferation rates (low risk prostate cancer). CAN-2409 was generally well tolerated. The most common CAN-2409-related adverse events were flu-like symptoms, fever and chills, which were generally mild to moderate in severity and self-limited.</w:t>
      </w:r>
    </w:p>
    <w:p>
      <w:pPr>
        <w:spacing w:after="0" w:line="82"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Non-Small Cell Lung Cancer (NSCLC)</w:t>
      </w:r>
    </w:p>
    <w:p>
      <w:pPr>
        <w:spacing w:after="0" w:line="112" w:lineRule="exact"/>
        <w:rPr>
          <w:sz w:val="20"/>
          <w:szCs w:val="20"/>
          <w:color w:val="auto"/>
        </w:rPr>
      </w:pPr>
    </w:p>
    <w:p>
      <w:pPr>
        <w:ind w:left="723" w:right="140" w:hanging="289"/>
        <w:spacing w:after="0" w:line="249" w:lineRule="auto"/>
        <w:tabs>
          <w:tab w:leader="none" w:pos="723"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An open-label phase 2a clinical trial in the United States evaluating CAN-2409 plus valacyclovir in combination with continued PD-(L)1 checkpoint inhibitors in patients with stage III/IV NSCLC who have inadequate response to front line PD-(L)1 checkpoint inhibitor treatments. In April 2023, we announced that the FDA granted Fast Track</w:t>
      </w:r>
    </w:p>
    <w:p>
      <w:pPr>
        <w:spacing w:after="0" w:line="200" w:lineRule="exact"/>
        <w:rPr>
          <w:sz w:val="20"/>
          <w:szCs w:val="20"/>
          <w:color w:val="auto"/>
        </w:rPr>
      </w:pPr>
    </w:p>
    <w:p>
      <w:pPr>
        <w:spacing w:after="0" w:line="315"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076" w:right="379" w:bottom="1440" w:gutter="0" w:footer="0" w:header="0"/>
        </w:sectPr>
      </w:pPr>
    </w:p>
    <w:bookmarkStart w:id="25" w:name="page26"/>
    <w:bookmarkEnd w:id="25"/>
    <w:p>
      <w:pPr>
        <w:ind w:left="1240" w:right="60"/>
        <w:spacing w:after="0" w:line="239" w:lineRule="auto"/>
        <w:rPr>
          <w:sz w:val="20"/>
          <w:szCs w:val="20"/>
          <w:color w:val="auto"/>
        </w:rPr>
      </w:pPr>
      <w:r>
        <w:rPr>
          <w:rFonts w:ascii="Arial" w:cs="Arial" w:eastAsia="Arial" w:hAnsi="Arial"/>
          <w:sz w:val="17"/>
          <w:szCs w:val="17"/>
          <w:color w:val="auto"/>
        </w:rPr>
        <w:t>Designation for CAN-2409 plus valacyclovir in combination with pembrolizumab in order to improve survival or delay progression in patients with unresectable stage III or stage IV NSCLC, who are resistant to first line PD-(L)1 inhibitor therapy and who do not have activating molecular driver mutations or have progressed on directed molecular therapy. These patients historically have had an expected median overall survival (mOS) of &lt;12 months when treated with SoC chemotherapy (Reckamp K et al. J Clin Onc 2022;40:2295-2306). The aim of the CAN-2409 immunotherapy antitumor strategy is to improve overall survival beyond the median of 12 months in patients treated with two CAN-2409 injections and raise the long tail of survival.</w:t>
      </w:r>
    </w:p>
    <w:p>
      <w:pPr>
        <w:spacing w:after="0" w:line="74" w:lineRule="exact"/>
        <w:rPr>
          <w:sz w:val="20"/>
          <w:szCs w:val="20"/>
          <w:color w:val="auto"/>
        </w:rPr>
      </w:pPr>
    </w:p>
    <w:p>
      <w:pPr>
        <w:ind w:left="1540" w:hanging="514"/>
        <w:spacing w:after="0"/>
        <w:tabs>
          <w:tab w:leader="none" w:pos="1540"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March 2025, we announced final survival data from this phase 2a clinical trial of CAN-2409 in NSCLC:</w:t>
      </w:r>
    </w:p>
    <w:p>
      <w:pPr>
        <w:spacing w:after="0" w:line="114" w:lineRule="exact"/>
        <w:rPr>
          <w:rFonts w:ascii="Times New Roman" w:cs="Times New Roman" w:eastAsia="Times New Roman" w:hAnsi="Times New Roman"/>
          <w:sz w:val="17"/>
          <w:szCs w:val="17"/>
          <w:color w:val="auto"/>
        </w:rPr>
      </w:pPr>
    </w:p>
    <w:p>
      <w:pPr>
        <w:ind w:left="2040" w:right="220" w:hanging="505"/>
        <w:spacing w:after="0" w:line="266" w:lineRule="auto"/>
        <w:tabs>
          <w:tab w:leader="none" w:pos="2040"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patients with an inadequate response to immune checkpoint inhibitor (ICI) treatment who received 2 CAN-2409 plus valacyclovir courses (Cohort 1+2, per protocol population, n=46), mOS was 24.5 months.</w:t>
      </w:r>
    </w:p>
    <w:p>
      <w:pPr>
        <w:spacing w:after="0" w:line="51" w:lineRule="exact"/>
        <w:rPr>
          <w:rFonts w:ascii="Times New Roman" w:cs="Times New Roman" w:eastAsia="Times New Roman" w:hAnsi="Times New Roman"/>
          <w:sz w:val="17"/>
          <w:szCs w:val="17"/>
          <w:color w:val="auto"/>
        </w:rPr>
      </w:pPr>
    </w:p>
    <w:p>
      <w:pPr>
        <w:ind w:left="2040" w:right="40" w:hanging="505"/>
        <w:spacing w:after="0" w:line="243" w:lineRule="auto"/>
        <w:tabs>
          <w:tab w:leader="none" w:pos="2040"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patients with progressive disease, despite ICI treatment (Cohort 2, per protocol population, n=41), mOS was 21.5 months, which is markedly longer than the 9.8–11.8 months of survival reported in published literature in a similar patient population receiving standard of care of docetaxel chemotherapy (Paz-Ares LG et al, J Clin Oncol 2024;42:2860-2872 ; Ahn MJ et al, J Clin Onc 2024;43:260-272).</w:t>
      </w:r>
    </w:p>
    <w:p>
      <w:pPr>
        <w:spacing w:after="0" w:line="71" w:lineRule="exact"/>
        <w:rPr>
          <w:rFonts w:ascii="Times New Roman" w:cs="Times New Roman" w:eastAsia="Times New Roman" w:hAnsi="Times New Roman"/>
          <w:sz w:val="17"/>
          <w:szCs w:val="17"/>
          <w:color w:val="auto"/>
        </w:rPr>
      </w:pPr>
    </w:p>
    <w:p>
      <w:pPr>
        <w:jc w:val="both"/>
        <w:ind w:left="2040" w:right="80" w:hanging="505"/>
        <w:spacing w:after="0" w:line="249" w:lineRule="auto"/>
        <w:tabs>
          <w:tab w:leader="none" w:pos="2040"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37% of patients with progressive disease at enrollment were still alive &gt; 24 months after CAN-2409 treatment at the time of the March 3, 2025 data cut, suggesting a long tail of survival. 14/15 patients with overall survival &gt; 24 months and 9/9 patients with overall survival &gt; 30 months had non-squamous NSCLC.</w:t>
      </w:r>
    </w:p>
    <w:p>
      <w:pPr>
        <w:spacing w:after="0" w:line="65" w:lineRule="exact"/>
        <w:rPr>
          <w:rFonts w:ascii="Times New Roman" w:cs="Times New Roman" w:eastAsia="Times New Roman" w:hAnsi="Times New Roman"/>
          <w:sz w:val="17"/>
          <w:szCs w:val="17"/>
          <w:color w:val="auto"/>
        </w:rPr>
      </w:pPr>
    </w:p>
    <w:p>
      <w:pPr>
        <w:ind w:left="2040" w:right="280" w:hanging="505"/>
        <w:spacing w:after="0" w:line="266" w:lineRule="auto"/>
        <w:tabs>
          <w:tab w:leader="none" w:pos="2040"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patients with non-squamous NSCLC and progressive disease despite ICI (Cohort 2, per protocol population, n=33), observed mOS was 25.4 months after CAN-2409 treatment.</w:t>
      </w:r>
    </w:p>
    <w:p>
      <w:pPr>
        <w:spacing w:after="0" w:line="51"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CAN-2409 continued to exhibit a generally favorable safety and tolerability profile during the extended follow-up period.</w:t>
      </w:r>
    </w:p>
    <w:p>
      <w:pPr>
        <w:spacing w:after="0" w:line="114" w:lineRule="exact"/>
        <w:rPr>
          <w:rFonts w:ascii="Times New Roman" w:cs="Times New Roman" w:eastAsia="Times New Roman" w:hAnsi="Times New Roman"/>
          <w:sz w:val="17"/>
          <w:szCs w:val="17"/>
          <w:color w:val="auto"/>
        </w:rPr>
      </w:pPr>
    </w:p>
    <w:p>
      <w:pPr>
        <w:ind w:left="2040" w:right="120" w:hanging="505"/>
        <w:spacing w:after="0" w:line="266" w:lineRule="auto"/>
        <w:tabs>
          <w:tab w:leader="none" w:pos="2040"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Based on these positive findings, the Company will advance the enabling work for a potentially registrational clinical trial of CAN-2409 in non-squamous NSCLC with progressive disease despite ICI.</w:t>
      </w:r>
    </w:p>
    <w:p>
      <w:pPr>
        <w:spacing w:after="0" w:line="53"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Pancreatic Cancer</w:t>
      </w:r>
    </w:p>
    <w:p>
      <w:pPr>
        <w:spacing w:after="0" w:line="112" w:lineRule="exact"/>
        <w:rPr>
          <w:rFonts w:ascii="Times New Roman" w:cs="Times New Roman" w:eastAsia="Times New Roman" w:hAnsi="Times New Roman"/>
          <w:sz w:val="17"/>
          <w:szCs w:val="17"/>
          <w:color w:val="auto"/>
        </w:rPr>
      </w:pPr>
    </w:p>
    <w:p>
      <w:pPr>
        <w:ind w:left="1540" w:right="180" w:hanging="514"/>
        <w:spacing w:after="0" w:line="239" w:lineRule="auto"/>
        <w:tabs>
          <w:tab w:leader="none" w:pos="1540"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We conducted a randomized controlled phase 2a clinical trial in the United States and Mexico evaluating the activity of CAN-2409 in borderline resectable pancreatic ductal adenocarcinoma (PDAC). In December 2023, we announced that the FDA granted Fast Track Designation for CAN-2409 plus valacyclovir for the treatment of patients with PDAC to improve overall survival. In April 2024, we announced updated positive overall survival data and also announced that the FDA has granted Orphan Drug Designation for CAN-2409 for the treatment of PDAC. In July 2025, we announced that the European Medicines Agency (EMA) has granted Orphan Designation for CAN-2409 for the treatment of pancreatic cancer.</w:t>
      </w:r>
    </w:p>
    <w:p>
      <w:pPr>
        <w:spacing w:after="0" w:line="73" w:lineRule="exact"/>
        <w:rPr>
          <w:rFonts w:ascii="Times New Roman" w:cs="Times New Roman" w:eastAsia="Times New Roman" w:hAnsi="Times New Roman"/>
          <w:sz w:val="17"/>
          <w:szCs w:val="17"/>
          <w:color w:val="auto"/>
        </w:rPr>
      </w:pPr>
    </w:p>
    <w:p>
      <w:pPr>
        <w:ind w:left="1540" w:hanging="514"/>
        <w:spacing w:after="0"/>
        <w:tabs>
          <w:tab w:leader="none" w:pos="1540"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In February 2025, we announced the final analysis of this phase 2a clinical trial of CAN-2409 in borderline resectable PDAC:</w:t>
      </w:r>
    </w:p>
    <w:p>
      <w:pPr>
        <w:spacing w:after="0" w:line="114" w:lineRule="exact"/>
        <w:rPr>
          <w:rFonts w:ascii="Times New Roman" w:cs="Times New Roman" w:eastAsia="Times New Roman" w:hAnsi="Times New Roman"/>
          <w:sz w:val="17"/>
          <w:szCs w:val="17"/>
          <w:color w:val="auto"/>
        </w:rPr>
      </w:pPr>
    </w:p>
    <w:p>
      <w:pPr>
        <w:ind w:left="2040" w:right="160" w:hanging="505"/>
        <w:spacing w:after="0" w:line="266" w:lineRule="auto"/>
        <w:tabs>
          <w:tab w:leader="none" w:pos="2040"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Estimated median overall survival after enrollment was 31.4 months in the CAN-2409 group versus only 12.5 months in the control group.</w:t>
      </w:r>
    </w:p>
    <w:p>
      <w:pPr>
        <w:spacing w:after="0" w:line="51"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Importantly, 3 out of 7 patients who received CAN-2409 were still alive at the time of data cut-off (February 20, 2025) with survival of 66.0, 63.6, and 35.8 months, respectively, after enrollment; survival from the time of diagnosis was 73.5, 68.8 and 41.3 months, respectively, for these patients. In contrast, only one out of 6 patients randomized to SoC chemotherapy arm remained alive at the data cutoff; histologic analysis at resection showed intraepithelial neoplasia associated with improved prognosis in this patient.</w:t>
      </w:r>
    </w:p>
    <w:p>
      <w:pPr>
        <w:spacing w:after="0" w:line="74"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Median post-progression survival was 21.2 months in CAN-2409 patients (vs. 6.4 months in the control arm).</w:t>
      </w:r>
    </w:p>
    <w:p>
      <w:pPr>
        <w:spacing w:after="0" w:line="114" w:lineRule="exact"/>
        <w:rPr>
          <w:rFonts w:ascii="Times New Roman" w:cs="Times New Roman" w:eastAsia="Times New Roman" w:hAnsi="Times New Roman"/>
          <w:sz w:val="17"/>
          <w:szCs w:val="17"/>
          <w:color w:val="auto"/>
        </w:rPr>
      </w:pPr>
    </w:p>
    <w:p>
      <w:pPr>
        <w:ind w:left="2040" w:right="280" w:hanging="505"/>
        <w:spacing w:after="0" w:line="266" w:lineRule="auto"/>
        <w:tabs>
          <w:tab w:leader="none" w:pos="2040" w:val="left"/>
        </w:tabs>
        <w:numPr>
          <w:ilvl w:val="2"/>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Based on these promising findings, the Company will advance the enabling work for a potentially registrational clinical trial of CAN-2409 in borderline resectable PDAC.</w:t>
      </w:r>
    </w:p>
    <w:p>
      <w:pPr>
        <w:spacing w:after="0" w:line="9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Our lead HSV-based product candidate, CAN-3110 (linoserpaturev), is currently being evaluated in an ongoing investigator-sponsored phase 1b clinical trial in our initial target indication of recurrent high-grade glioma (HGG). Patients recruited in this study have previously failed SoC treatment and have a poor prognosis (expected overall survival &lt; 6-9 months). In February 2024, we announced that the FDA granted Fast Track Designation for CAN-3110 for the treatment of patients with recurrent HGG to improve overall survival. In May 2024, we also announced that the FDA granted Orphan Drug Designation for CAN-3110 for the treatment of recurrent HGG.</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26" w:name="page27"/>
    <w:bookmarkEnd w:id="26"/>
    <w:p>
      <w:pPr>
        <w:ind w:right="200"/>
        <w:spacing w:after="0" w:line="235" w:lineRule="auto"/>
        <w:rPr>
          <w:sz w:val="20"/>
          <w:szCs w:val="20"/>
          <w:color w:val="auto"/>
        </w:rPr>
      </w:pPr>
      <w:r>
        <w:rPr>
          <w:rFonts w:ascii="Arial" w:cs="Arial" w:eastAsia="Arial" w:hAnsi="Arial"/>
          <w:sz w:val="17"/>
          <w:szCs w:val="17"/>
          <w:color w:val="auto"/>
        </w:rPr>
        <w:t xml:space="preserve">In October 2023, we published an article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that reported extended overall survival associated with immune activation in patients with recurrent HGG treated with CAN-3110. Notably, new data reported an increased survival in the 66% of patients with positivity for anti-HSV1 antibodies (mOS of 14.2 months). Immune status was positively associated with survival both in patients with pre-existing HSV1 antibodies (pre-treatment) and in 33% of patients who, while negative at baseline, developed anti-HSV1 antibodies after a single injection of CAN-3110. Clinical responses were observed in both injected and uninjected lesions in patients with multifocal disease. Significant tumor responses were observed in both arm A and arm B of this study, with continued reduction in tumor volume in a patient in arm B approximately one year after CAN-3110 treatment. Clinical response for this patient continues as of February 2025 without additional treatment. Analysis of post-treatment samples demonstrated evidence of persistent HSV antigen expression and replication in both injected and uninjected tumor tissue associated with CD8+ T cell infiltration. The extent of immune activation, measured by gene profiling and quantification of immune cells in post-treatment specimens, was associated with the presence of anti-HSV1 antibodies and survival. Survival was also associated with the diversity of the T cell repertoire in circulating T cells, suggesting that patients who were able to mount a diverse immune response against the virus and tumor antigens released during the oncolytic process after CAN-3110 administration, had improved survival.</w:t>
      </w:r>
    </w:p>
    <w:p>
      <w:pPr>
        <w:spacing w:after="0" w:line="7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are conducting an extension of the clinical trial (arm C), in which patients with recurrent HGG will receive a repeat dosing regimen of CAN-3110 (up to six injections over four months). Clinical data from arm C will help evaluate whether multiple injections could further improve survival. This clinical trial extension is supported by the Break Through Cancer foundation. In June 2024, a poster presentation at the ASCO Annual Meeting demonstrated that multiple intratumoral injections of CAN-3110 were feasible and well tolerated with no dose-limiting toxicities or severe adverse events observed in the first six patients treated in arm C. More than 300 core biopsies were obtained from these patients, across the planned dose ranging time points, which were processed for “-omic” analysis, including single-cell RNA sequencing and cell profiling. In October 2024, during the 16th Annual International Oncolytic Virotherapy Conference (IOVC), we announced initial clinical activity and biomarker data for arm C. The principal investigator of the study reported ongoing improved survival compared to historical controls in patients treated with multiple injections of CAN-3110, with 3 out of 6 patients with recurrent HGG (recurrent glioblastoma) still alive more than one year (12.2, 13.0, and 18.7 months, respectively) after initiation of experimental treatment with CAN-3110. The data also showed discrepancies between imaging and histologic findings. Post treatment longitudinal biopsies demonstrated near absence of tumor cells alongside dense lymphocyte infiltrates especially in patients with enhancement on post-treatment MRI scans, suggesting the presence of radiologic pseudo-progression after treatment with CAN-3110. This data cautions against the evaluation of progression by imaging, restating the importance of survival as the primary endpoint for viral immunotherapy trials. We expect to present additional clinical activity and biomarker data for the repeat dosing cohort in the fourth quarter of 2025.</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November 2024, during the SITC 2024 Annual Meeting, we presented data demonstrating the antitumor activity of CAN-3110 in preclinical models of melanoma, a tumor characterized by high Nestin expression, frequent loss-of-function in CDKN2A, and alterations in the Ras-Raf signaling pathway. This data supports the rationale to expand the evaluation of CAN-3110 into tumors beyond recurrent HGG, creating a potential pipeline in a product. As of August 2025, we have dosed nine patients with multiple injections of CAN-3110 (up to six injections over a period of four months).</w:t>
      </w:r>
    </w:p>
    <w:p>
      <w:pPr>
        <w:spacing w:after="0" w:line="6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are also designing additional novel viral immunotherapy candidates using our proprietary enLIGHTEN™ Discovery Platform, a systematic, iterative HSV-based discovery platform leveraging human biology and advanced analytics to create new viral immunotherapy candidates for solid tumors. In October 2022, we entered into a collaboration with the University of Pennsylvania (UPenn) Center for Cellular Immunotherapies to study the impact of novel viral immunotherapy candidates based on Candel's enLIGHTEN™ Discovery Platform to strengthen the activity of UPenn’s investigational CAR-T cell therapies in difficult to treat solid tumors.</w:t>
      </w:r>
    </w:p>
    <w:p>
      <w:pPr>
        <w:spacing w:after="0" w:line="7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November 2023, during the SITC 2023 Annual Meeting, we presented two posters describing the key elements of the platform and the development of the first experimental agent from the enLIGHTEN Discovery Platform. The first agent based on enLIGHTEN™, Alpha-201 Macro1, is an investigational viral immunotherapy designed to interfere with the CD47/SIRPα pathway and activate innate immune surveillance. Results demonstrated monotherapy activity of this agent following local administration in a preclinical model of lung and breast cancer. Additional preclinical data presented at SITC confirmed the capability of the enLIGHTEN™ Advanced Analytics suite to predict optimal gene payload combinations to arm viral vectors, enabling the design of potential combination therapeutics to overcome tumor resistance especially in cancers resistant to immune checkpoint inhibitor treatment.</w:t>
      </w:r>
    </w:p>
    <w:p>
      <w:pPr>
        <w:spacing w:after="0" w:line="74"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In April 2024, during the American Association for Cancer Research's 2024 Annual Meeting, we presented data on a second preclinical candidate from the enLIGHTEN™ Discovery Platform, a first-in-class multimodal immunotherapy for induction of tertiary lymphoid structures, being developed as a novel therapeutic strategy for solid tumors. Data presented included preclinical in vivo evidence of monotherapy activity of this preclinical candidate as well as activity when administered in combination with immune checkpoint inhibitors (improved survival as compared to PD-1 only treated mice).</w:t>
      </w:r>
    </w:p>
    <w:p>
      <w:pPr>
        <w:spacing w:after="0" w:line="88" w:lineRule="exact"/>
        <w:rPr>
          <w:sz w:val="20"/>
          <w:szCs w:val="20"/>
          <w:color w:val="auto"/>
        </w:rPr>
      </w:pPr>
    </w:p>
    <w:p>
      <w:pPr>
        <w:ind w:right="240"/>
        <w:spacing w:after="0" w:line="226" w:lineRule="auto"/>
        <w:rPr>
          <w:sz w:val="20"/>
          <w:szCs w:val="20"/>
          <w:color w:val="auto"/>
        </w:rPr>
      </w:pPr>
      <w:r>
        <w:rPr>
          <w:rFonts w:ascii="Arial" w:cs="Arial" w:eastAsia="Arial" w:hAnsi="Arial"/>
          <w:sz w:val="17"/>
          <w:szCs w:val="17"/>
          <w:color w:val="auto"/>
        </w:rPr>
        <w:t>In October 2024, during the 16th Annual IOVC, we presented data on a novel biological multimodal therapeutic from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the third preclinical candidate, encoding IL-12 and IL-15. Data included the ability of this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7" w:name="page28"/>
    <w:bookmarkEnd w:id="27"/>
    <w:p>
      <w:pPr>
        <w:ind w:right="80"/>
        <w:spacing w:after="0" w:line="267" w:lineRule="auto"/>
        <w:rPr>
          <w:sz w:val="20"/>
          <w:szCs w:val="20"/>
          <w:color w:val="auto"/>
        </w:rPr>
      </w:pPr>
      <w:r>
        <w:rPr>
          <w:rFonts w:ascii="Arial" w:cs="Arial" w:eastAsia="Arial" w:hAnsi="Arial"/>
          <w:sz w:val="17"/>
          <w:szCs w:val="17"/>
          <w:color w:val="auto"/>
        </w:rPr>
        <w:t>asset to induce expansion and activation of natural killer and CD8+ T cells, resulting in significant inhibition of tumor growth and tumor regression in two different tumor models.</w:t>
      </w:r>
    </w:p>
    <w:p>
      <w:pPr>
        <w:spacing w:after="0" w:line="51"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We currently own development and commercialization rights for all our programs in major markets, including the United States, Europe and Asia, allowing us to control development and seek approval in those areas as we prepare our commercialization efforts.</w:t>
      </w:r>
    </w:p>
    <w:p>
      <w:pPr>
        <w:spacing w:after="0" w:line="51"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in July 2021.</w:t>
      </w:r>
    </w:p>
    <w:p>
      <w:pPr>
        <w:spacing w:after="0" w:line="6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On August 5, 2022, we filed a shelf registration statement on Form S-3 (as amended,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and expired August 12, 2025. As of August 5, 2025, we have sold and issued 3,923,829 shares of common stock under the ATM Program, with total net proceeds of $20.9 million. Subsequent to June 30, 2025 and through August 5, 2025, we have not sold any additional shares of common stock under the ATM Program.</w:t>
      </w:r>
    </w:p>
    <w:p>
      <w:pPr>
        <w:spacing w:after="0" w:line="10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On December 16, 2024, we issued and sold 12,000,001 shares of common stock at a price to the public of $6.00 per share and pre-funded warrants to purchase up to an aggregate of 3,333,333 shares of common stock at a price to the public of $5.99 per pre-funded warrant to purchase one share of the common stock for aggregate gross proceeds of approximately $92.0 million (the 2024 Follow-On Offering). We received approximately $85.9 million in net proceeds from the 2024 Follow-On Offering after deducting underwriting discounts and commissions and offering expenses. During the six months ended June 30, 2025, 3,328,064 shares of common stock were issued upon the exercise of the pre-funded warrants. As of June 30, 2025, all pre-funded warrants were exercised.</w:t>
      </w:r>
    </w:p>
    <w:p>
      <w:pPr>
        <w:spacing w:after="0" w:line="7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On June 25, 2025, we issued and sold 3,221,395 shares of common stock at a price per share of $4.67 to purchasers including existing healthcare-focused institutional investors, executive officers, and directors of the Company in a registered direct offering for aggregate gross proceeds of approximately $15.0 million, before deducting offering expenses payable by us (the Registered Direct Offering). We received approximately $14.3 million in net proceeds from the Registered Direct Offering after deducting offering expenses.</w:t>
      </w:r>
    </w:p>
    <w:p>
      <w:pPr>
        <w:spacing w:after="0" w:line="6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Our cash and cash equivalents were $100.7 million as of June 30, 2025, which we believe will enable us to fund our operating expenses and capital expenditure requirements into the first quarter of 2027.</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00"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We are a party to a number of license and collaboration agreements under which we license patents, patent applications and other intellectual property to and from third parties.</w:t>
      </w:r>
    </w:p>
    <w:p>
      <w:pPr>
        <w:spacing w:after="0" w:line="95"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Periphagen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December 9, 2019, we entered into a series of agreements, including an exclusive license agreement, a novation agreement, an</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On June 7, 2023, we entered into an amendment to the exclusive license agreement. Under the amendment, our rights to the NT-3 Assets and Gene Transfer Neuro-Assets reverted to Periphagen, and we no longer have any obligations (including without limitation diligence obligations and payment obligations) with respect to the NT-3 Assets or Gene Transfer Neuro-Assets. With respect to the remaining Licensed IP Rights, we retained a worldwide exclusive license with the right to grant sublicenses through multiple tiers under the Licensed IP Rights to conduct research and to develop, make, have made, use, have used, offer for sale, have sold, export and import products incorporating the Licensed IP Rights in field of the treatment, diagnosis, and prevention of oncologic diseases and conditions.</w:t>
      </w:r>
    </w:p>
    <w:p>
      <w:pPr>
        <w:spacing w:after="0" w:line="118" w:lineRule="exact"/>
        <w:rPr>
          <w:sz w:val="20"/>
          <w:szCs w:val="20"/>
          <w:color w:val="auto"/>
        </w:rPr>
      </w:pPr>
    </w:p>
    <w:p>
      <w:pPr>
        <w:ind w:right="440"/>
        <w:spacing w:after="0" w:line="242" w:lineRule="auto"/>
        <w:rPr>
          <w:sz w:val="20"/>
          <w:szCs w:val="20"/>
          <w:color w:val="auto"/>
        </w:rPr>
      </w:pPr>
      <w:r>
        <w:rPr>
          <w:rFonts w:ascii="Arial" w:cs="Arial" w:eastAsia="Arial" w:hAnsi="Arial"/>
          <w:sz w:val="18"/>
          <w:szCs w:val="18"/>
          <w:b w:val="1"/>
          <w:bCs w:val="1"/>
          <w:i w:val="1"/>
          <w:iCs w:val="1"/>
          <w:color w:val="auto"/>
        </w:rPr>
        <w:t>Mass General Brigham (MGB)</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January 20, 2018, we entered into an exclusive option agreement (the Option Agreement) with MGB.</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Pursuant to the Option Agreement, we obtained the exclusive right from MGB to negotiate a world-wide, royalty-bearing license to develop and commercialize products covered by certain MGB patents, including those patents covering</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28" w:name="page29"/>
    <w:bookmarkEnd w:id="28"/>
    <w:p>
      <w:pPr>
        <w:ind w:right="60"/>
        <w:spacing w:after="0" w:line="249" w:lineRule="auto"/>
        <w:rPr>
          <w:sz w:val="20"/>
          <w:szCs w:val="20"/>
          <w:color w:val="auto"/>
        </w:rPr>
      </w:pPr>
      <w:r>
        <w:rPr>
          <w:rFonts w:ascii="Arial" w:cs="Arial" w:eastAsia="Arial" w:hAnsi="Arial"/>
          <w:sz w:val="17"/>
          <w:szCs w:val="17"/>
          <w:color w:val="auto"/>
        </w:rPr>
        <w:t>CAN-3110,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p>
    <w:p>
      <w:pPr>
        <w:spacing w:after="0" w:line="67"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financial support for the performance of a specified phase 1 clinical trial by MGB pursuant to a protocol summary contained in the Option Agreement.</w:t>
      </w:r>
    </w:p>
    <w:p>
      <w:pPr>
        <w:spacing w:after="0" w:line="6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and also agreed to reimburse MGB for all reasonable fees and expenses MGB had incurred and will incur for the preparation, filing, prosecution and maintenance of the licensed patent rights.</w:t>
      </w:r>
    </w:p>
    <w:p>
      <w:pPr>
        <w:spacing w:after="0" w:line="106"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Ventagen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March 1, 2014, we entered into an exclusive license agreement (the Ventagen Agreement) with Ventagen, a related party. The</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Ventagen Agreement provides Ventagen an exclusive license, with rights to grant sublicense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 Mexico, Belize, Guatemala, Honduras, El Salvador, Costa Rica, Nicaragua, Panama, Colombia and Bolivia. Ventagen is 49.5% owned by certain of our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8" w:lineRule="exact"/>
        <w:rPr>
          <w:sz w:val="20"/>
          <w:szCs w:val="20"/>
          <w:color w:val="auto"/>
        </w:rPr>
      </w:pPr>
    </w:p>
    <w:p>
      <w:pPr>
        <w:ind w:right="860"/>
        <w:spacing w:after="0" w:line="267"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sales of products in the foreseeable future.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consist primarily of costs incurred for our product development activities for our two primary drug candidates,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CAN-2409 and CAN-3110. We expense research and development costs as incurred. These include the following:</w:t>
      </w:r>
    </w:p>
    <w:p>
      <w:pPr>
        <w:spacing w:after="0" w:line="86" w:lineRule="exact"/>
        <w:rPr>
          <w:sz w:val="20"/>
          <w:szCs w:val="20"/>
          <w:color w:val="auto"/>
        </w:rPr>
      </w:pPr>
    </w:p>
    <w:p>
      <w:pPr>
        <w:ind w:left="1020" w:right="480" w:hanging="503"/>
        <w:spacing w:after="0" w:line="266" w:lineRule="auto"/>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employee-related costs, including salaries, benefits and stock-based compensation expense, for personnel engaged in research, development and clinical management functions;</w:t>
      </w:r>
    </w:p>
    <w:p>
      <w:pPr>
        <w:spacing w:after="0" w:line="51"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expenses incurred under agreements with third party clinical sites for the treatment and follow-up for patients enrolled in our clinical trials;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acquiring and manufacturing preclinical study materials, including manufacturing registration and validation batches;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payments made under third-party licensing agreements;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costs incurred to develop the manufacturing process and capabilities for future clinical trials and commercialization. Our clinical trial material for use in our existing clinical trials was manufactured in prior years;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compliance with quality and regulatory requirements;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costs of outside consultants, primarily related to regulatory; and</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facility-related expenses, which include direct depreciation costs and expenses for rent and maintenance of facilities and insurance, and other operating costs if specifically identifiable to research and development activities.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29" w:name="page30"/>
    <w:bookmarkEnd w:id="29"/>
    <w:p>
      <w:pPr>
        <w:ind w:right="140"/>
        <w:spacing w:after="0" w:line="241" w:lineRule="auto"/>
        <w:rPr>
          <w:sz w:val="20"/>
          <w:szCs w:val="20"/>
          <w:color w:val="auto"/>
        </w:rPr>
      </w:pPr>
      <w:r>
        <w:rPr>
          <w:rFonts w:ascii="Arial" w:cs="Arial" w:eastAsia="Arial" w:hAnsi="Arial"/>
          <w:sz w:val="17"/>
          <w:szCs w:val="17"/>
          <w:color w:val="auto"/>
        </w:rPr>
        <w:t>We expect that our research and development expenses will continue to increase substantially for the foreseeable future and will comprise a larger percentage of our total expenses as we complete our clinical trials and commence additional clinical trials, continue to discover and develop additional product candidates and develop and scale our manufacturing capabilities. Product candidates in later stages of clinical development generally have higher development costs than those in earlier stages of clinical development, primarily due to increased scale and duration of later stage clinical trials.</w:t>
      </w:r>
    </w:p>
    <w:p>
      <w:pPr>
        <w:spacing w:after="0" w:line="72"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We cannot determine with certainty the duration and costs of future clinical trials of CAN-2409 and CAN-3110 or any other product candidate we may develop or if, when, or to what extent we will generate revenue from the commercialization and sale of any product candidate for which we obtain marketing approval. At this time, we cannot accurately estimate or know the nature, timing and costs of the efforts that will be necessary to complete the clinical development of, or obtain regulatory approval for, any of our current or future product candidates. The duration, costs, and timing of clinical trials and development of CAN-2409 and CAN-3110 and any other product candidate we may develop will depend on a variety of factors, including:</w:t>
      </w:r>
    </w:p>
    <w:p>
      <w:pPr>
        <w:spacing w:after="0" w:line="7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rate of progress, expense and results of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our successful enrollment in and completion of clinical trials, including our ability to generate positive data from any such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add and retain key research and development personnel;</w:t>
      </w:r>
    </w:p>
    <w:p>
      <w:pPr>
        <w:spacing w:after="0" w:line="114" w:lineRule="exact"/>
        <w:rPr>
          <w:rFonts w:ascii="Times New Roman" w:cs="Times New Roman" w:eastAsia="Times New Roman" w:hAnsi="Times New Roman"/>
          <w:sz w:val="17"/>
          <w:szCs w:val="17"/>
          <w:color w:val="auto"/>
        </w:rPr>
      </w:pPr>
    </w:p>
    <w:p>
      <w:pPr>
        <w:ind w:left="1020" w:right="70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actual probability of success for our product candidates, including their safety and efficacy, early clinical data, competition, manufacturing capability, and commercial viability;</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and changing government regulation and regulatory guidance;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receipt of any marketing approvals;</w:t>
      </w:r>
    </w:p>
    <w:p>
      <w:pPr>
        <w:spacing w:after="0" w:line="114" w:lineRule="exact"/>
        <w:rPr>
          <w:rFonts w:ascii="Times New Roman" w:cs="Times New Roman" w:eastAsia="Times New Roman" w:hAnsi="Times New Roman"/>
          <w:sz w:val="17"/>
          <w:szCs w:val="17"/>
          <w:color w:val="auto"/>
        </w:rPr>
      </w:pPr>
    </w:p>
    <w:p>
      <w:pPr>
        <w:ind w:left="1020" w:right="8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of the development efforts of parties with whom we may enter into collaboration agreements, and the terms and timing of any additional collaboration agreements, license or other arrangement, including the timing of any payments thereunder;</w:t>
      </w:r>
    </w:p>
    <w:p>
      <w:pPr>
        <w:spacing w:after="0" w:line="51" w:lineRule="exact"/>
        <w:rPr>
          <w:rFonts w:ascii="Times New Roman" w:cs="Times New Roman" w:eastAsia="Times New Roman" w:hAnsi="Times New Roman"/>
          <w:sz w:val="17"/>
          <w:szCs w:val="17"/>
          <w:color w:val="auto"/>
        </w:rPr>
      </w:pPr>
    </w:p>
    <w:p>
      <w:pPr>
        <w:ind w:left="1020" w:right="8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enter into agreements with contract development and manufacturing organizations (CDMOs) for the development, clinical manufacture and commercial manufacture of our product candidates CAN-2409 and CAN-3110;</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manufacturing of our product candidates or to account for any future changes in our manufacturing plans;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commercialize our product candidates, if and when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raising additional funds necessary to complete clinical development of our product candidates;</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third-party insurance coverage and adequate reimbursement for our product candidates, if and when approved;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acceptance of our product candidates, if approved, by patients, the medical community and third-party payors;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effectively competing with other products if our product candidates are approved;</w:t>
      </w:r>
    </w:p>
    <w:p>
      <w:pPr>
        <w:spacing w:after="0" w:line="114"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business interruptions to our operations, including the timing and enrollment of patients in our planned clinical trials, or to those of our manufacturers, suppliers, or other vendors, resulting from any future public health crisis, ongoing geopolitical conflicts and related global economic sanctions, or tariffs or other trade restrictions;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maintain a continued acceptable safety profile for our therapies following approval;</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patents, trade secret and other intellectual property protection and regulatory exclusivity for our product candidates, both in the United States and internationally;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expense of filing, prosecuting, defending and enforcing any patent claims and other intellectual property rights.</w:t>
      </w:r>
    </w:p>
    <w:p>
      <w:pPr>
        <w:spacing w:after="0" w:line="114"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significantly change the costs and timing associated with the development of that product candidate. We may never succeed in obtaining regulatory approval for any of our product candidates.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8"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30" w:name="page31"/>
    <w:bookmarkEnd w:id="30"/>
    <w:p>
      <w:pPr>
        <w:jc w:val="both"/>
        <w:ind w:right="120"/>
        <w:spacing w:after="0" w:line="249" w:lineRule="auto"/>
        <w:rPr>
          <w:sz w:val="20"/>
          <w:szCs w:val="20"/>
          <w:color w:val="auto"/>
        </w:rPr>
      </w:pPr>
      <w:r>
        <w:rPr>
          <w:rFonts w:ascii="Arial" w:cs="Arial" w:eastAsia="Arial" w:hAnsi="Arial"/>
          <w:sz w:val="17"/>
          <w:szCs w:val="17"/>
          <w:color w:val="auto"/>
        </w:rPr>
        <w:t>auditing, tax and consulting services; commercial readiness costs; insurance costs including directors and officers insurance; travel expenses; and facility-related expenses, which include direct depreciation costs and expenses for rent and maintenance of facilities, and other operating costs that are not specifically attributable to research and development activities.</w:t>
      </w:r>
    </w:p>
    <w:p>
      <w:pPr>
        <w:spacing w:after="0" w:line="67"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personnel headcount to support our continued clinical development and manufacturing activities and to meet the requirements of a public company. We expect to incur increased expenses associated with being a public company, including costs of accounting, audit, legal, regulatory, and tax-related services associated with maintaining compliance with exchange listing and Securities and Exchange Commission (SEC) requirements; director and officer insurance costs; and investor and public relations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primarily consists of amounts earned on investment of cash equivalents.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primarily consists of interest expense on our debt under our Loan Agreement with SVB.</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9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connection with the November 13, 2018 issuance of Series B preferred stock we issued warrants to the purchasers of the Series B preferred stock, to purchase up to 7,344,968 shares of our common stock with an exercise price of $6.81 per share. We also issued a warrant to the NC Incorporated Ohio Trust, an irrevocable trust funded by us, to purchase 162,740 shares of our common stock, $0.01 par value, at an exercise price of $1.46 per share, subject to adjustments as specified in the warrant agreement (the NC Ohio Warrants). Certain of those warrants are recorded as a liability on our balance sheet. The warrants recorded as a liability are remeasured to their fair value at each reporting date with changes in the fair value recognized as a component of other income (expense), net in the condensed consolidated statements of operations and comprehensive income (loss). We will continue to recognize changes in the fair value of the warrants until they are exercised, expire or qualify for equity classification. The fair value of the warrants is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and the remaining contractual term of the warrants.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8"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Since our inception, we have generated cumulative federal and state net operating loss and research and development credit carryforwards for which we have not recorded any net tax benefit due to uncertainty around utilizing these tax attributes within their respective carryforward periods.</w:t>
      </w:r>
    </w:p>
    <w:p>
      <w:pPr>
        <w:spacing w:after="0" w:line="5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As of December 31, 2024, we had federal net operating loss carryforwards (NOLs) of approximately $111.6 million and state NOLs of approximately $101.9 million which may be available to offset future taxable income. Our federal NOLs include $8.8 million available to reduce future taxable income through 2037 and approximately $102.8 million of NOLs that do not expire and are available to reduce future taxable income indefinitely. The state NOLs are available to offset future taxable income through 2033. As of December 31, 2024, we also had federal and state research and development tax credit carryforwards of $5.0 million and $2.4 million, respectively, which are available to offset federal and state tax liabilities through 2043 and 2038, respectively.</w:t>
      </w:r>
    </w:p>
    <w:p>
      <w:pPr>
        <w:spacing w:after="0" w:line="74"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Realization of future tax benefits is dependent on many factors, including our ability to generate taxable income within the NOL period. Our management has evaluated the positive and negative evidence bearing upon the realizability of our deferred tax assets, which are comprised principally of net operating loss carryforwards and certain tax credits. Management has considered our history of cumulative net losses incurred since inception, as well as our lack of product revenue since inception, and has determined that it is more likely than not that we will not realize the benefits of its deferred tax assets. As a result, a full valuation allowance has been established at June 30, 2025 and December 31, 2024.</w:t>
      </w:r>
    </w:p>
    <w:p>
      <w:pPr>
        <w:spacing w:after="0" w:line="7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NOL and tax credit carryforwards may become subject to an annual limitation in the event of certain cumulative changes in the ownership interest of significant stockholders over a three-year period in excess of 50%, as provided under Sections 382 and 383 of the Internal Revenue Code of 1986, as amended (the Code), as well as under similar state provisions. These ownership changes may limit the amount of NOLs that can be utilized annually to offset future taxable income. In general, an ownership change, as defined under Section 382 of the Code (Section 382), results from transactions increasing the ownership of certain stockholders or public groups in the stock of a corporation by more than 50% over a three-year period. We have completed several financings and not yet determined if such a limitation would be placed against our NOL. We will make such a determination prior to the utilization of any NOL.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June 30, 2025 and 2024</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three months ended June 30, 2025 and 2024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6,991</w:t>
            </w:r>
          </w:p>
        </w:tc>
        <w:tc>
          <w:tcPr>
            <w:tcW w:w="4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4,979</w:t>
            </w:r>
          </w:p>
        </w:tc>
        <w:tc>
          <w:tcPr>
            <w:tcW w:w="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4,186</w:t>
            </w: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3,592</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196"/>
        </w:trPr>
        <w:tc>
          <w:tcPr>
            <w:tcW w:w="664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11,177</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8,571</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(11,177)</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(8,571)</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7"/>
                <w:szCs w:val="17"/>
                <w:color w:val="auto"/>
              </w:rPr>
            </w:pPr>
          </w:p>
        </w:tc>
        <w:tc>
          <w:tcPr>
            <w:tcW w:w="11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926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5,691</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(13,339)</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19,030</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(4,796)</w:t>
            </w:r>
          </w:p>
        </w:tc>
        <w:tc>
          <w:tcPr>
            <w:tcW w:w="48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(22,237)</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17,441</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-822325</wp:posOffset>
            </wp:positionV>
            <wp:extent cx="857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-822325</wp:posOffset>
            </wp:positionV>
            <wp:extent cx="85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three months ended June 30, 2025 and 2024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9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454"/>
              <w:spacing w:after="0"/>
              <w:rPr>
                <w:sz w:val="20"/>
                <w:szCs w:val="20"/>
                <w:color w:val="auto"/>
              </w:rPr>
            </w:pPr>
            <w:r>
              <w:rPr>
                <w:rFonts w:ascii="Arial" w:cs="Arial" w:eastAsia="Arial" w:hAnsi="Arial"/>
                <w:sz w:val="14"/>
                <w:szCs w:val="14"/>
                <w:b w:val="1"/>
                <w:bCs w:val="1"/>
                <w:color w:val="auto"/>
              </w:rPr>
              <w:t>INCREASE</w:t>
            </w:r>
          </w:p>
        </w:tc>
      </w:tr>
      <w:tr>
        <w:trPr>
          <w:trHeight w:val="155"/>
        </w:trPr>
        <w:tc>
          <w:tcPr>
            <w:tcW w:w="5780" w:type="dxa"/>
            <w:vAlign w:val="bottom"/>
          </w:tcPr>
          <w:p>
            <w:pPr>
              <w:spacing w:after="0"/>
              <w:rPr>
                <w:sz w:val="13"/>
                <w:szCs w:val="13"/>
                <w:color w:val="auto"/>
              </w:rPr>
            </w:pPr>
          </w:p>
        </w:tc>
        <w:tc>
          <w:tcPr>
            <w:tcW w:w="106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(DECREASE)</w:t>
            </w: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Clinical development</w:t>
            </w:r>
          </w:p>
        </w:tc>
        <w:tc>
          <w:tcPr>
            <w:tcW w:w="1060" w:type="dxa"/>
            <w:vAlign w:val="bottom"/>
            <w:shd w:val="clear" w:color="auto" w:fill="CFF0FC"/>
          </w:tcPr>
          <w:p>
            <w:pPr>
              <w:jc w:val="right"/>
              <w:ind w:right="879"/>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3,051</w:t>
            </w:r>
          </w:p>
        </w:tc>
        <w:tc>
          <w:tcPr>
            <w:tcW w:w="1200" w:type="dxa"/>
            <w:vAlign w:val="bottom"/>
            <w:gridSpan w:val="2"/>
            <w:shd w:val="clear" w:color="auto" w:fill="CFF0FC"/>
          </w:tcPr>
          <w:p>
            <w:pPr>
              <w:jc w:val="right"/>
              <w:ind w:right="868"/>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921</w:t>
            </w:r>
          </w:p>
        </w:tc>
        <w:tc>
          <w:tcPr>
            <w:tcW w:w="3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2,130</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Employee-related</w:t>
            </w:r>
          </w:p>
        </w:tc>
        <w:tc>
          <w:tcPr>
            <w:tcW w:w="1060" w:type="dxa"/>
            <w:vAlign w:val="bottom"/>
          </w:tcPr>
          <w:p>
            <w:pPr>
              <w:spacing w:after="0"/>
              <w:rPr>
                <w:sz w:val="17"/>
                <w:szCs w:val="17"/>
                <w:color w:val="auto"/>
              </w:rPr>
            </w:pPr>
          </w:p>
        </w:tc>
        <w:tc>
          <w:tcPr>
            <w:tcW w:w="6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2,957</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3,411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(454)</w:t>
            </w:r>
          </w:p>
        </w:tc>
      </w:tr>
      <w:tr>
        <w:trPr>
          <w:trHeight w:val="203"/>
        </w:trPr>
        <w:tc>
          <w:tcPr>
            <w:tcW w:w="5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impairment and loss on disposal of fixed assets</w:t>
            </w: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335</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247</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88</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Occupancy</w:t>
            </w:r>
          </w:p>
        </w:tc>
        <w:tc>
          <w:tcPr>
            <w:tcW w:w="1060" w:type="dxa"/>
            <w:vAlign w:val="bottom"/>
          </w:tcPr>
          <w:p>
            <w:pPr>
              <w:spacing w:after="0"/>
              <w:rPr>
                <w:sz w:val="17"/>
                <w:szCs w:val="17"/>
                <w:color w:val="auto"/>
              </w:rPr>
            </w:pPr>
          </w:p>
        </w:tc>
        <w:tc>
          <w:tcPr>
            <w:tcW w:w="6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155</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23</w:t>
            </w:r>
          </w:p>
        </w:tc>
      </w:tr>
      <w:tr>
        <w:trPr>
          <w:trHeight w:val="202"/>
        </w:trPr>
        <w:tc>
          <w:tcPr>
            <w:tcW w:w="5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Pre-clinical research</w:t>
            </w: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127</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149</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Recruiting</w:t>
            </w:r>
          </w:p>
        </w:tc>
        <w:tc>
          <w:tcPr>
            <w:tcW w:w="1060" w:type="dxa"/>
            <w:vAlign w:val="bottom"/>
          </w:tcPr>
          <w:p>
            <w:pPr>
              <w:spacing w:after="0"/>
              <w:rPr>
                <w:sz w:val="17"/>
                <w:szCs w:val="17"/>
                <w:color w:val="auto"/>
              </w:rPr>
            </w:pPr>
          </w:p>
        </w:tc>
        <w:tc>
          <w:tcPr>
            <w:tcW w:w="6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217</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217</w:t>
            </w:r>
          </w:p>
        </w:tc>
      </w:tr>
      <w:tr>
        <w:trPr>
          <w:trHeight w:val="203"/>
        </w:trPr>
        <w:tc>
          <w:tcPr>
            <w:tcW w:w="5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149</w:t>
            </w:r>
          </w:p>
        </w:tc>
        <w:tc>
          <w:tcPr>
            <w:tcW w:w="1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119</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30</w:t>
            </w:r>
          </w:p>
        </w:tc>
      </w:tr>
      <w:tr>
        <w:trPr>
          <w:trHeight w:val="196"/>
        </w:trPr>
        <w:tc>
          <w:tcPr>
            <w:tcW w:w="5780" w:type="dxa"/>
            <w:vAlign w:val="bottom"/>
          </w:tcPr>
          <w:p>
            <w:pPr>
              <w:spacing w:after="0"/>
              <w:rPr>
                <w:sz w:val="17"/>
                <w:szCs w:val="17"/>
                <w:color w:val="auto"/>
              </w:rPr>
            </w:pPr>
          </w:p>
        </w:tc>
        <w:tc>
          <w:tcPr>
            <w:tcW w:w="1060" w:type="dxa"/>
            <w:vAlign w:val="bottom"/>
          </w:tcPr>
          <w:p>
            <w:pPr>
              <w:jc w:val="right"/>
              <w:ind w:right="879"/>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6,991</w:t>
            </w:r>
          </w:p>
        </w:tc>
        <w:tc>
          <w:tcPr>
            <w:tcW w:w="1200" w:type="dxa"/>
            <w:vAlign w:val="bottom"/>
            <w:gridSpan w:val="2"/>
          </w:tcPr>
          <w:p>
            <w:pPr>
              <w:jc w:val="right"/>
              <w:ind w:right="868"/>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4,979</w:t>
            </w:r>
          </w:p>
        </w:tc>
        <w:tc>
          <w:tcPr>
            <w:tcW w:w="3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line="196" w:lineRule="exact"/>
              <w:rPr>
                <w:sz w:val="20"/>
                <w:szCs w:val="20"/>
                <w:color w:val="auto"/>
              </w:rPr>
            </w:pPr>
            <w:r>
              <w:rPr>
                <w:rFonts w:ascii="Arial" w:cs="Arial" w:eastAsia="Arial" w:hAnsi="Arial"/>
                <w:sz w:val="18"/>
                <w:szCs w:val="18"/>
                <w:color w:val="auto"/>
              </w:rPr>
              <w:t>2,012</w:t>
            </w:r>
          </w:p>
        </w:tc>
      </w:tr>
      <w:tr>
        <w:trPr>
          <w:trHeight w:val="20"/>
        </w:trPr>
        <w:tc>
          <w:tcPr>
            <w:tcW w:w="57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-162560</wp:posOffset>
            </wp:positionV>
            <wp:extent cx="1028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-162560</wp:posOffset>
            </wp:positionV>
            <wp:extent cx="1028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6"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Research and development expenses increased $2.0 million from $5.0 million for the three months ended June 30, 2024 to $7.0 million for the three months ended June 30, 2025. The increase was primarily attributable to a $2.1 million increase in clinical development costs driven by increased manufacturing costs for CAN-2409 programs, partially offset by a $0.5 million decrease in employee-related expenses mainly driven by a decrease in stock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three months ended June 30, 2025 and 2024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1"/>
        </w:trPr>
        <w:tc>
          <w:tcPr>
            <w:tcW w:w="50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right"/>
              <w:ind w:right="574"/>
              <w:spacing w:after="0"/>
              <w:rPr>
                <w:sz w:val="20"/>
                <w:szCs w:val="20"/>
                <w:color w:val="auto"/>
              </w:rPr>
            </w:pPr>
            <w:r>
              <w:rPr>
                <w:rFonts w:ascii="Arial" w:cs="Arial" w:eastAsia="Arial" w:hAnsi="Arial"/>
                <w:sz w:val="14"/>
                <w:szCs w:val="14"/>
                <w:b w:val="1"/>
                <w:bCs w:val="1"/>
                <w:color w:val="auto"/>
              </w:rPr>
              <w:t>INCREASE</w:t>
            </w:r>
          </w:p>
        </w:tc>
      </w:tr>
      <w:tr>
        <w:trPr>
          <w:trHeight w:val="155"/>
        </w:trPr>
        <w:tc>
          <w:tcPr>
            <w:tcW w:w="508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72"/>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(DECREASE)</w:t>
            </w: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Professional and consulting fees</w:t>
            </w:r>
          </w:p>
        </w:tc>
        <w:tc>
          <w:tcPr>
            <w:tcW w:w="1080" w:type="dxa"/>
            <w:vAlign w:val="bottom"/>
            <w:shd w:val="clear" w:color="auto" w:fill="CFF0FC"/>
          </w:tcPr>
          <w:p>
            <w:pPr>
              <w:jc w:val="right"/>
              <w:ind w:right="89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1,436</w:t>
            </w:r>
          </w:p>
        </w:tc>
        <w:tc>
          <w:tcPr>
            <w:tcW w:w="900" w:type="dxa"/>
            <w:vAlign w:val="bottom"/>
            <w:gridSpan w:val="2"/>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1,208</w:t>
            </w:r>
          </w:p>
        </w:tc>
        <w:tc>
          <w:tcPr>
            <w:tcW w:w="4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228</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Employee-related</w:t>
            </w:r>
          </w:p>
        </w:tc>
        <w:tc>
          <w:tcPr>
            <w:tcW w:w="1080" w:type="dxa"/>
            <w:vAlign w:val="bottom"/>
          </w:tcPr>
          <w:p>
            <w:pPr>
              <w:spacing w:after="0"/>
              <w:rPr>
                <w:sz w:val="17"/>
                <w:szCs w:val="17"/>
                <w:color w:val="auto"/>
              </w:rPr>
            </w:pP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1,945</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1,867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78</w:t>
            </w: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Commercial readiness</w:t>
            </w:r>
          </w:p>
        </w:tc>
        <w:tc>
          <w:tcPr>
            <w:tcW w:w="10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343</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343</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Insurance</w:t>
            </w:r>
          </w:p>
        </w:tc>
        <w:tc>
          <w:tcPr>
            <w:tcW w:w="1080" w:type="dxa"/>
            <w:vAlign w:val="bottom"/>
          </w:tcPr>
          <w:p>
            <w:pPr>
              <w:spacing w:after="0"/>
              <w:rPr>
                <w:sz w:val="17"/>
                <w:szCs w:val="17"/>
                <w:color w:val="auto"/>
              </w:rPr>
            </w:pP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266</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Occupancy</w:t>
            </w:r>
          </w:p>
        </w:tc>
        <w:tc>
          <w:tcPr>
            <w:tcW w:w="10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152</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151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1</w:t>
            </w:r>
          </w:p>
        </w:tc>
      </w:tr>
      <w:tr>
        <w:trPr>
          <w:trHeight w:val="216"/>
        </w:trPr>
        <w:tc>
          <w:tcPr>
            <w:tcW w:w="50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89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4,186</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3,592</w:t>
            </w:r>
          </w:p>
        </w:tc>
        <w:tc>
          <w:tcPr>
            <w:tcW w:w="4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594</w:t>
            </w: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-24765</wp:posOffset>
            </wp:positionV>
            <wp:extent cx="1200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1200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1200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1200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6"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General and administrative expenses increased $0.6 million from $3.6 million for the three months ended June 30, 2024 to $4.2 million for the three months ended June 30, 2025. The increase was primarily attributable to a $0.3 million increase in commercial readiness costs and a $0.2 million increase in professional and consulting fees.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i w:val="1"/>
          <w:iCs w:val="1"/>
          <w:color w:val="auto"/>
        </w:rPr>
        <w:t>Interest Income</w:t>
      </w:r>
    </w:p>
    <w:p>
      <w:pPr>
        <w:spacing w:after="0" w:line="100"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Interest income was $0.9 million and $0.2 million for the three months ended June 30, 2025 and 2024, respectively, and primarily represents earnings on our cash equivalents. The increase in interest income is the result of interest being generated on a greater cash equivalents balance for the three months ended June 30, 2025 compared to the three months ended June 30, 2024.</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0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Interest expense was $0.2 million and $0.6 million for the three months ended June 30, 2025 and 2024, respectively, and represents interest expense on our outstanding debt obligations. The decrease in interest expense is the result of a lower outstanding balance on the term loan payable to Silicon Valley Bank (SVB) for the three months ended June 30, 2025 compared to the three months ended June 30, 2024.</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of Warrant Liability</w:t>
      </w:r>
    </w:p>
    <w:p>
      <w:pPr>
        <w:spacing w:after="0" w:line="10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change in fair value of our warrant liability was a decrease of $5.7 million for the three months ended June 30, 2025, compared to an increase of $13.3 million for the three months ended June 30, 2024. The change in fair value of the warrant liability is primarily driven by the remaining contractual term, lower volatility and changes in the underlying value of our stock price.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2025 and 2024</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six months ended June 30, 2025 and 2024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11,007</w:t>
            </w:r>
          </w:p>
        </w:tc>
        <w:tc>
          <w:tcPr>
            <w:tcW w:w="24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9,081</w:t>
            </w:r>
          </w:p>
        </w:tc>
        <w:tc>
          <w:tcPr>
            <w:tcW w:w="2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8,300</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7,392</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908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19,307</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16,473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(19,307)</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(16,473)</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02"/>
        </w:trPr>
        <w:tc>
          <w:tcPr>
            <w:tcW w:w="66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1,860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560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(542)</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(1,213)</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20,572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(13,332)</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33,904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(loss)</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2,583</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(30,458)</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33,041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-822325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-822325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-822325</wp:posOffset>
            </wp:positionV>
            <wp:extent cx="77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six months ended June 30, 2025 and 2024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INCREASE</w:t>
            </w:r>
          </w:p>
        </w:tc>
      </w:tr>
      <w:tr>
        <w:trPr>
          <w:trHeight w:val="155"/>
        </w:trPr>
        <w:tc>
          <w:tcPr>
            <w:tcW w:w="578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3"/>
                <w:szCs w:val="13"/>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Employee-related</w:t>
            </w:r>
          </w:p>
        </w:tc>
        <w:tc>
          <w:tcPr>
            <w:tcW w:w="1000" w:type="dxa"/>
            <w:vAlign w:val="bottom"/>
            <w:shd w:val="clear" w:color="auto" w:fill="CFF0FC"/>
          </w:tcPr>
          <w:p>
            <w:pPr>
              <w:jc w:val="right"/>
              <w:ind w:right="81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5,109</w:t>
            </w:r>
          </w:p>
        </w:tc>
        <w:tc>
          <w:tcPr>
            <w:tcW w:w="880" w:type="dxa"/>
            <w:vAlign w:val="bottom"/>
            <w:gridSpan w:val="2"/>
            <w:shd w:val="clear" w:color="auto" w:fill="CFF0FC"/>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6,139</w:t>
            </w:r>
          </w:p>
        </w:tc>
        <w:tc>
          <w:tcPr>
            <w:tcW w:w="5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(1,030)</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Clinical development</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4,296</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1,747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2,549</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impairment, and loss on the sale of fixed assets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576</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Occupancy</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Pre-clinical research</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Recruiting</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100" w:type="dxa"/>
            <w:vAlign w:val="bottom"/>
          </w:tcPr>
          <w:p>
            <w:pPr>
              <w:spacing w:after="0"/>
              <w:rPr>
                <w:sz w:val="17"/>
                <w:szCs w:val="17"/>
                <w:color w:val="auto"/>
              </w:rPr>
            </w:pPr>
          </w:p>
        </w:tc>
      </w:tr>
      <w:tr>
        <w:trPr>
          <w:trHeight w:val="203"/>
        </w:trPr>
        <w:tc>
          <w:tcPr>
            <w:tcW w:w="5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273</w:t>
            </w:r>
          </w:p>
        </w:tc>
        <w:tc>
          <w:tcPr>
            <w:tcW w:w="2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238</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80" w:type="dxa"/>
            <w:vAlign w:val="bottom"/>
          </w:tcPr>
          <w:p>
            <w:pPr>
              <w:spacing w:after="0"/>
              <w:rPr>
                <w:sz w:val="17"/>
                <w:szCs w:val="17"/>
                <w:color w:val="auto"/>
              </w:rPr>
            </w:pPr>
          </w:p>
        </w:tc>
        <w:tc>
          <w:tcPr>
            <w:tcW w:w="1000" w:type="dxa"/>
            <w:vAlign w:val="bottom"/>
          </w:tcPr>
          <w:p>
            <w:pPr>
              <w:jc w:val="right"/>
              <w:ind w:right="81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11,007</w:t>
            </w:r>
          </w:p>
        </w:tc>
        <w:tc>
          <w:tcPr>
            <w:tcW w:w="88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9,081</w:t>
            </w:r>
          </w:p>
        </w:tc>
        <w:tc>
          <w:tcPr>
            <w:tcW w:w="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1,926</w:t>
            </w:r>
          </w:p>
        </w:tc>
        <w:tc>
          <w:tcPr>
            <w:tcW w:w="10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-162560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-162560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Research and development expenses increased $1.9 million from $9.1 million for the six months ended June 30, 2024 to $11.0 million for the six months ended June 30, 2025. The increase was primarily attributable to a $2.5 million increase in clinical development costs driven by increased manufacturing costs for CAN-2409 programs, partially offset by a $1.0 million decrease in employee-related expenses mainly driven by a decrease in stock compensation.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six months ended June 30, 2025 and 2024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242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INCREASE</w:t>
            </w:r>
          </w:p>
        </w:tc>
      </w:tr>
      <w:tr>
        <w:trPr>
          <w:trHeight w:val="155"/>
        </w:trPr>
        <w:tc>
          <w:tcPr>
            <w:tcW w:w="66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3"/>
                <w:szCs w:val="13"/>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Employee-related</w:t>
            </w:r>
          </w:p>
        </w:tc>
        <w:tc>
          <w:tcPr>
            <w:tcW w:w="840" w:type="dxa"/>
            <w:vAlign w:val="bottom"/>
            <w:shd w:val="clear" w:color="auto" w:fill="CFF0FC"/>
          </w:tcPr>
          <w:p>
            <w:pPr>
              <w:jc w:val="right"/>
              <w:ind w:right="639"/>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3,661</w:t>
            </w:r>
          </w:p>
        </w:tc>
        <w:tc>
          <w:tcPr>
            <w:tcW w:w="1080" w:type="dxa"/>
            <w:vAlign w:val="bottom"/>
            <w:gridSpan w:val="2"/>
            <w:shd w:val="clear" w:color="auto" w:fill="CFF0FC"/>
          </w:tcPr>
          <w:p>
            <w:pPr>
              <w:jc w:val="right"/>
              <w:ind w:right="668"/>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3,506</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Professional and consulting fees</w:t>
            </w:r>
          </w:p>
        </w:tc>
        <w:tc>
          <w:tcPr>
            <w:tcW w:w="8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3,238</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2,876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362</w:t>
            </w:r>
          </w:p>
        </w:tc>
        <w:tc>
          <w:tcPr>
            <w:tcW w:w="12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Insurance</w:t>
            </w: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531</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(110)</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Commercial readiness</w:t>
            </w:r>
          </w:p>
        </w:tc>
        <w:tc>
          <w:tcPr>
            <w:tcW w:w="8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12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Occupancy</w:t>
            </w: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297</w:t>
            </w:r>
          </w:p>
        </w:tc>
        <w:tc>
          <w:tcPr>
            <w:tcW w:w="2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r>
      <w:tr>
        <w:trPr>
          <w:trHeight w:val="216"/>
        </w:trPr>
        <w:tc>
          <w:tcPr>
            <w:tcW w:w="66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39"/>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8,300</w:t>
            </w:r>
          </w:p>
        </w:tc>
        <w:tc>
          <w:tcPr>
            <w:tcW w:w="1080" w:type="dxa"/>
            <w:vAlign w:val="bottom"/>
            <w:gridSpan w:val="2"/>
            <w:shd w:val="clear" w:color="auto" w:fill="CFF0FC"/>
          </w:tcPr>
          <w:p>
            <w:pPr>
              <w:jc w:val="right"/>
              <w:ind w:right="668"/>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7,392</w:t>
            </w:r>
          </w:p>
        </w:tc>
        <w:tc>
          <w:tcPr>
            <w:tcW w:w="4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908</w:t>
            </w:r>
          </w:p>
        </w:tc>
        <w:tc>
          <w:tcPr>
            <w:tcW w:w="120" w:type="dxa"/>
            <w:vAlign w:val="bottom"/>
            <w:shd w:val="clear" w:color="auto" w:fill="CFF0FC"/>
          </w:tcPr>
          <w:p>
            <w:pPr>
              <w:spacing w:after="0"/>
              <w:rPr>
                <w:sz w:val="18"/>
                <w:szCs w:val="18"/>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color w:val="auto"/>
        </w:rPr>
        <w:t>General and administrative expenses increased $0.9 million from $7.4 million for the six months ended June 30, 2024 to $8.3 million for the six months ended June 30, 2025. The increase was primarily attributable to a $0.5 million increase in commercial readiness costs and a $0.4 million increase in professional and consulting fees.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100"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Interest income was $1.9 million and $0.6 million for the six months ended June 30, 2025 and 2024, respectively, and primarily represents earnings on our cash equivalents. The increase in interest income is the result of interest being generated on a greater cash equivalents balance for the six months ended June 30, 2025 compared to the six months ended June 30, 2024.</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00" w:lineRule="exact"/>
        <w:rPr>
          <w:sz w:val="20"/>
          <w:szCs w:val="20"/>
          <w:color w:val="auto"/>
        </w:rPr>
      </w:pPr>
    </w:p>
    <w:p>
      <w:pPr>
        <w:jc w:val="both"/>
        <w:ind w:right="120"/>
        <w:spacing w:after="0" w:line="249" w:lineRule="auto"/>
        <w:rPr>
          <w:sz w:val="20"/>
          <w:szCs w:val="20"/>
          <w:color w:val="auto"/>
        </w:rPr>
      </w:pPr>
      <w:r>
        <w:rPr>
          <w:rFonts w:ascii="Arial" w:cs="Arial" w:eastAsia="Arial" w:hAnsi="Arial"/>
          <w:sz w:val="17"/>
          <w:szCs w:val="17"/>
          <w:color w:val="auto"/>
        </w:rPr>
        <w:t>Interest expense was $0.5 million and $1.2 million for the six months ended June 30, 2025 and 2024, respectively, and represents interest expense on our outstanding debt obligations. The decrease in interest expense is the result of a lower outstanding balance on the term loan payable to SVB for the six months ended June 30, 2025 compared to the six months ended June 30, 2024.</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of Warrant Liability</w:t>
      </w:r>
    </w:p>
    <w:p>
      <w:pPr>
        <w:spacing w:after="0" w:line="100" w:lineRule="exact"/>
        <w:rPr>
          <w:sz w:val="20"/>
          <w:szCs w:val="20"/>
          <w:color w:val="auto"/>
        </w:rPr>
      </w:pPr>
    </w:p>
    <w:p>
      <w:pPr>
        <w:jc w:val="both"/>
        <w:ind w:right="80"/>
        <w:spacing w:after="0" w:line="249" w:lineRule="auto"/>
        <w:rPr>
          <w:sz w:val="20"/>
          <w:szCs w:val="20"/>
          <w:color w:val="auto"/>
        </w:rPr>
      </w:pPr>
      <w:r>
        <w:rPr>
          <w:rFonts w:ascii="Arial" w:cs="Arial" w:eastAsia="Arial" w:hAnsi="Arial"/>
          <w:sz w:val="17"/>
          <w:szCs w:val="17"/>
          <w:color w:val="auto"/>
        </w:rPr>
        <w:t>The change in fair value of our warrant liability was a decrease of $20.6 million for the six months ended June 30, 2025, compared to an increase of $13.3 million for the six months ended June 30, 2024. The change in fair value of the warrant liability is primarily driven by the remaining contractual term, lower volatility and changes in the underlying value of our stock price.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for our product candidates, developing our manufacturing capabilities which may include the cost of establishing a relationship with contract manufacturers to support commercial launch of our product candidate CAN-2409 and costs associated with equipping our laboratory and manufacturing facility to support clinical trials and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 As of June 30, 2025, we had cash and cash equivalents of $100.7 million. Based on current plans and assumptions, we expect that our existing cash and cash equivalents will be sufficient to fund our current operating plan into the first quarter of 2027, including the expected completion of the final overall survival phase 2a data readouts in borderline resectable pancreatic ductal adenocarcinoma (PDAC), announced on February 25, 2025, and non-small cell lung cancer (NSCLC), announced on March 27, 2025, and the final overall survival readout for the ongoing phase 1b trial in recurrent high-grade glioma with CAN-3110 in the fourth quarter of 2025. We will require additional capital to further advance development of CAN-2409 in NSCLC and PDAC or of CAN-3110 beyond the current trials and to complete the clinical development of, or commercialize, any of our product candidates or programs.</w:t>
      </w:r>
    </w:p>
    <w:p>
      <w:pPr>
        <w:spacing w:after="0" w:line="74"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We do not currently have any approved products and have never generated any revenue from product sales. We have financed our operations primarily through proceeds from government grants and proceeds from the sale of convertible notes, common stock, and our convertible preferred stock. As of June 30, 2025, we have raised approximately $291.6 million of gross proceeds from such transactions, including $15.6 million of government grants, $66.1 million from the sale of convertible preferred stock, $207.6 million from the sale of our common stock and accompanying pre-funded warrants, and $2.3 million from stock option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4" w:name="page35"/>
    <w:bookmarkEnd w:id="34"/>
    <w:p>
      <w:pPr>
        <w:ind w:right="240"/>
        <w:spacing w:after="0" w:line="267" w:lineRule="auto"/>
        <w:rPr>
          <w:sz w:val="20"/>
          <w:szCs w:val="20"/>
          <w:color w:val="auto"/>
        </w:rPr>
      </w:pPr>
      <w:r>
        <w:rPr>
          <w:rFonts w:ascii="Arial" w:cs="Arial" w:eastAsia="Arial" w:hAnsi="Arial"/>
          <w:sz w:val="17"/>
          <w:szCs w:val="17"/>
          <w:color w:val="auto"/>
        </w:rPr>
        <w:t>exercises. Our cash and cash equivalents totaled $100.7 million as of June 30, 2025. We had $7.6 million of debt as of June 30, 2025. As of June 30, 2025, we have raised $20.9 million of net proceeds under our ATM Program (as defined below).</w:t>
      </w:r>
    </w:p>
    <w:p>
      <w:pPr>
        <w:spacing w:after="0" w:line="5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On February 24, 2022, we entered into a Loan Agreement with SVB pursuant to which SVB agreed to provide term loans to us in an aggregate principal amount of $20.0 million. We borrowed $20.0 million upon entering into the Loan Agreement. The term loans are secured by substantially all of our properties, rights and assets, except for our intellectual property, which is subject to a negative pledge under the Loan Agreement.</w:t>
      </w:r>
    </w:p>
    <w:p>
      <w:pPr>
        <w:spacing w:after="0" w:line="6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We are required to make monthly interest payments, and commencing on February 1, 2024, 24 consecutive installments of principal plus monthly payments of accrued interest. The term loans mature on January 1, 2026. Upon repayment in full of the term loans, we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prepayment. As of June 30, 2025, $6.7 million of indebtedness was outstanding under the Loan Agreement.</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On August 5, 2022, we filed a shelf registration statement on Form S-3 (as amended,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and expired on August 12, 2025. As of August 5, 2025, we have sold and issued 3,923,829 shares of common stock under the ATM Program, with total net proceeds of $20.9 million.</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connection with the 2024 Follow-On Offering, we issued and sold 12,000,001 shares of common stock at a price to the public of $6.00 per share and pre-funded warrants to purchase up to an aggregate of 3,333,333 shares of common stock at a price to the public of $5.99 per pre-funded warrant to purchase one share of the common stock for aggregate gross proceeds of approximately $92.0 million. We received approximately $85.9 million in net proceeds from the 2024 Follow-On Offering after deducting underwriting discounts and commissions and offering expenses. During the six months ended June 30, 2025, 3,328,064 shares of common stock were issued upon exercise of the pre-funded warrants. As of June 30, 2025, all pre-funded warrants were exercised.</w:t>
      </w:r>
    </w:p>
    <w:p>
      <w:pPr>
        <w:spacing w:after="0" w:line="115" w:lineRule="exact"/>
        <w:rPr>
          <w:sz w:val="20"/>
          <w:szCs w:val="20"/>
          <w:color w:val="auto"/>
        </w:rPr>
      </w:pPr>
    </w:p>
    <w:p>
      <w:pPr>
        <w:ind w:right="640"/>
        <w:spacing w:after="0" w:line="249" w:lineRule="auto"/>
        <w:rPr>
          <w:sz w:val="20"/>
          <w:szCs w:val="20"/>
          <w:color w:val="auto"/>
        </w:rPr>
      </w:pPr>
      <w:r>
        <w:rPr>
          <w:rFonts w:ascii="Arial" w:cs="Arial" w:eastAsia="Arial" w:hAnsi="Arial"/>
          <w:sz w:val="17"/>
          <w:szCs w:val="17"/>
          <w:color w:val="auto"/>
        </w:rPr>
        <w:t>In connection with the Registered Direct Offering, we issued and sold 3,221,395 shares of common stock at a price per share of $4.67 to the purchasers for aggregate gross proceeds of approximately $15.0 million, before deducting offering expenses payable by us. We received approximately $14.3 million in net proceeds from the Registered Direct Offering after deducting offering expenses.</w:t>
      </w:r>
    </w:p>
    <w:p>
      <w:pPr>
        <w:spacing w:after="0" w:line="6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of June 30, 2025, we had an accumulated deficit of $189.6 million and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and contract manufacturing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will require substantial additional financing to fund our operations and to continue to execute our strategy, and we will pursue a range of options to secure additional capital.</w:t>
      </w:r>
    </w:p>
    <w:p>
      <w:pPr>
        <w:spacing w:after="0" w:line="7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it would have a negative impact on our financial condition and we could be forced to delay, reduce or eliminate our research, clinical trials, product development or future commercialization efforts.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the periods presented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5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3540" w:type="dxa"/>
            <w:vAlign w:val="bottom"/>
            <w:gridSpan w:val="2"/>
            <w:shd w:val="clear" w:color="auto" w:fill="CFF0FC"/>
          </w:tcPr>
          <w:p>
            <w:pPr>
              <w:jc w:val="right"/>
              <w:ind w:right="788"/>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(17,507)</w:t>
            </w:r>
          </w:p>
        </w:tc>
        <w:tc>
          <w:tcPr>
            <w:tcW w:w="760" w:type="dxa"/>
            <w:vAlign w:val="bottom"/>
            <w:gridSpan w:val="2"/>
            <w:shd w:val="clear" w:color="auto" w:fill="CFF0FC"/>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(14,636)</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5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15,574</w:t>
            </w: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196"/>
        </w:trPr>
        <w:tc>
          <w:tcPr>
            <w:tcW w:w="5120" w:type="dxa"/>
            <w:vAlign w:val="bottom"/>
          </w:tcPr>
          <w:p>
            <w:pPr>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3540" w:type="dxa"/>
            <w:vAlign w:val="bottom"/>
            <w:gridSpan w:val="2"/>
          </w:tcPr>
          <w:p>
            <w:pPr>
              <w:jc w:val="right"/>
              <w:ind w:right="788"/>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(1,967)</w:t>
            </w:r>
          </w:p>
        </w:tc>
        <w:tc>
          <w:tcPr>
            <w:tcW w:w="76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(13,959)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580" w:type="dxa"/>
            <w:vAlign w:val="bottom"/>
            <w:vMerge w:val="restart"/>
          </w:tcPr>
          <w:p>
            <w:pPr>
              <w:jc w:val="right"/>
              <w:ind w:right="1890"/>
              <w:spacing w:after="0"/>
              <w:rPr>
                <w:sz w:val="20"/>
                <w:szCs w:val="20"/>
                <w:color w:val="auto"/>
              </w:rPr>
            </w:pPr>
            <w:r>
              <w:rPr>
                <w:rFonts w:ascii="Arial" w:cs="Arial" w:eastAsia="Arial" w:hAnsi="Arial"/>
                <w:sz w:val="18"/>
                <w:szCs w:val="18"/>
                <w:color w:val="auto"/>
              </w:rPr>
              <w:t>28</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51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51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-1208405</wp:posOffset>
            </wp:positionV>
            <wp:extent cx="1111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Cash Flows for the six months ended June 30, 2025 and 2024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Net cash used in operating activities for the six months ended June 30, 2025 was $17.5 million, consisting primarily of net income of $2.6 million and non-cash charges of $18.3 million, primarily related to the $20.6 million change in the fair value of our warrant liability and non-cash stock compensation. Net cash used in operating activities was also impacted by $1.8 million in changes in operating assets and liabilities, primarily driven by a decrease of $1.2 million in accrued expenses and an increase of $1.8 million, partially offset by an increase of $1.5 million in accounts payable.</w:t>
      </w:r>
    </w:p>
    <w:p>
      <w:pPr>
        <w:spacing w:after="0" w:line="6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Net cash used in operating activities for the six months ended June 30, 2024 was $14.6 million, primarily consisting of a net loss of $30.5 million as we incurred expenses associated with our clinical programs and incurred costs associated with operating as a public company. We had non-cash charges of $17.1 million primarily related to the $13.3 million change in the fair value of our warrant liability and non-cash stock compensation. Net cash used in operating activities was also impacted by $1.2 million in changes in operating assets and liabilities, primarily driven by a decrease of $1.1 million in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for the six months ended June 30, 2025 was $34,000 and consisted of the purchase of fixed assets.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for the six months ended June 30, 2024 was $13,000 and consisted of the purchase of fixed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8"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Net cash provided by financing activities for the six months ended June 30, 2025 was $15.6 million and consisted of $15.0 million of proceeds from the issuance of common stock in the Registered Direct Offering, before deducting expenses payable by us, $5.0 million of net proceeds from the issuance of common stock under our ATM Program, and $0.5 million of proceeds from option exercises, partially offset by $5.0 million of principal payments on our term loan with SVB.</w:t>
      </w:r>
    </w:p>
    <w:p>
      <w:pPr>
        <w:spacing w:after="0" w:line="6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Net cash provided by financing activities for the six months ended June 30, 2024 was $0.7 million and consisted $1.2 million of proceeds from option exercises and $3.6 million of net proceeds from the issuance of common stock under our ATM Program, partially offset by $4.2 million of principal payments on our term loan with SVB.</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98"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We expect our operating expenses to increase substantially in the future in connection with our ongoing activities, particularly as we advance CAN-2409 and CAN-3110 through research and development, clinical trials, and develop our manufacturing capabilities, as we research and develop additional product candidates including preclinical activities and as we prepare for potential marketing approval and potential commercialization. We also expect to incur additional costs associated with operating as a public company.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costs and expenses will increase as we:</w:t>
      </w:r>
    </w:p>
    <w:p>
      <w:pPr>
        <w:spacing w:after="0" w:line="10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advance the clinical development of CAN-2409 and CAN-3110;</w:t>
      </w:r>
    </w:p>
    <w:p>
      <w:pPr>
        <w:spacing w:after="0" w:line="114"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develop our manufacturing capabilities, including through relationships with contract manufacturers for potential commercial manufacturing of our product candidate CAN-2409 and the development, construction and qualification of our clinical manufacturing capabilities, internally or through CDMOs for our product candidate CAN-3110;</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pursue preparatory activities for potential launch and commercialization for CAN-2409 in localized prostate cancer;</w:t>
      </w:r>
    </w:p>
    <w:p>
      <w:pPr>
        <w:spacing w:after="0" w:line="114" w:lineRule="exact"/>
        <w:rPr>
          <w:rFonts w:ascii="Times New Roman" w:cs="Times New Roman" w:eastAsia="Times New Roman" w:hAnsi="Times New Roman"/>
          <w:sz w:val="17"/>
          <w:szCs w:val="17"/>
          <w:color w:val="auto"/>
        </w:rPr>
      </w:pPr>
    </w:p>
    <w:p>
      <w:pPr>
        <w:ind w:left="1020" w:right="420" w:hanging="503"/>
        <w:spacing w:after="0" w:line="266"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pursue the preclinical and clinical development of other product candidates using our enLIGHTEN™ Discovery Platform, an HSV-based platform; and</w:t>
      </w:r>
    </w:p>
    <w:p>
      <w:pPr>
        <w:spacing w:after="0" w:line="51"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expand our operational, financial, and management systems and increase personnel, including personnel to support our operations as a public company.</w:t>
      </w:r>
    </w:p>
    <w:p>
      <w:pPr>
        <w:spacing w:after="0" w:line="52" w:lineRule="exact"/>
        <w:rPr>
          <w:sz w:val="20"/>
          <w:szCs w:val="20"/>
          <w:color w:val="auto"/>
        </w:rPr>
      </w:pPr>
    </w:p>
    <w:p>
      <w:pPr>
        <w:jc w:val="both"/>
        <w:ind w:right="360"/>
        <w:spacing w:after="0" w:line="249" w:lineRule="auto"/>
        <w:rPr>
          <w:sz w:val="20"/>
          <w:szCs w:val="20"/>
          <w:color w:val="auto"/>
        </w:rPr>
      </w:pPr>
      <w:r>
        <w:rPr>
          <w:rFonts w:ascii="Arial" w:cs="Arial" w:eastAsia="Arial" w:hAnsi="Arial"/>
          <w:sz w:val="17"/>
          <w:szCs w:val="17"/>
          <w:color w:val="auto"/>
        </w:rPr>
        <w:t>We believe that our existing cash and cash equivalents as of June 30, 2025, will enable us to fund our operating expenses and capital expense requirements into the first quarter of 2027. We have based this estimate on assumptions that may prove to be incorrect, and we could utilize our available capital resources sooner than we currently expect.</w:t>
      </w:r>
    </w:p>
    <w:p>
      <w:pPr>
        <w:spacing w:after="0" w:line="67"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Because of the numerous risks and uncertainties associated with the research, development, and commercialization of therapeutics, it is difficult to estimate with certainty the amount of our working capital requirements. Our future funding requirements will depend on many factors, including:</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4" w:right="359" w:bottom="1440" w:gutter="0" w:footer="0" w:header="0"/>
        </w:sectPr>
      </w:pPr>
    </w:p>
    <w:bookmarkStart w:id="36" w:name="page37"/>
    <w:bookmarkEnd w:id="36"/>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clinical development and clinical trials for CAN-2409 and CAN-3110;</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additional research and preclinical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114" w:lineRule="exact"/>
        <w:rPr>
          <w:rFonts w:ascii="Times New Roman" w:cs="Times New Roman" w:eastAsia="Times New Roman" w:hAnsi="Times New Roman"/>
          <w:sz w:val="17"/>
          <w:szCs w:val="17"/>
          <w:color w:val="auto"/>
        </w:rPr>
      </w:pPr>
    </w:p>
    <w:p>
      <w:pPr>
        <w:ind w:left="1020" w:right="860" w:hanging="503"/>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timing and cost of meeting regulatory requirements established by the FDA and comparable foreign regulatory authorities, if applicable, for our product candidates;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internal and external process development for our manufacturing capabilities;</w:t>
      </w:r>
    </w:p>
    <w:p>
      <w:pPr>
        <w:spacing w:after="0" w:line="114" w:lineRule="exact"/>
        <w:rPr>
          <w:rFonts w:ascii="Times New Roman" w:cs="Times New Roman" w:eastAsia="Times New Roman" w:hAnsi="Times New Roman"/>
          <w:sz w:val="17"/>
          <w:szCs w:val="17"/>
          <w:color w:val="auto"/>
        </w:rPr>
      </w:pPr>
    </w:p>
    <w:p>
      <w:pPr>
        <w:ind w:left="1020" w:right="980" w:hanging="503"/>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any product candidates that we may derive from our HSV-based platform or with collaborators;</w:t>
      </w:r>
    </w:p>
    <w:p>
      <w:pPr>
        <w:spacing w:after="0" w:line="51"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obtaining, maintaining and enforcing our intellectual property rights and defending intellectual property-related claims; hire additional personnel in research, manufacturing, and regulatory and clinical development, as well as management personnel;</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additions or departures of key scientific or management personnel;</w:t>
      </w:r>
    </w:p>
    <w:p>
      <w:pPr>
        <w:spacing w:after="0" w:line="114" w:lineRule="exact"/>
        <w:rPr>
          <w:rFonts w:ascii="Times New Roman" w:cs="Times New Roman" w:eastAsia="Times New Roman" w:hAnsi="Times New Roman"/>
          <w:sz w:val="17"/>
          <w:szCs w:val="17"/>
          <w:color w:val="auto"/>
        </w:rPr>
      </w:pPr>
    </w:p>
    <w:p>
      <w:pPr>
        <w:ind w:left="1020" w:right="40" w:hanging="503"/>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51" w:lineRule="exact"/>
        <w:rPr>
          <w:rFonts w:ascii="Times New Roman" w:cs="Times New Roman" w:eastAsia="Times New Roman" w:hAnsi="Times New Roman"/>
          <w:sz w:val="17"/>
          <w:szCs w:val="17"/>
          <w:color w:val="auto"/>
        </w:rPr>
      </w:pPr>
    </w:p>
    <w:p>
      <w:pPr>
        <w:ind w:left="1020" w:right="40" w:hanging="503"/>
        <w:spacing w:after="0" w:line="266"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amount of revenue, if any, received from commercial sales of our product candidates, should any of our product candidates receive marketing approval;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operating as a public company.</w:t>
      </w:r>
    </w:p>
    <w:p>
      <w:pPr>
        <w:spacing w:after="0" w:line="11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Until such time as we can generate significant revenue from product sales, if ever, we expect to finance our cash needs through a combination of public or private equity or debt financings and other sources, which may include collaborations strategic alliances and licensing arrangements with third parties.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could adversely affect your rights as a common stockholder. Debt financing and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to those restrictive covenants contained in the Loan Agreement. If we raise additional funds through other sources, such as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primary contractual obligations are our facility lease, the Loan Agreement with SVB, and the Periphagen Note. The table below summarizes the contractual obligations that will become due as of June 30, 2025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6"/>
          </w:tcPr>
          <w:p>
            <w:pPr>
              <w:jc w:val="center"/>
              <w:ind w:left="736"/>
              <w:spacing w:after="0"/>
              <w:rPr>
                <w:sz w:val="20"/>
                <w:szCs w:val="20"/>
                <w:color w:val="auto"/>
              </w:rPr>
            </w:pPr>
            <w:r>
              <w:rPr>
                <w:rFonts w:ascii="Arial" w:cs="Arial" w:eastAsia="Arial" w:hAnsi="Arial"/>
                <w:sz w:val="14"/>
                <w:szCs w:val="14"/>
                <w:b w:val="1"/>
                <w:bCs w:val="1"/>
                <w:color w:val="auto"/>
              </w:rPr>
              <w:t>PAYMENTS DUE BY PERIOD</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38"/>
              <w:spacing w:after="0" w:line="147"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158"/>
              <w:spacing w:after="0"/>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496"/>
              <w:spacing w:after="0"/>
              <w:rPr>
                <w:sz w:val="20"/>
                <w:szCs w:val="20"/>
                <w:color w:val="auto"/>
              </w:rPr>
            </w:pPr>
            <w:r>
              <w:rPr>
                <w:rFonts w:ascii="Arial" w:cs="Arial" w:eastAsia="Arial" w:hAnsi="Arial"/>
                <w:sz w:val="14"/>
                <w:szCs w:val="14"/>
                <w:b w:val="1"/>
                <w:bCs w:val="1"/>
                <w:color w:val="auto"/>
              </w:rPr>
              <w:t>1 TO 3</w:t>
            </w:r>
          </w:p>
        </w:tc>
        <w:tc>
          <w:tcPr>
            <w:tcW w:w="0" w:type="dxa"/>
            <w:vAlign w:val="bottom"/>
          </w:tcPr>
          <w:p>
            <w:pPr>
              <w:spacing w:after="0"/>
              <w:rPr>
                <w:sz w:val="1"/>
                <w:szCs w:val="1"/>
                <w:color w:val="auto"/>
              </w:rPr>
            </w:pPr>
          </w:p>
        </w:tc>
      </w:tr>
      <w:tr>
        <w:trPr>
          <w:trHeight w:val="171"/>
        </w:trPr>
        <w:tc>
          <w:tcPr>
            <w:tcW w:w="6640" w:type="dxa"/>
            <w:vAlign w:val="bottom"/>
            <w:vMerge w:val="restart"/>
          </w:tcPr>
          <w:p>
            <w:pPr>
              <w:spacing w:after="0"/>
              <w:rPr>
                <w:sz w:val="20"/>
                <w:szCs w:val="20"/>
                <w:color w:val="auto"/>
              </w:rPr>
            </w:pPr>
            <w:r>
              <w:rPr>
                <w:rFonts w:ascii="Arial" w:cs="Arial" w:eastAsia="Arial" w:hAnsi="Arial"/>
                <w:sz w:val="18"/>
                <w:szCs w:val="18"/>
                <w:color w:val="auto"/>
              </w:rPr>
              <w:t xml:space="preserve">Operating lease obligation </w:t>
            </w:r>
            <w:r>
              <w:rPr>
                <w:rFonts w:ascii="Arial" w:cs="Arial" w:eastAsia="Arial" w:hAnsi="Arial"/>
                <w:sz w:val="24"/>
                <w:szCs w:val="24"/>
                <w:color w:val="auto"/>
                <w:vertAlign w:val="superscript"/>
              </w:rPr>
              <w:t>(1)</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63"/>
        </w:trPr>
        <w:tc>
          <w:tcPr>
            <w:tcW w:w="6640" w:type="dxa"/>
            <w:vAlign w:val="bottom"/>
            <w:vMerge w:val="continue"/>
          </w:tcPr>
          <w:p>
            <w:pPr>
              <w:spacing w:after="0"/>
              <w:rPr>
                <w:sz w:val="14"/>
                <w:szCs w:val="14"/>
                <w:color w:val="auto"/>
              </w:rPr>
            </w:pPr>
          </w:p>
        </w:tc>
        <w:tc>
          <w:tcPr>
            <w:tcW w:w="260" w:type="dxa"/>
            <w:vAlign w:val="bottom"/>
          </w:tcPr>
          <w:p>
            <w:pPr>
              <w:jc w:val="right"/>
              <w:ind w:right="50"/>
              <w:spacing w:after="0" w:line="163"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6"/>
              <w:spacing w:after="0" w:line="163" w:lineRule="exact"/>
              <w:rPr>
                <w:sz w:val="20"/>
                <w:szCs w:val="20"/>
                <w:color w:val="auto"/>
              </w:rPr>
            </w:pPr>
            <w:r>
              <w:rPr>
                <w:rFonts w:ascii="Arial" w:cs="Arial" w:eastAsia="Arial" w:hAnsi="Arial"/>
                <w:sz w:val="18"/>
                <w:szCs w:val="18"/>
                <w:color w:val="auto"/>
              </w:rPr>
              <w:t>724</w:t>
            </w:r>
          </w:p>
        </w:tc>
        <w:tc>
          <w:tcPr>
            <w:tcW w:w="140" w:type="dxa"/>
            <w:vAlign w:val="bottom"/>
          </w:tcPr>
          <w:p>
            <w:pPr>
              <w:spacing w:after="0"/>
              <w:rPr>
                <w:sz w:val="14"/>
                <w:szCs w:val="14"/>
                <w:color w:val="auto"/>
              </w:rPr>
            </w:pPr>
          </w:p>
        </w:tc>
        <w:tc>
          <w:tcPr>
            <w:tcW w:w="120" w:type="dxa"/>
            <w:vAlign w:val="bottom"/>
          </w:tcPr>
          <w:p>
            <w:pPr>
              <w:jc w:val="right"/>
              <w:spacing w:after="0" w:line="163"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8"/>
              <w:spacing w:after="0" w:line="163" w:lineRule="exact"/>
              <w:rPr>
                <w:sz w:val="20"/>
                <w:szCs w:val="20"/>
                <w:color w:val="auto"/>
              </w:rPr>
            </w:pPr>
            <w:r>
              <w:rPr>
                <w:rFonts w:ascii="Arial" w:cs="Arial" w:eastAsia="Arial" w:hAnsi="Arial"/>
                <w:sz w:val="18"/>
                <w:szCs w:val="18"/>
                <w:color w:val="auto"/>
              </w:rPr>
              <w:t>620</w:t>
            </w:r>
          </w:p>
        </w:tc>
        <w:tc>
          <w:tcPr>
            <w:tcW w:w="140" w:type="dxa"/>
            <w:vAlign w:val="bottom"/>
          </w:tcPr>
          <w:p>
            <w:pPr>
              <w:spacing w:after="0"/>
              <w:rPr>
                <w:sz w:val="14"/>
                <w:szCs w:val="14"/>
                <w:color w:val="auto"/>
              </w:rPr>
            </w:pPr>
          </w:p>
        </w:tc>
        <w:tc>
          <w:tcPr>
            <w:tcW w:w="260" w:type="dxa"/>
            <w:vAlign w:val="bottom"/>
          </w:tcPr>
          <w:p>
            <w:pPr>
              <w:jc w:val="right"/>
              <w:ind w:right="70"/>
              <w:spacing w:after="0" w:line="163"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6"/>
              <w:spacing w:after="0" w:line="163"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5"/>
        </w:trPr>
        <w:tc>
          <w:tcPr>
            <w:tcW w:w="6640" w:type="dxa"/>
            <w:vAlign w:val="bottom"/>
          </w:tcPr>
          <w:p>
            <w:pPr>
              <w:spacing w:after="0" w:line="236" w:lineRule="exact"/>
              <w:rPr>
                <w:sz w:val="20"/>
                <w:szCs w:val="20"/>
                <w:color w:val="auto"/>
              </w:rPr>
            </w:pPr>
            <w:r>
              <w:rPr>
                <w:rFonts w:ascii="Arial" w:cs="Arial" w:eastAsia="Arial" w:hAnsi="Arial"/>
                <w:sz w:val="18"/>
                <w:szCs w:val="18"/>
                <w:color w:val="auto"/>
              </w:rPr>
              <w:t xml:space="preserve">Loan Agreement with SVB </w:t>
            </w:r>
            <w:r>
              <w:rPr>
                <w:rFonts w:ascii="Arial" w:cs="Arial" w:eastAsia="Arial" w:hAnsi="Arial"/>
                <w:sz w:val="22"/>
                <w:szCs w:val="22"/>
                <w:color w:val="auto"/>
                <w:vertAlign w:val="superscript"/>
              </w:rPr>
              <w:t>(2)</w:t>
            </w:r>
          </w:p>
        </w:tc>
        <w:tc>
          <w:tcPr>
            <w:tcW w:w="260" w:type="dxa"/>
            <w:vAlign w:val="bottom"/>
          </w:tcPr>
          <w:p>
            <w:pPr>
              <w:spacing w:after="0"/>
              <w:rPr>
                <w:sz w:val="20"/>
                <w:szCs w:val="20"/>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6,931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6,931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 xml:space="preserve">Periphagen Note </w:t>
            </w:r>
            <w:r>
              <w:rPr>
                <w:rFonts w:ascii="Arial" w:cs="Arial" w:eastAsia="Arial" w:hAnsi="Arial"/>
                <w:sz w:val="22"/>
                <w:szCs w:val="22"/>
                <w:color w:val="auto"/>
                <w:vertAlign w:val="superscript"/>
              </w:rPr>
              <w:t>(3)</w:t>
            </w:r>
          </w:p>
        </w:tc>
        <w:tc>
          <w:tcPr>
            <w:tcW w:w="2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1,352</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6"/>
              <w:spacing w:after="0" w:line="196" w:lineRule="exact"/>
              <w:rPr>
                <w:sz w:val="20"/>
                <w:szCs w:val="20"/>
                <w:color w:val="auto"/>
              </w:rPr>
            </w:pPr>
            <w:r>
              <w:rPr>
                <w:rFonts w:ascii="Arial" w:cs="Arial" w:eastAsia="Arial" w:hAnsi="Arial"/>
                <w:sz w:val="18"/>
                <w:szCs w:val="18"/>
                <w:color w:val="auto"/>
              </w:rPr>
              <w:t>9,007</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8"/>
              <w:spacing w:after="0" w:line="196" w:lineRule="exact"/>
              <w:rPr>
                <w:sz w:val="20"/>
                <w:szCs w:val="20"/>
                <w:color w:val="auto"/>
              </w:rPr>
            </w:pPr>
            <w:r>
              <w:rPr>
                <w:rFonts w:ascii="Arial" w:cs="Arial" w:eastAsia="Arial" w:hAnsi="Arial"/>
                <w:sz w:val="18"/>
                <w:szCs w:val="18"/>
                <w:color w:val="auto"/>
              </w:rPr>
              <w:t>7,551</w:t>
            </w:r>
          </w:p>
        </w:tc>
        <w:tc>
          <w:tcPr>
            <w:tcW w:w="4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6"/>
              <w:spacing w:after="0" w:line="196" w:lineRule="exact"/>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-162560</wp:posOffset>
            </wp:positionV>
            <wp:extent cx="857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-162560</wp:posOffset>
            </wp:positionV>
            <wp:extent cx="857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0" w:lineRule="exact"/>
        <w:rPr>
          <w:sz w:val="20"/>
          <w:szCs w:val="20"/>
          <w:color w:val="auto"/>
        </w:rPr>
      </w:pPr>
    </w:p>
    <w:p>
      <w:pPr>
        <w:ind w:left="380" w:right="100" w:hanging="372"/>
        <w:spacing w:after="0" w:line="205" w:lineRule="auto"/>
        <w:tabs>
          <w:tab w:leader="none" w:pos="38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Represents future minimum lease payments under our operating lease for office and laboratory space at our Needham, Massachusetts facility. Our facility lease extends to August of 2026.</w:t>
      </w:r>
    </w:p>
    <w:p>
      <w:pPr>
        <w:spacing w:after="0" w:line="1" w:lineRule="exact"/>
        <w:rPr>
          <w:rFonts w:ascii="Arial" w:cs="Arial" w:eastAsia="Arial" w:hAnsi="Arial"/>
          <w:sz w:val="23"/>
          <w:szCs w:val="23"/>
          <w:color w:val="auto"/>
          <w:vertAlign w:val="superscript"/>
        </w:rPr>
      </w:pPr>
    </w:p>
    <w:p>
      <w:pPr>
        <w:ind w:left="380" w:hanging="372"/>
        <w:spacing w:after="0" w:line="189" w:lineRule="auto"/>
        <w:tabs>
          <w:tab w:leader="none" w:pos="38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Represents future principal, interest payments, and the final payment fee on our Loan Agreement with SVB, which matures on January 1, 2026.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7" w:name="page38"/>
    <w:bookmarkEnd w:id="37"/>
    <w:p>
      <w:pPr>
        <w:ind w:left="380" w:right="820" w:hanging="372"/>
        <w:spacing w:after="0" w:line="215" w:lineRule="auto"/>
        <w:tabs>
          <w:tab w:leader="none" w:pos="38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Represents a $1.0 million promissory note plus interest under the terms of our asset purchase agreements with Periphagen, Inc. The promissory note is due upon maturity in November 2027.</w:t>
      </w:r>
    </w:p>
    <w:p>
      <w:pPr>
        <w:spacing w:after="0" w:line="74"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See our condensed consolidated financial statements and related footnotes elsewhere in this Form 10-Q for additional information on these agreements.</w:t>
      </w:r>
    </w:p>
    <w:p>
      <w:pPr>
        <w:spacing w:after="0" w:line="51"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also enter into contracts in the normal course of business with hospitals, clinics, universities, and other third parties for clinical trials and testing and with construction contractors and process developers for the construction of our manufacturing facility. These contracts do not contain minimum purchase commitments and are cancelable by us upon prior written notice. Payments due upon cancelation consist only of payments for services provided or expenses incurred, including noncancelable obligations of our service providers, up to the date of cancelation. These payments are not included in the table above as the amount and timing of such payments are not known.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financial statements, which have been prepared in accordance with U.S. generally accepted accounting principles (GAAP). The preparation of our condensed consolidated financial statements and related disclosures requires us to make estimates and assumptions that affect the reported amounts of assets and liabilities, costs and expenses, and the disclosure of contingent assets and liabilities in our financial statements.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spacing w:after="0" w:line="7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During the three and six months ended June 30, 2025, there were no material changes to our critical accounting estimates as reported in our Annual Report on Form 10-K for the year ended December 31, 2024. For a full discussion of these estimates, see “</w:t>
      </w:r>
      <w:r>
        <w:rPr>
          <w:rFonts w:ascii="Arial" w:cs="Arial" w:eastAsia="Arial" w:hAnsi="Arial"/>
          <w:sz w:val="17"/>
          <w:szCs w:val="17"/>
          <w:i w:val="1"/>
          <w:iCs w:val="1"/>
          <w:color w:val="auto"/>
        </w:rPr>
        <w:t>Critical Accounting Estimates</w:t>
      </w:r>
      <w:r>
        <w:rPr>
          <w:rFonts w:ascii="Arial" w:cs="Arial" w:eastAsia="Arial" w:hAnsi="Arial"/>
          <w:sz w:val="17"/>
          <w:szCs w:val="17"/>
          <w:color w:val="auto"/>
        </w:rPr>
        <w:t>” within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our Annual Report on Form 10-K for the year ended December 31,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 description of recent accounting pronouncements that may potentially impact our financial position, results of operations, or cash flows is disclosed in Note 2 to our condensed consolidated financial statements included elsewhere in this Form 10-Q.</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or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74"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w:t>
      </w:r>
    </w:p>
    <w:p>
      <w:pPr>
        <w:spacing w:after="0" w:line="1" w:lineRule="exact"/>
        <w:rPr>
          <w:sz w:val="20"/>
          <w:szCs w:val="20"/>
          <w:color w:val="auto"/>
        </w:rPr>
      </w:pPr>
    </w:p>
    <w:p>
      <w:pPr>
        <w:ind w:right="80" w:firstLine="8"/>
        <w:spacing w:after="0" w:line="248" w:lineRule="auto"/>
        <w:tabs>
          <w:tab w:leader="none" w:pos="25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date on which we have issued more than $1.0 billion in non-convertible debt securities during the prior three-year period; and (4) the last day of the fiscal year ending after the fifth anniversary of our initial public offering.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are a smaller reporting company as defined by Rule 12b-2 of the Securities Exchange Act of 1934, as amended, and are not required to provide the information under this item.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00"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and Exchange Act of 1934, as amended). 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7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2025. Based on the evaluation of our disclosure controls and procedures as of June 30, 2025, our Chief Executive Officer and Chief Financial Officer concluded that, as of such date, our disclosure controls and procedures were effective at the reasonable assurance level.</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we may become involved in litigation or other legal proceedings.</w:t>
      </w:r>
    </w:p>
    <w:p>
      <w:pPr>
        <w:spacing w:after="0" w:line="10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76"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i w:val="1"/>
          <w:iCs w:val="1"/>
          <w:color w:val="auto"/>
        </w:rPr>
        <w:t>The risk factors denoted with a “*” are newly added or have been materially updated from those included in our Annual Report on Form 10-K for the year ended December 31, 2024.</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Financial Position and Capital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to date from product sales.</w:t>
      </w:r>
    </w:p>
    <w:p>
      <w:pPr>
        <w:spacing w:after="0" w:line="10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were incorporated under the laws of the State of Delaware in June 2003. Since inception, we have focused substantially all of our efforts and financial resources on raising capital and developing our initial product candidates. To date, we have financed our operations primarily through the issuance and sale of our convertible preferred stock to outside investors in private equity financings and from the proceeds of the sale of our common stock and accompanying pre-funded warrants. From our inception through June 30, 2025, we raised an aggregate of $273.7 million of gross proceeds from such transactions. In addition, in February 2022, we borrowed $20.0 million under the Loan Agreement with SVB. As of June 30, 2025, our cash and cash equivalents were $100.7 million. We have incurred net losses in each year since our inception, and we had an accumulated deficit of $189.6 million as of June 30, 2025. For the six months ended June 30, 2025 and 2024, we reported net income of $2.6 million and a net loss of $30.5 million, respectively. We have no products approved for commercial sale and therefore have never generated any revenue from product sales, and we do not expect to do so in the foreseeable future. We have not obtained regulatory approvals for any of our product candidates, and even if our clinical development efforts result in positive data, our product candidates may not receive regulatory approval or be successfully introduced and marketed at prices that would permit us to operate profitably.</w:t>
      </w:r>
    </w:p>
    <w:p>
      <w:pPr>
        <w:spacing w:after="0" w:line="7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w:t>
      </w:r>
    </w:p>
    <w:p>
      <w:pPr>
        <w:spacing w:after="0" w:line="51"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b w:val="1"/>
          <w:bCs w:val="1"/>
          <w:i w:val="1"/>
          <w:iCs w:val="1"/>
          <w:color w:val="auto"/>
        </w:rPr>
        <w:t>We have incurred significant operating losses since our inception and anticipate that we will incur continued losses for the foreseeable future.</w:t>
      </w:r>
    </w:p>
    <w:p>
      <w:pPr>
        <w:spacing w:after="0" w:line="30"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manufacturing expenses. We are incurring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6" w:lineRule="exact"/>
        <w:rPr>
          <w:sz w:val="20"/>
          <w:szCs w:val="20"/>
          <w:color w:val="auto"/>
        </w:rPr>
      </w:pPr>
    </w:p>
    <w:p>
      <w:pPr>
        <w:ind w:right="700"/>
        <w:spacing w:after="0" w:line="267" w:lineRule="auto"/>
        <w:rPr>
          <w:sz w:val="20"/>
          <w:szCs w:val="20"/>
          <w:color w:val="auto"/>
        </w:rPr>
      </w:pPr>
      <w:r>
        <w:rPr>
          <w:rFonts w:ascii="Arial" w:cs="Arial" w:eastAsia="Arial" w:hAnsi="Arial"/>
          <w:sz w:val="17"/>
          <w:szCs w:val="17"/>
          <w:color w:val="auto"/>
        </w:rPr>
        <w:t>The amount of our future losses is uncertain, and our quarterly and annual operating results may fluctuate significantly or may fall below the expectations of investors or securities analysts, each of which may cause our stock price to fluctuate or decline.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40" w:name="page41"/>
    <w:bookmarkEnd w:id="40"/>
    <w:p>
      <w:pPr>
        <w:ind w:left="1020" w:right="20" w:hanging="503"/>
        <w:spacing w:after="0" w:line="266"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51"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enroll and retain subjects for clinical trials, and any delays caused by difficulties in such efforts;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changing and volatile U.S. and global economic environments, including as a result of any future public health crisis or changes in trade policy, tariffs or other trade restrictions;</w:t>
      </w:r>
    </w:p>
    <w:p>
      <w:pPr>
        <w:spacing w:after="0" w:line="51"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51" w:lineRule="exact"/>
        <w:rPr>
          <w:rFonts w:ascii="Times New Roman" w:cs="Times New Roman" w:eastAsia="Times New Roman" w:hAnsi="Times New Roman"/>
          <w:sz w:val="17"/>
          <w:szCs w:val="17"/>
          <w:color w:val="auto"/>
        </w:rPr>
      </w:pPr>
    </w:p>
    <w:p>
      <w:pPr>
        <w:ind w:left="1020" w:right="280" w:hanging="503"/>
        <w:spacing w:after="0" w:line="249"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manufacturing our product candidates, which may vary depending on the quantity of production, and the success of achieving clinical-scale manufacturing operations in our new facility or through CDMOs and commercial manufacturing at third-party manufacturers;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attract, hire and retain qualified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expenditures that we will or may incur to develop additional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therapeutics that compete with our product candidates;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future accounting pronouncements or changes in our accounting policies.</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products approved for commercial sale and have not generated any revenue from product sales.</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our product candidates,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69"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complete our ongoing and planned preclinical studies and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and receive clearance of our Investigational New Drug applications (INDs), in order to commence our planned clinical trials or future clinical trials;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enroll subjects in, and complete,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marketing applications and receive regulatory approvals for our product candidates from the FDA and comparable foreign regulatory authorities;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114" w:lineRule="exact"/>
        <w:rPr>
          <w:rFonts w:ascii="Times New Roman" w:cs="Times New Roman" w:eastAsia="Times New Roman" w:hAnsi="Times New Roman"/>
          <w:sz w:val="17"/>
          <w:szCs w:val="17"/>
          <w:color w:val="auto"/>
        </w:rPr>
      </w:pPr>
    </w:p>
    <w:p>
      <w:pPr>
        <w:ind w:left="1020" w:right="900" w:hanging="503"/>
        <w:spacing w:after="0" w:line="266"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establish clinical supply capabilities through arrangements with third-party manufacturers for clinical supply and commercial manufacturing;</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patent and trade secret protection or regulatory exclusivity for our product candidates;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1" w:name="page42"/>
    <w:bookmarkEnd w:id="41"/>
    <w:p>
      <w:pPr>
        <w:ind w:left="1020" w:hanging="503"/>
        <w:spacing w:after="0"/>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launch commercial sales of our product candidates, if and when approved, whether alone or in collaboration with others;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maintain a continued acceptable safety profile of the product candidates following approval;</w:t>
      </w:r>
    </w:p>
    <w:p>
      <w:pPr>
        <w:spacing w:after="0" w:line="114"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acceptance of the product candidates, if and when approved, by patients, the medical community and third-party payors;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position our products to effectively compete with other therapies;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favorable coverage and adequate reimbursement by third-party payors for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enforce and defend intellectual property rights and claims with respect to our product candidates;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hire additional staff, including clinical, scientific and management personnel.</w:t>
      </w:r>
    </w:p>
    <w:p>
      <w:pPr>
        <w:spacing w:after="0" w:line="114"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We will need to raise substantial additional funding, which may not be available on acceptable terms, or at all. If we are unable to raise capital when needed, we would be forced to delay, reduce or eliminate some of our product development programs or commercialization efforts or initiate steps to cease operations.</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development of pharmaceutical products is capital-intensive. We are currently advancing our product candidates through clinical development across a number of potential indications. We expect our expenses to significantly increase in connection with our ongoing activities, particularly as we continue our ongoing clinical trials or initiate future trials and pursue the research and development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and may be unable to expand our operations or otherwise capitalize on our business opportunities, as desired, which could materially affect our business, financial condition and results of operations.</w:t>
      </w:r>
    </w:p>
    <w:p>
      <w:pPr>
        <w:spacing w:after="0" w:line="7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expect that our existing cash and cash equivalents will be sufficient to fund our current operating plan into the first quarter of 2027. However, our future capital requirements will depend on and could increase significantly as a result of many factors, including:</w:t>
      </w:r>
    </w:p>
    <w:p>
      <w:pPr>
        <w:spacing w:after="0" w:line="51" w:lineRule="exact"/>
        <w:rPr>
          <w:sz w:val="20"/>
          <w:szCs w:val="20"/>
          <w:color w:val="auto"/>
        </w:rPr>
      </w:pPr>
    </w:p>
    <w:p>
      <w:pPr>
        <w:ind w:left="1020" w:right="4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product discovery, preclinical and clinical development, laboratory testing, manufacturing and clinical trials for the development of CAN-2409, CAN-3110, or our other potential product candidates;</w:t>
      </w:r>
    </w:p>
    <w:p>
      <w:pPr>
        <w:spacing w:after="0" w:line="51" w:lineRule="exact"/>
        <w:rPr>
          <w:rFonts w:ascii="Times New Roman" w:cs="Times New Roman" w:eastAsia="Times New Roman" w:hAnsi="Times New Roman"/>
          <w:sz w:val="17"/>
          <w:szCs w:val="17"/>
          <w:color w:val="auto"/>
        </w:rPr>
      </w:pPr>
    </w:p>
    <w:p>
      <w:pPr>
        <w:jc w:val="both"/>
        <w:ind w:left="1020" w:right="320" w:hanging="503"/>
        <w:spacing w:after="0" w:line="249"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and the costs involved in, obtaining marketing approvals for CAN-2409 in newly diagnosed localized prostate cancer, NSCLC, and borderline resectable pancreatic cancer as well as for CAN-3110 in our initial target indication of recurrent high-grade glioma (HGG) and our other potential product candidates that we may develop;</w:t>
      </w:r>
    </w:p>
    <w:p>
      <w:pPr>
        <w:spacing w:after="0" w:line="65" w:lineRule="exact"/>
        <w:rPr>
          <w:rFonts w:ascii="Times New Roman" w:cs="Times New Roman" w:eastAsia="Times New Roman" w:hAnsi="Times New Roman"/>
          <w:sz w:val="17"/>
          <w:szCs w:val="17"/>
          <w:color w:val="auto"/>
        </w:rPr>
      </w:pPr>
    </w:p>
    <w:p>
      <w:pPr>
        <w:ind w:left="1020" w:right="220" w:hanging="503"/>
        <w:spacing w:after="0" w:line="249"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if approved, the costs of commercialization activities for CAN-2409 or CAN-3110 for any approved indications or any other product candidate that receives regulatory approval to the extent such costs are not the responsibility of a collaborator that we may contract with in the future, including the costs and timing of establishing product sales, marketing, distribution and manufacturing capabilities;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prioritization and number of our research and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114"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achievement of milestones or occurrence of other developments that trigger payments under any additional collaboration agreements we may enter into;</w:t>
      </w:r>
    </w:p>
    <w:p>
      <w:pPr>
        <w:spacing w:after="0" w:line="51" w:lineRule="exact"/>
        <w:rPr>
          <w:rFonts w:ascii="Times New Roman" w:cs="Times New Roman" w:eastAsia="Times New Roman" w:hAnsi="Times New Roman"/>
          <w:sz w:val="17"/>
          <w:szCs w:val="17"/>
          <w:color w:val="auto"/>
        </w:rPr>
      </w:pPr>
    </w:p>
    <w:p>
      <w:pPr>
        <w:ind w:left="1020" w:right="68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42" w:name="page43"/>
    <w:bookmarkEnd w:id="42"/>
    <w:p>
      <w:pPr>
        <w:ind w:left="1020" w:right="680" w:hanging="503"/>
        <w:spacing w:after="0" w:line="266"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acquire or in-license other product candidates and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securing manufacturing arrangements for commercial production;</w:t>
      </w:r>
    </w:p>
    <w:p>
      <w:pPr>
        <w:spacing w:after="0" w:line="114"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the emergence of competing viral immunotherapies as well as immuno-oncology therapies in general and other adverse market developments;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clinical manufacturing operations through CDMOs;</w:t>
      </w:r>
    </w:p>
    <w:p>
      <w:pPr>
        <w:spacing w:after="0" w:line="114" w:lineRule="exact"/>
        <w:rPr>
          <w:rFonts w:ascii="Times New Roman" w:cs="Times New Roman" w:eastAsia="Times New Roman" w:hAnsi="Times New Roman"/>
          <w:sz w:val="17"/>
          <w:szCs w:val="17"/>
          <w:color w:val="auto"/>
        </w:rPr>
      </w:pPr>
    </w:p>
    <w:p>
      <w:pPr>
        <w:ind w:left="1020" w:right="380" w:hanging="503"/>
        <w:spacing w:after="0" w:line="266"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or contracting for sales and marketing capabilities if we obtain regulatory approvals to market our product candidates;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future public health crisis, which may exacerbate the magnitude of the factors discussed above.</w:t>
      </w:r>
    </w:p>
    <w:p>
      <w:pPr>
        <w:spacing w:after="0" w:line="11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7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Disruptions in the financial markets in general have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4"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If we are unable to obtain adequate funding on a timely basis or on terms acceptable to us, we may be required to revise our business plan and strategy and potentially curtail, delay, or discontinue one or more of our clinical trials, our research efforts, product development, future commercialization efforts or we may be unable to expand our operations or otherwise capitalize on our business opportunities, or we may be required to initiate steps to cease operations. As a result, our business, financial condition and results of operations could be materially affected.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indebtedness, and we may incur additional indebtedness, which could adversely affect our financial condition.</w:t>
      </w:r>
    </w:p>
    <w:p>
      <w:pPr>
        <w:spacing w:after="0" w:line="102"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On February 24, 2022, we entered into a loan and security agreement (the Loan Agreement) with Silicon Valley Bank, as lender (SVB), pursuant to which SVB has agreed to provide term loans to us in an aggregate principal amount of up to $25.0 million. Our indebtedness could have important consequences to our stockholders. For example, it:</w:t>
      </w:r>
    </w:p>
    <w:p>
      <w:pPr>
        <w:spacing w:after="0" w:line="6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increases our vulnerability to adverse general economic and industry conditions;</w:t>
      </w:r>
    </w:p>
    <w:p>
      <w:pPr>
        <w:spacing w:after="0" w:line="114" w:lineRule="exact"/>
        <w:rPr>
          <w:rFonts w:ascii="Times New Roman" w:cs="Times New Roman" w:eastAsia="Times New Roman" w:hAnsi="Times New Roman"/>
          <w:sz w:val="17"/>
          <w:szCs w:val="17"/>
          <w:color w:val="auto"/>
        </w:rPr>
      </w:pPr>
    </w:p>
    <w:p>
      <w:pPr>
        <w:ind w:left="1020" w:right="40" w:hanging="503"/>
        <w:spacing w:after="0" w:line="266" w:lineRule="auto"/>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51"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ability to obtain additional financing or refinancing in the future for working capital, clinical trials, research and development, or other purposes.</w:t>
      </w:r>
    </w:p>
    <w:p>
      <w:pPr>
        <w:spacing w:after="0" w:line="5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Any of the above-listed factors could materially adversely affect our business, financial condition, results of operations, and cash flows. The Loan Agreement also contains certain covenants, including limitations on, among other things, additional indebtedness, making certain dispositions,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entitling the lender to accelerate our indebtedness, which could have a material adverse effect on our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43" w:name="page44"/>
    <w:bookmarkEnd w:id="43"/>
    <w:p>
      <w:pPr>
        <w:ind w:right="40"/>
        <w:spacing w:after="0" w:line="249" w:lineRule="auto"/>
        <w:rPr>
          <w:sz w:val="20"/>
          <w:szCs w:val="20"/>
          <w:color w:val="auto"/>
        </w:rPr>
      </w:pPr>
      <w:r>
        <w:rPr>
          <w:rFonts w:ascii="Arial" w:cs="Arial" w:eastAsia="Arial" w:hAnsi="Arial"/>
          <w:sz w:val="17"/>
          <w:szCs w:val="17"/>
          <w:color w:val="auto"/>
        </w:rPr>
        <w:t>Recent increases in interest rates have increased our borrowing costs and may also affect our ability to obtain working capital through borrowings such as bank credit lines and public or private sales of debt securities, which may result in lower liquidity, reduced working capital and other adverse impacts on our business.</w:t>
      </w:r>
    </w:p>
    <w:p>
      <w:pPr>
        <w:spacing w:after="0" w:line="107"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A portion of our outstanding debt under the Loan Agreement, bears interest at variable interest rates. To meet our liquidity needs, we have relied in part on borrowed funds with variable interest rates and may continue to do so in the future. Continued increase in interest rates may increase the cost of new indebtedness and the servicing of our outstanding indebtedness, and could materially and adversely affect our results of operations, financial condition, liquidity and cash flows.</w:t>
      </w:r>
    </w:p>
    <w:p>
      <w:pPr>
        <w:spacing w:after="0" w:line="69"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We currently have a $20 million loan outstanding pursuant to a $25 million term loan facility with SVB, which was entered into in February 2022 and amended in June 2023. We no longer have access to borrow the $5 million of additional aggregate principle per the terms of the Loan Agreement.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such as us,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8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74"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76"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6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Delayed access to deposits or other financial assets or the uninsured loss of deposits or other financial assets;</w:t>
      </w:r>
    </w:p>
    <w:p>
      <w:pPr>
        <w:spacing w:after="0" w:line="114"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Delayed or lost access to, or reductions in borrowings available under revolving existing credit facilities or other working capital sources and/or delays, inability or reductions in our ability to refund, roll over or extend the maturity of, or enter into new credit facilities or other working capital resources;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contractual obligations that require us to maintain letters of credit or other credit support arrangements;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4" w:name="page45"/>
    <w:bookmarkEnd w:id="44"/>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financial covenants in our credit agreements or credit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cross-defaults in other credit agreements, credit arrangements or operating or financing agreements; or</w:t>
      </w:r>
    </w:p>
    <w:p>
      <w:pPr>
        <w:spacing w:after="0" w:line="114"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Termination of cash management arrangements and/or delays in accessing or actual loss of funds subject to cash management arrangements.</w:t>
      </w:r>
    </w:p>
    <w:p>
      <w:pPr>
        <w:spacing w:after="0" w:line="5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a material adverse impact on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Product Development</w:t>
      </w:r>
    </w:p>
    <w:p>
      <w:pPr>
        <w:spacing w:after="0" w:line="102"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i w:val="1"/>
          <w:iCs w:val="1"/>
          <w:color w:val="auto"/>
        </w:rPr>
        <w:t>Our business is dependent on the success of our most advanced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4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expect that a substantial portion of our efforts and expenditures over the next several years will be devoted to our CAN-2409 program, which is currently our most advanced product candidate.</w:t>
      </w:r>
    </w:p>
    <w:p>
      <w:pPr>
        <w:spacing w:after="0" w:line="67"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If CAN-2409, CAN-3110 or any other product candidate we develop encounters safety or efficacy issues, development delays, regulatory issues or other problems, our development plans and business would be significantly harmed. We can provide no assurance that CAN-2409, CAN-3110 or any other product candidates we develop will receive regulatory approval or be successfully commercialized even if we receive regulatory approval. If we were required to discontinue development of CAN-2409, CAN-3110 or any future product candidate, or if CAN-2409, CAN-3110, or any future product candidate do not receive regulatory approval or fail to achieve significant market acceptance, we would be delayed by many years in our ability to achieve profitability, if ever.</w:t>
      </w:r>
    </w:p>
    <w:p>
      <w:pPr>
        <w:spacing w:after="0" w:line="7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Furthermore, even if we obtain regulatory approval for CAN-2409, CAN-3110 or any other product candidates we develop, we will still need to develop a commercial infrastructure, expand our manufacturing capabilities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CAN-2409, CAN-3110 or any other product candidates we develop, we may not be able to generate sufficient revenue to continue our business.</w:t>
      </w:r>
    </w:p>
    <w:p>
      <w:pPr>
        <w:spacing w:after="0" w:line="72"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3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Before obtaining regulatory approvals for the commercial sale of our product candidates, including CAN-2409, CAN-3110 or any other product candidates we develop, we must demonstrate the safety and efficacy of our product candidates for use in each target indication through lengthy, complex, and expensive preclinical studies and clinical trials. Failure can occur at any time during the preclinical study and clinical trial processes and there is a high risk of failure, so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or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5" w:name="page46"/>
    <w:bookmarkEnd w:id="45"/>
    <w:p>
      <w:pPr>
        <w:spacing w:after="0" w:line="236" w:lineRule="auto"/>
        <w:rPr>
          <w:sz w:val="20"/>
          <w:szCs w:val="20"/>
          <w:color w:val="auto"/>
        </w:rPr>
      </w:pPr>
      <w:r>
        <w:rPr>
          <w:rFonts w:ascii="Arial" w:cs="Arial" w:eastAsia="Arial" w:hAnsi="Arial"/>
          <w:sz w:val="17"/>
          <w:szCs w:val="17"/>
          <w:color w:val="auto"/>
        </w:rPr>
        <w:t>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are currently in a phase 3 clinical trial for CAN-2409 for prostate cancer and are in early stages of clinical development for CAN-3110,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7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product candidates have caused side effects in clinical trials related to on-target toxicity such as fever, chills and muscle aches and other flu-like symptoms. The most common side effects observed in our clinical trials to date have been transient, injection site-related reactions, and flu-like symptoms. The specific symptoms are largely dependent on the tumor site (site of injection). Patients who have participated in our trials have experienced grade 3 and grade 4 treatment-related side effects, including blood abnormalities. Those include pyrexia, genitourinary toxicity, increased aspartate transaminase / alanine transaminase (AST/ALT), increased bilirubin, hemiparesis or worsening of speech impairment (in studies of recurrent HGG), insomnia, headache, wound complications, empyema, motor-neuropathy symptoms/signs, transient lymphopenia, dehydration with renal insufficiency, urinary retention, worsening abdominal pain and increased lipase. Different nomenclature for the same side effect can be used in different trials (i.e. lymphopenia or low lymphocyte count). If on-target toxicity is observed at unacceptable levels,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early-stage testing for treating cancer have later been found to cause side effects that prevented further development of the compound. In addition to our ongoing clinical trials of CAN-2409 and CAN-3110, patients have been, and may continue to be, treated with CAN-2409 and/or CAN-3110 under an expanded access or “compassionate use” program. To the extent the experiences of patients being treated in this program are inconsistent with or less favorable than the results of our ongoing or planned company-sponsored trials with CAN-2409 and/or CAN-3110, it may negatively affect perceptions of CAN-2409 and/or CAN-3110, our other product candidates, or our business. In addition, the FDA or comparable foreign regulatory authorities may require us to obtain and submit additional clinical data due to these inconsistent or unfavorable results, which could delay clinical development or marketing approval of CAN-2409 and/or CAN-3110 or potentially our other product candidates.</w:t>
      </w:r>
    </w:p>
    <w:p>
      <w:pPr>
        <w:spacing w:after="0" w:line="79" w:lineRule="exact"/>
        <w:rPr>
          <w:sz w:val="20"/>
          <w:szCs w:val="20"/>
          <w:color w:val="auto"/>
        </w:rPr>
      </w:pPr>
    </w:p>
    <w:p>
      <w:pPr>
        <w:jc w:val="both"/>
        <w:ind w:right="320"/>
        <w:spacing w:after="0" w:line="256"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regulatory audit and verification procedures that could result in material changes in the final data.</w:t>
      </w:r>
    </w:p>
    <w:p>
      <w:pPr>
        <w:spacing w:after="0" w:line="4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From time to time, we may publish interim, topline or preliminary data from our clinical trials. We may decide to conduct an interim analysis of the data after a certain number or percentage of patients have been enrolled, or after only a part of the full follow-up period but before completion of the trial. Similarly, we may report topline or preliminary results of primary and key secondary endpoints before the final trial results are completed. Preliminary, topline and interim data from our clinical trials may change as more patient data or analyses become available. Preliminary, topline or interim data from our clinical trials are not necessarily predictive of final results and are subject to the risk that one or more of the clinical outcomes may materially change as patient enrollment continues, more patient data become available and we issue our final clinical trial report. These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Material adverse changes in the final data compared to the interim data could significantly harm our business prospects.</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2"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67"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b w:val="1"/>
          <w:bCs w:val="1"/>
          <w:i w:val="1"/>
          <w:iCs w:val="1"/>
          <w:color w:val="auto"/>
        </w:rPr>
        <w:t>We may not be successful in our efforts to identify additional product candidates or indications. Due to our limited resources and access to capital, we must prioritize development of certain product candidates and indications; these decisions may prove to be wrong and may adversely affect our business.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6" w:name="page47"/>
    <w:bookmarkEnd w:id="46"/>
    <w:p>
      <w:pPr>
        <w:ind w:right="80"/>
        <w:spacing w:after="0" w:line="249" w:lineRule="auto"/>
        <w:rPr>
          <w:sz w:val="20"/>
          <w:szCs w:val="20"/>
          <w:color w:val="auto"/>
        </w:rPr>
      </w:pPr>
      <w:r>
        <w:rPr>
          <w:rFonts w:ascii="Arial" w:cs="Arial" w:eastAsia="Arial" w:hAnsi="Arial"/>
          <w:sz w:val="17"/>
          <w:szCs w:val="17"/>
          <w:color w:val="auto"/>
        </w:rPr>
        <w:t>Although we intend to explore other therapeutic opportunities, in addition to the product candidates and indications that we are currently developing, we may fail to identify successful product candidates or additional indications for clinical development for a number of reasons. If we fail to identify additional potential product candidates or indications for development, our business could be materially harmed.</w:t>
      </w:r>
    </w:p>
    <w:p>
      <w:pPr>
        <w:spacing w:after="0" w:line="6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Research programs to pursue the development of our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69"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research methodology used may not be successful in identifying potential indications and/or product candidates;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candidates may, after further study, be shown to have harmful adverse effects or other characteristics that indicate they are unlikely to be effective drugs; or</w:t>
      </w:r>
    </w:p>
    <w:p>
      <w:pPr>
        <w:spacing w:after="0" w:line="51" w:lineRule="exact"/>
        <w:rPr>
          <w:rFonts w:ascii="Times New Roman" w:cs="Times New Roman" w:eastAsia="Times New Roman" w:hAnsi="Times New Roman"/>
          <w:sz w:val="17"/>
          <w:szCs w:val="17"/>
          <w:color w:val="auto"/>
        </w:rPr>
      </w:pPr>
    </w:p>
    <w:p>
      <w:pPr>
        <w:ind w:left="1020" w:right="460" w:hanging="503"/>
        <w:spacing w:after="0" w:line="249" w:lineRule="auto"/>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at the Annual Meeting of SITC in Boston in November 2022, due to promising clinical activity of CAN-3110 in recurrent HGG, we made a portfolio and resource decision to prioritize CAN-3110 in recurrent HGG and not to pursue a phase 3 clinical trial of CAN-2409 in HGG.</w:t>
      </w:r>
    </w:p>
    <w:p>
      <w:pPr>
        <w:spacing w:after="0" w:line="73"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earlier studies and trials of our product candidates may not be predictive of future trial results.</w:t>
      </w:r>
    </w:p>
    <w:p>
      <w:pPr>
        <w:spacing w:after="0" w:line="10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Success in preclinical studies and early clinical trials does not ensure that later clinical trials will be successful. Product candidates in later stages of clinical trials may fail to show the desired safety and efficacy traits despite having progressed through preclinical studies and initial clinical trials. As we commence new clinical trials and continue our ongoing clinical trials, issues may arise that could suspend or terminate such clinical trials.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In addition, the results of our preclinical animal studies, including our oncology mouse studies and other animal studies, may not be predictive of the results of outcomes in human clinical trials. For example, our oncology product candidates that are in preclinical development may demonstrate different chemical and biological properties in patients than they do in laboratory animal studies or may interact with human biological systems in unforeseen or harmful ways.</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Additionally, some of past, ongoing and planned clinical trials utilize an “open-label” study design including our NSCLC trial in combination with ICI.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trials when studied in a controlled environment with a placebo or active control.</w:t>
      </w:r>
    </w:p>
    <w:p>
      <w:pPr>
        <w:spacing w:after="0" w:line="73"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30"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We have concentrated our research and development efforts on our CAN-2409 and CAN-3110 product candidates, and our future success largely depends on the successful development of these therapeutic approaches.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7" w:name="page48"/>
    <w:bookmarkEnd w:id="47"/>
    <w:p>
      <w:pPr>
        <w:ind w:right="20"/>
        <w:spacing w:after="0" w:line="238"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Few viral immunotherapies have been approved globally or by the FDA to date. While talimogene laherparepvec (Imlygic, Amgen) and nadofaragene firadenovec-vncg (Adstiladrin, Ferring Pharmaceuticals) have received FDA approval, regulatory agencies have reviewed relatively few viral immunotherapy product candidates such as CAN-2409 and CAN-3110.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74" w:lineRule="exact"/>
        <w:rPr>
          <w:sz w:val="20"/>
          <w:szCs w:val="20"/>
          <w:color w:val="auto"/>
        </w:rPr>
      </w:pPr>
    </w:p>
    <w:p>
      <w:pPr>
        <w:jc w:val="both"/>
        <w:ind w:right="60"/>
        <w:spacing w:after="0" w:line="244" w:lineRule="auto"/>
        <w:rPr>
          <w:sz w:val="20"/>
          <w:szCs w:val="20"/>
          <w:color w:val="auto"/>
        </w:rPr>
      </w:pPr>
      <w:r>
        <w:rPr>
          <w:rFonts w:ascii="Arial" w:cs="Arial" w:eastAsia="Arial" w:hAnsi="Arial"/>
          <w:sz w:val="17"/>
          <w:szCs w:val="17"/>
          <w:color w:val="auto"/>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spacing w:after="0" w:line="6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addition, our product candidates are live, gene-modified viruses for which the FDA, the European Medicines Agency (EMA)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Furthermore, there has been limited historical clinical trial experience for the development of products that utilize the adenovirus. Moreover, the design and conduct of our clinical trials differs from the design and conduct of previously conducted clinical trials in this area. In particular, regulatory authorities in the United States and in other jurisdictions, including Europe, have not issued definitive guidance as to how to measure and demonstrate efficacy in newly diagnosed localized prostate cancer in intermediate- to high-risk patients in combination with the standard of care (SoC). As a result, there is substantial risk that the design or outcomes of our clinical trials will not be satisfactory to support marketing approval. For example, the endpoint in our phase 3 clinical trial which investigated CAN-2409 in prostate cancer was a disease-free survival (DFS) endpoint. While this endpoint has not been utilized in prior trials, it was discussed and agreed by the FDA during the process resulting in the Special Protocol Assessment (SPA). The FDA may change its views on the clinical relevance of this endpoint because of evolving standards of care and contemporary disease management guidelines, or other emerging clinical or scientific information. However, even if this endpoint is accepted as a basis for approval in the United States, we cannot be certain that regulators outside of the United States will accept the endpoint or will not require us to conduct additional validation studies to support the suitability of such endpoints for approval in these jurisdictions.</w:t>
      </w:r>
    </w:p>
    <w:p>
      <w:pPr>
        <w:spacing w:after="0" w:line="73"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We are developing, and in the future may develop, other product candidates, in combination with other therapies, which exposes us to additional risks related to any prodrugs or any agents used in combination with our product candidates.</w:t>
      </w:r>
    </w:p>
    <w:p>
      <w:pPr>
        <w:spacing w:after="0" w:line="3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CAN-2409 product candidate is being developed to be used in combination with the prodrug valacyclovir, which is an oral small molecule drug marketed for treatment of herpes infections. In the future, we may develop other product candidates to be used with one or more currently approved other therapies. Even if any product candidate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76"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If the FDA or comparable foreign regulatory authorities revoke their approval of these other drugs or revoke their approval of, or if safety, efficacy, manufacturing or supply issues arise with, the drugs we choose to evaluate in combination with any product candidate we develop, we may be unable to obtain approval.</w:t>
      </w:r>
    </w:p>
    <w:p>
      <w:pPr>
        <w:spacing w:after="0" w:line="67"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may also evaluate our future product candidates in combination with one or more other cancer therapies that have not yet been approved for marketing by the FDA or comparable foreign regulatory authorities. We will not be able to market any product candidate we develop in combination with any such unapproved cancer therapies that do not ultimately obtain marketing approval. In addition, unapproved therapies face the same risks described with respect to our product candidates currently in development and clinical trials, including the potential for serious adverse effects, delays in their clinical trials and lack of FDA approval.</w:t>
      </w:r>
    </w:p>
    <w:p>
      <w:pPr>
        <w:spacing w:after="0" w:line="7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Negative developments in the field of immuno-oncology and, in particular, viral immunotherapy, could damage public perception of any of our product candidates and negatively affect our business.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8" w:name="page49"/>
    <w:bookmarkEnd w:id="48"/>
    <w:p>
      <w:pPr>
        <w:spacing w:after="0" w:line="235" w:lineRule="auto"/>
        <w:rPr>
          <w:sz w:val="20"/>
          <w:szCs w:val="20"/>
          <w:color w:val="auto"/>
        </w:rPr>
      </w:pPr>
      <w:r>
        <w:rPr>
          <w:rFonts w:ascii="Arial" w:cs="Arial" w:eastAsia="Arial" w:hAnsi="Arial"/>
          <w:sz w:val="17"/>
          <w:szCs w:val="17"/>
          <w:color w:val="auto"/>
        </w:rPr>
        <w:t>The commercial success of adenovirus- or HSV-based product candidates will depend in part on public acceptance of the use of immuno-oncology, and, in particular, viral immunotherapy. Adverse events in clinical trials of CAN-2409, CAN-3110 or any other adenovirus- or HSV-based product candidates which we may develop,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any adenovirus- or HSV-based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77"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Our product candidates consist of modified viruses. Adverse developments in clinical trials of other immunotherapy products based on viruses, like oncolytic viruses, may result in a disproportionately negative effect for our technologies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72"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and ultimately delay or prevent regulatory approval.</w:t>
      </w:r>
    </w:p>
    <w:p>
      <w:pPr>
        <w:spacing w:after="0" w:line="3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brain cancer for the development of CAN-3110, our ability to enroll eligible patients may be limited or enrollment may be slower than we anticipate due to the small eligible patient population. In addition, our ability to enroll patients may be delayed by any future public health crisis and we are unable to predict the full extent and scope of such delays.</w:t>
      </w:r>
    </w:p>
    <w:p>
      <w:pPr>
        <w:spacing w:after="0" w:line="76"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In addition to the potentially small target populations for our planned clinical trials, particularly in brain cancer, the eligibility criteria will further limit the pool of available trial participants as we will require that patients have specific characteristics, such as a certain severity or stage of disease progression, to include them in a trial. Additionally, the process of finding eligible patients may prove costly. We also may not be able to identify, recruit, and enroll a sufficient number of patients to complete our clinical trials because of the perceived risks and benefits of the product candidate under evaluation, the availability and efficacy of competing therapies and clinical trials, the proximity and availability of clinical trial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 The enrollment of patients further depends on many factors, including:</w:t>
      </w:r>
    </w:p>
    <w:p>
      <w:pPr>
        <w:spacing w:after="0" w:line="79"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proximity of patients to clinical trial sites;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patient referral practices of physicians;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design of the clinical trial, including the number of site visits and invasive assessments required;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patient consents;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reporting of the preliminary results of any of our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risk that patients enrolled in clinical trials will drop out of the clinical trials before clinical trial completion; and</w:t>
      </w:r>
    </w:p>
    <w:p>
      <w:pPr>
        <w:spacing w:after="0" w:line="114" w:lineRule="exact"/>
        <w:rPr>
          <w:rFonts w:ascii="Times New Roman" w:cs="Times New Roman" w:eastAsia="Times New Roman" w:hAnsi="Times New Roman"/>
          <w:sz w:val="17"/>
          <w:szCs w:val="17"/>
          <w:color w:val="auto"/>
        </w:rPr>
      </w:pPr>
    </w:p>
    <w:p>
      <w:pPr>
        <w:ind w:left="1020" w:right="480" w:hanging="503"/>
        <w:spacing w:after="0" w:line="266" w:lineRule="auto"/>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factors we may not be able to control, such as any future public health crisis, that may limit patient participation, hiring of principal investigators or staff or clinical site availability.</w:t>
      </w:r>
    </w:p>
    <w:p>
      <w:pPr>
        <w:spacing w:after="0" w:line="52" w:lineRule="exact"/>
        <w:rPr>
          <w:sz w:val="20"/>
          <w:szCs w:val="20"/>
          <w:color w:val="auto"/>
        </w:rPr>
      </w:pPr>
    </w:p>
    <w:p>
      <w:pPr>
        <w:ind w:right="580"/>
        <w:spacing w:after="0" w:line="267"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9" w:name="page50"/>
    <w:bookmarkEnd w:id="49"/>
    <w:p>
      <w:pPr>
        <w:spacing w:after="0" w:line="239" w:lineRule="auto"/>
        <w:rPr>
          <w:sz w:val="20"/>
          <w:szCs w:val="20"/>
          <w:color w:val="auto"/>
        </w:rPr>
      </w:pPr>
      <w:r>
        <w:rPr>
          <w:rFonts w:ascii="Arial" w:cs="Arial" w:eastAsia="Arial" w:hAnsi="Arial"/>
          <w:sz w:val="17"/>
          <w:szCs w:val="17"/>
          <w:color w:val="auto"/>
        </w:rPr>
        <w:t>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spacing w:after="0" w:line="74"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51" w:lineRule="exact"/>
        <w:rPr>
          <w:sz w:val="20"/>
          <w:szCs w:val="20"/>
          <w:color w:val="auto"/>
        </w:rPr>
      </w:pPr>
    </w:p>
    <w:p>
      <w:pPr>
        <w:ind w:right="420"/>
        <w:spacing w:after="0" w:line="280" w:lineRule="auto"/>
        <w:rPr>
          <w:sz w:val="20"/>
          <w:szCs w:val="20"/>
          <w:color w:val="auto"/>
        </w:rPr>
      </w:pPr>
      <w:r>
        <w:rPr>
          <w:rFonts w:ascii="Arial" w:cs="Arial" w:eastAsia="Arial" w:hAnsi="Arial"/>
          <w:sz w:val="17"/>
          <w:szCs w:val="17"/>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3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9" w:lineRule="exact"/>
        <w:rPr>
          <w:sz w:val="20"/>
          <w:szCs w:val="20"/>
          <w:color w:val="auto"/>
        </w:rPr>
      </w:pPr>
    </w:p>
    <w:p>
      <w:pPr>
        <w:ind w:left="1020" w:right="220" w:hanging="503"/>
        <w:spacing w:after="0" w:line="249" w:lineRule="auto"/>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to other available medicines;</w:t>
      </w:r>
    </w:p>
    <w:p>
      <w:pPr>
        <w:spacing w:after="0" w:line="65"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limitations or warnings contained in the labeling approved for our current or future product candidates by the FDA or other applicable regulatory authorities;</w:t>
      </w:r>
    </w:p>
    <w:p>
      <w:pPr>
        <w:spacing w:after="0" w:line="51"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adverse events associated with our product candidates or those products with which they may be co-administered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our current or future product candidates are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availability of alternative treatments already approved or expected to be commercially launched in the near future;</w:t>
      </w:r>
    </w:p>
    <w:p>
      <w:pPr>
        <w:spacing w:after="0" w:line="114" w:lineRule="exact"/>
        <w:rPr>
          <w:rFonts w:ascii="Times New Roman" w:cs="Times New Roman" w:eastAsia="Times New Roman" w:hAnsi="Times New Roman"/>
          <w:sz w:val="17"/>
          <w:szCs w:val="17"/>
          <w:color w:val="auto"/>
        </w:rPr>
      </w:pPr>
    </w:p>
    <w:p>
      <w:pPr>
        <w:ind w:left="1020" w:right="620" w:hanging="503"/>
        <w:spacing w:after="0" w:line="266" w:lineRule="auto"/>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our current or future product candidates over current treatment options or alternative treatments, including future alternative treatments;</w:t>
      </w:r>
    </w:p>
    <w:p>
      <w:pPr>
        <w:spacing w:after="0" w:line="51" w:lineRule="exact"/>
        <w:rPr>
          <w:rFonts w:ascii="Times New Roman" w:cs="Times New Roman" w:eastAsia="Times New Roman" w:hAnsi="Times New Roman"/>
          <w:sz w:val="17"/>
          <w:szCs w:val="17"/>
          <w:color w:val="auto"/>
        </w:rPr>
      </w:pPr>
    </w:p>
    <w:p>
      <w:pPr>
        <w:ind w:left="1020" w:right="660" w:hanging="503"/>
        <w:spacing w:after="0" w:line="266" w:lineRule="auto"/>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willingness of the target patient populations to try new therapies or treatment methods and of physicians to prescribe these therapies or methods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dose such product candidates in combination with other therapeutic agents, and related costs;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strength of marketing and distribution support and timing of market introduction of competitive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publicity concerning our products or competing products and treatments;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pricing and cost effectiveness;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strategies;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increase awareness of our current or future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sufficient third-party coverage or reimbursement;</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or willingness of patients to pay out-of-pocket in the absence of third-party coverage;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liability claims.</w:t>
      </w:r>
    </w:p>
    <w:p>
      <w:pPr>
        <w:spacing w:after="0" w:line="114"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72"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 candidates before or more successfully than we do.</w:t>
      </w:r>
    </w:p>
    <w:p>
      <w:pPr>
        <w:spacing w:after="0" w:line="3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from major pharmaceutical, specialty pharmaceutical and biotechnology companies among others with respect to CAN-2409 and CAN-3110</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0" w:name="page51"/>
    <w:bookmarkEnd w:id="50"/>
    <w:p>
      <w:pPr>
        <w:ind w:right="100"/>
        <w:spacing w:after="0" w:line="239" w:lineRule="auto"/>
        <w:rPr>
          <w:sz w:val="20"/>
          <w:szCs w:val="20"/>
          <w:color w:val="auto"/>
        </w:rPr>
      </w:pPr>
      <w:r>
        <w:rPr>
          <w:rFonts w:ascii="Arial" w:cs="Arial" w:eastAsia="Arial" w:hAnsi="Arial"/>
          <w:sz w:val="17"/>
          <w:szCs w:val="17"/>
          <w:color w:val="auto"/>
        </w:rPr>
        <w:t>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Novartis, Pfizer, Regeneron and Roche/Genentech.</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Replimune, TILT and ImmVira,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7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 and Commercialization of Our Product Candidates</w:t>
      </w:r>
    </w:p>
    <w:p>
      <w:pPr>
        <w:spacing w:after="0" w:line="10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5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These regulatory requirements may require us to amend our clinical trial protocols, including to comply with the protocols of any applicable SPA we receive from the FDA; conduct additional preclinical studies or clinical trials that may require regulatory or independent IRB approval; or otherwise cause delays in obtaining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7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For example, regulatory authorities may question the clinical relevance of data derived from our clinical trials because of evolving standards of care and contemporary disease management guidelines. It is possible that CAN-2409, CAN-3110 and future product candidates will never obtain the appropriate regulatory approvals necessary for us to commence product sales.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51" w:name="page52"/>
    <w:bookmarkEnd w:id="51"/>
    <w:p>
      <w:pPr>
        <w:ind w:right="200"/>
        <w:spacing w:after="0" w:line="244" w:lineRule="auto"/>
        <w:rPr>
          <w:sz w:val="20"/>
          <w:szCs w:val="20"/>
          <w:color w:val="auto"/>
        </w:rPr>
      </w:pPr>
      <w:r>
        <w:rPr>
          <w:rFonts w:ascii="Arial" w:cs="Arial" w:eastAsia="Arial" w:hAnsi="Arial"/>
          <w:sz w:val="17"/>
          <w:szCs w:val="17"/>
          <w:color w:val="auto"/>
        </w:rPr>
        <w:t>If we experience delays in obtaining approval, if we fail to obtain regulatory approval of CAN-2409, CAN-3110 or any future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6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CAN-2409, CAN-3110 or future product candidates may cause undesirable side effects or have other properties that could delay or prevent their regulatory approval, limit the commercial profile of an approved label, or result in significant negative consequences following marketing approval, if any. Serious adverse events or undesirable side effects caused by CAN-2409, CAN-3110 and future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or if the FDA has a different interpretation of the safety data from our clinical trials than we do,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For example, patients enrolled in our ongoing clinical trials of CAN-2409 and CAN-3110 have experienced mild to moderate adverse events, consisting mainly of flu-like symptoms and injection site reactions. In response to these adverse events, we have implemented prophylactic measures, including intravenous fluids, antiemetics and antipyretics. The FDA’s or a comparable foreign regulatory authority’s requests for additional data or information could also result in substantial delays in the approval of CAN-2409, CAN-3110 and future product candidates.</w:t>
      </w:r>
    </w:p>
    <w:p>
      <w:pPr>
        <w:spacing w:after="0" w:line="8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a product candidate may only be uncovered when a significantly larger number of patients are exposed to the product candidate or when patients are exposed for a longer period of time.</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Undesirable side effects caused by CAN-2409, CAN-3110 or any future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the submission of a Risk Evaluation and Mitigation Strategy (REMS) to monitor the safety or efficacy of the products, and in turn prevent us from commercializing and generating revenues from the sale of CAN-2409, CAN-3110 and future product candidates. Any such limitations or restrictions could similarly impact any supplemental marketing approvals we may obtain for CAN-2409 and CAN-3110. Undesirable side effects may limit the potential market for any approved products or could result in restrictions on manufacturing processes, the discontinuation of the sales and marketing of the product, or withdrawal of product approvals. We could also be sued and held liable for harm caused to patients, or become subject to fines, injunctions or the imposition of civil or criminal penalties.</w:t>
      </w:r>
    </w:p>
    <w:p>
      <w:pPr>
        <w:spacing w:after="0" w:line="75"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If CAN-2409, CAN-3110 and future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72"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The FDA’s agreement to a Special Protocol Assessment with respect to the study design of our pivotal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obtained agreement from the FDA on the design and size of our pivotal phase 3 clinical trial of CAN-2409 in newly diagnosed localized prostate cancer in intermediate- and high-risk patients in combination with the SoC through a SPA.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 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2" w:name="page53"/>
    <w:bookmarkEnd w:id="52"/>
    <w:p>
      <w:pPr>
        <w:ind w:right="60"/>
        <w:spacing w:after="0" w:line="238" w:lineRule="auto"/>
        <w:rPr>
          <w:sz w:val="20"/>
          <w:szCs w:val="20"/>
          <w:color w:val="auto"/>
        </w:rPr>
      </w:pPr>
      <w:r>
        <w:rPr>
          <w:rFonts w:ascii="Arial" w:cs="Arial" w:eastAsia="Arial" w:hAnsi="Arial"/>
          <w:sz w:val="17"/>
          <w:szCs w:val="17"/>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 While we have obtained an SPA agreement for our phase 3 clinical trial, we subsequently made minor changes to the protocol to include the use of hypofractionated radiotherapy. This change in the protocol was not considered an amendment to the SPA by the FDA.</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 For example, the FDA may change its views on a SPA agreement based on factors such as data that would call into question the clinical relevance of previously agreed-upon efficacy endpoints, identification of safety concerns related to a product or its pharmacologic class, or paradigm shifts in disease diagnosis or management.</w:t>
      </w:r>
    </w:p>
    <w:p>
      <w:pPr>
        <w:spacing w:after="0" w:line="74"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Moreover, if the FDA revokes or alters its agreement under the SPA, or interprets the data collected from the clinical trial differently than we do, the FDA may not deem the data sufficient to support an application for regulatory approval of CAN-2409 in prostate cancer.</w:t>
      </w:r>
    </w:p>
    <w:p>
      <w:pPr>
        <w:spacing w:after="0" w:line="51"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b w:val="1"/>
          <w:bCs w:val="1"/>
          <w:i w:val="1"/>
          <w:iCs w:val="1"/>
          <w:color w:val="auto"/>
        </w:rPr>
        <w:t>A Fast Track Designation by the FDA, even though granted for some indications for CAN-2409 and CAN-3110, or if received for any other future product candidates, may not lead to a faster development or regulatory review or approval process, and does not increase the likelihood that our product candidates will receive marketing approval for the designated indications.</w:t>
      </w:r>
    </w:p>
    <w:p>
      <w:pPr>
        <w:spacing w:after="0" w:line="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have been granted Fast Track Designation for the use of CAN-2409 for: (1) the treatment of localized, primary prostate cancer in combination with radiation therapy to improve the local control rate; (2) with valacyclovir in combination with pembrolizumab in order to improve survival or delay progression in patients with stage III/IV NSCLC who are resistant to first line PD-(L)1 inhibitor therapy and who do not have activating molecular driver mutations; and (3) with prodrug (valacyclovir) for the treatment of patients with pancreatic ductal adenocarcinoma (PDAC) to improve overall survival. CAN-3110 was also granted Fast Track Designation for the treatment of patients with recurrent HGG to improve overall survival. We may also seek Fast Track Designation for certain of our future product candidates in specific indications, as appropriate. However, there is no assurance that the FDA will grant this status to our proposed product candidates. Marketing applications filed by sponsors of products with Fast Track Designation are eligible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though we have received Fast Track Designation for CAN-2409 and CAN-3110 or even if we receive Fast Track Designation for our future additional indications for CAN-2409 and CAN-3110, we may not experience a faster development process, review or approval compared to conventional FDA procedures, and receiving a Fast Track Designation does not provide assurance of ultimate FDA approval. In addition, the FDA may withdraw Fast Track Designation at any time if it believes that the designation is no longer supported by data from our clinical development program. Drugs and biologics for indications designated as Fast Track therapies by the FDA may also be eligible for other expedited programs, including accelerated approval.</w:t>
      </w:r>
    </w:p>
    <w:p>
      <w:pPr>
        <w:spacing w:after="0" w:line="79"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A Breakthrough Therapy Designation by the FDA, even if granted for some indications of our product candidates, may not lead to a faster development or regulatory review or approval process and it does not increase the likelihood that our product candidates will receive marketing approval for the designated indications.</w:t>
      </w:r>
    </w:p>
    <w:p>
      <w:pPr>
        <w:spacing w:after="0" w:line="4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for indications designated as Breakthrough Therapies by the FDA may also be eligible for other expedited approval programs, including accelerated approval.</w:t>
      </w:r>
    </w:p>
    <w:p>
      <w:pPr>
        <w:spacing w:after="0" w:line="7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Designation as a Breakthrough Therapy is within the discretion of the FDA, and the FDA has not granted Breakthrough Therapy Designation to any of our product candidates. In any event, the receipt of a Breakthrough Therapy Designation for a product candidate may not result in a faster development process, review or approval compared to product candidates developed and considered for approval that have not received Breakthrough Therapy Designation and does not assure ultimate approval by the FDA. In addition, the FDA may withdraw Breakthrough Therapy Designation at any time if it believes that the designation is no</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3" w:name="page54"/>
    <w:bookmarkEnd w:id="53"/>
    <w:p>
      <w:pPr>
        <w:ind w:right="400"/>
        <w:spacing w:after="0" w:line="267" w:lineRule="auto"/>
        <w:rPr>
          <w:sz w:val="20"/>
          <w:szCs w:val="20"/>
          <w:color w:val="auto"/>
        </w:rPr>
      </w:pPr>
      <w:r>
        <w:rPr>
          <w:rFonts w:ascii="Arial" w:cs="Arial" w:eastAsia="Arial" w:hAnsi="Arial"/>
          <w:sz w:val="17"/>
          <w:szCs w:val="17"/>
          <w:color w:val="auto"/>
        </w:rPr>
        <w:t>longer supported by data from our clinical development program. In addition, even if one or more of our product candidate indications qualify as Breakthrough Therapies, the FDA may later decide that the product no longer meets the conditions for qualification.</w:t>
      </w:r>
    </w:p>
    <w:p>
      <w:pPr>
        <w:spacing w:after="0" w:line="51"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We have received Orphan Drug Designation from the FDA and the EMA for CAN-2409 for the treatment of pancreatic cancer and for CAN-3110 for the treatment of recurrent HGG. We may seek Orphan Drug Designation from regulatory authorities in other jurisdictions for CAN-2409 and CAN-3110, and we may seek Orphan Drug Designation for our other product candidates. In any of these instances, we may not receive the requested designation or we may be unable to realize the benefits associated with Orphan Drug Designation, including the potential for market exclusivity.</w:t>
      </w:r>
    </w:p>
    <w:p>
      <w:pPr>
        <w:spacing w:after="0" w:line="5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have received Orphan Drug Designation from the FDA and the EMA for CAN-2409 for the treatment of pancreatic cancer and for CAN-3110 for the treatment of recurrent HGG. Even if CAN-2409 or CAN-3110 were to obtain orphan drug exclusivity for this use upon marketing approval by the FDA, the benefit of that exclusivity may be revoked if the approval is in an indication that is broader than the orphan-designated indication, or exclusivity could be revoked under certain circumstances, for example if the FDA later determines that the request for designation was materially defective or if the sponsor is unable to assure sufficient quantities of the product to meet the needs of patients with the rare disease or condition. Further, orphan drug exclusivity may not effectively protect the product from competition during the exclusivity period because different drugs with different active moieties can be approved for the same condition, and the same product can be approved for different uses. Also, the FDA may grant approval to the same drug for the same orphan indication if the second applicant can establish in its application that its product is safer, more effective or otherwise clinically superior to the previously approved product, or if the application holder of the previously approved product consents.</w:t>
      </w:r>
    </w:p>
    <w:p>
      <w:pPr>
        <w:spacing w:after="0" w:line="79"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b w:val="1"/>
          <w:bCs w:val="1"/>
          <w:i w:val="1"/>
          <w:iCs w:val="1"/>
          <w:color w:val="auto"/>
        </w:rPr>
        <w:t>*We have received Regenerative Medicine Advanced Therapy Designation from the FDA for CAN-2409 for the treatment of newly diagnosed localized prostate cancer in patients with intermediate-to-high-risk disease. This may not lead to a faster development or regulatory review or approval process, and does not increase the likelihood that CAN-2409, or any other product candidates that receive such designation, will receive marketing approval for the designated indications.</w:t>
      </w:r>
    </w:p>
    <w:p>
      <w:pPr>
        <w:spacing w:after="0" w:line="5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have received Regenerative Medicine Advanced Therapy (RMAT) Designation for CAN-2409 for the treatment of newly diagnosed localized prostate cancer in patients with intermediate-to-high-risk disease. We may also seek RMAT Designation for certain of our future product candidates in specific indications, as appropriate. However, there is no assurance that the FDA will grant this status to our proposed product candidates. The features of RMAT Designation include all of the features of Breakthrough Therapy Designation, including early interactions to discuss potential surrogate or intermediate endpoints. Marketing applications filed by sponsors of products with RMAT Designation may be eligible for accelerated approval, but RMAT Designation does not assure eligibility for accelerated approval, nor does it assure a faster development process or ultimate marketing approval by the FDA. The FDA has broad discretion whether or not to grant RMAT Designation, so even if we believe a particular product candidate is eligible for this designation, there can be no assurance that the FDA would decide to grant it. In addition, the FDA may withdraw RMAT Designation at any time if it believes the designation is no longer supported.</w:t>
      </w:r>
    </w:p>
    <w:p>
      <w:pPr>
        <w:spacing w:after="0" w:line="79" w:lineRule="exact"/>
        <w:rPr>
          <w:sz w:val="20"/>
          <w:szCs w:val="20"/>
          <w:color w:val="auto"/>
        </w:rPr>
      </w:pPr>
    </w:p>
    <w:p>
      <w:pPr>
        <w:ind w:right="380"/>
        <w:spacing w:after="0" w:line="256" w:lineRule="auto"/>
        <w:rPr>
          <w:sz w:val="20"/>
          <w:szCs w:val="20"/>
          <w:color w:val="auto"/>
        </w:rPr>
      </w:pPr>
      <w:r>
        <w:rPr>
          <w:rFonts w:ascii="Arial" w:cs="Arial" w:eastAsia="Arial" w:hAnsi="Arial"/>
          <w:sz w:val="17"/>
          <w:szCs w:val="17"/>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by the sponsor and, under the Food and Drug Omnibus Reform Act of 2022 (FDORA), the FDA is permitted to require that such trials be underway prior to approval or within a specified time period after the date accelerated approval is granted. FDORA also requires sponsors to send updates to the FDA every 180 days on the status of such confirmatory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that the product's accelerated approval will eventually be converted to a traditional FDA approval.</w:t>
      </w:r>
    </w:p>
    <w:p>
      <w:pPr>
        <w:spacing w:after="0" w:line="83" w:lineRule="exact"/>
        <w:rPr>
          <w:sz w:val="20"/>
          <w:szCs w:val="20"/>
          <w:color w:val="auto"/>
        </w:rPr>
      </w:pPr>
    </w:p>
    <w:p>
      <w:pPr>
        <w:ind w:right="440"/>
        <w:spacing w:after="0" w:line="280" w:lineRule="auto"/>
        <w:rPr>
          <w:sz w:val="20"/>
          <w:szCs w:val="20"/>
          <w:color w:val="auto"/>
        </w:rPr>
      </w:pPr>
      <w:r>
        <w:rPr>
          <w:rFonts w:ascii="Arial" w:cs="Arial" w:eastAsia="Arial" w:hAnsi="Arial"/>
          <w:sz w:val="17"/>
          <w:szCs w:val="17"/>
          <w:b w:val="1"/>
          <w:bCs w:val="1"/>
          <w:i w:val="1"/>
          <w:iCs w:val="1"/>
          <w:color w:val="auto"/>
        </w:rPr>
        <w:t>Even if our development efforts are successful, we may not obtain regulatory approval of CAN-2409, CAN-3110 or any future product candidates in the United States or other jurisdictions, which would prevent us from commercializing</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4" w:name="page55"/>
    <w:bookmarkEnd w:id="54"/>
    <w:p>
      <w:pPr>
        <w:jc w:val="both"/>
        <w:ind w:right="260"/>
        <w:spacing w:after="0" w:line="256" w:lineRule="auto"/>
        <w:rPr>
          <w:sz w:val="20"/>
          <w:szCs w:val="20"/>
          <w:color w:val="auto"/>
        </w:rPr>
      </w:pPr>
      <w:r>
        <w:rPr>
          <w:rFonts w:ascii="Arial" w:cs="Arial" w:eastAsia="Arial" w:hAnsi="Arial"/>
          <w:sz w:val="17"/>
          <w:szCs w:val="17"/>
          <w:b w:val="1"/>
          <w:bCs w:val="1"/>
          <w:i w:val="1"/>
          <w:iCs w:val="1"/>
          <w:color w:val="auto"/>
        </w:rPr>
        <w:t>CAN-2409, CAN-3110 and future product candidates. Even if we obtain regulatory approval for CAN-2409, CAN-3110 and future product candidates, any such approval may be subject to limitations, including with respect to the approved indications or patient populations, which could impair our ability to successfully commercialize CAN-2409, CAN-3110 or any future product candidates.</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not permitted to market or promote or sell CAN-2409, CAN-3110 or any future product candidates before we receive regulatory approval from the FDA or comparable foreign regulatory authorities, and we may never receive such regulatory approval.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CAN-2409, CAN-3110 and future product candidates, we will not be able to commercialize such product candidates in the United States or in other jurisdictions. If significant delays in obtaining approval for and commercializing CAN-2409, CAN-3110 and future product candidates occur in any jurisdictions, our business, financial condition, results of operations, stock price and prospects will be materially harmed. Even if CAN-2409, CAN-3110 and future product candidates are approved, they may:</w:t>
      </w:r>
    </w:p>
    <w:p>
      <w:pPr>
        <w:spacing w:after="0" w:line="76" w:lineRule="exact"/>
        <w:rPr>
          <w:sz w:val="20"/>
          <w:szCs w:val="20"/>
          <w:color w:val="auto"/>
        </w:rPr>
      </w:pPr>
    </w:p>
    <w:p>
      <w:pPr>
        <w:ind w:left="1020" w:right="120" w:hanging="503"/>
        <w:spacing w:after="0" w:line="266" w:lineRule="auto"/>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be subject to limitations on the indicated uses or patient populations for which they may be marketed, distribution restrictions, or other conditions of approval;</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not be approved with label statements necessary or desirable for successful commercialization; or</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contain requirements for costly post-market testing and surveillance, or other requirements, including the submission of a REMS, to monitor the safety or efficacy of the products.</w:t>
      </w:r>
    </w:p>
    <w:p>
      <w:pPr>
        <w:spacing w:after="0" w:line="5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We have not previously submitted a Biologics License Application (BLA), to the FDA, or a similar marketing application to comparable foreign regulatory authorities, for CAN-2409, CAN-3110 or any product candidate, and we can provide no assurance that we will ultimately be successful in obtaining regulatory approval for claims that are necessary or desirable for successful marketing, if at all.</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product candidate manufacturing or formulation may result in additional costs or delay.</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CAN-2409, CAN-3110 or any future product candidates to perform differently and affect the results of planned clinical trials or other future clinical trials conducted with the altered materials. Changes in third-party manufacturers and manufacturing processes may also require additional testing, or notification to, or approval by the FDA or a comparable foreign regulatory authority. Such changes could be further delayed due to development of clinical-scale manufacturing and commercial-scale manufacturing operations. This could delay completion of clinical trials, require the conduct of bridging clinical trials or studies, require the repetition of one or more clinical trials, increase clinical trial costs, delay approval of CAN-2409, CAN-3110 and future product candidates and jeopardize our ability to commence product sales and generate revenue.</w:t>
      </w:r>
    </w:p>
    <w:p>
      <w:pPr>
        <w:spacing w:after="0" w:line="79"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personnel, and substantial changes in leadership, personnel, and policy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Currently, federal agencies in the United States are operating under a continuing resolution that is set to expire on September 30, 2025. Without appropriation of additional funding to federal agencies, our business operations related to our product development for the U.S. market could be impacted. 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The Trump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the SEC and other agencies.</w:t>
      </w:r>
    </w:p>
    <w:p>
      <w:pPr>
        <w:spacing w:after="0" w:line="7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5" w:name="page56"/>
    <w:bookmarkEnd w:id="55"/>
    <w:p>
      <w:pPr>
        <w:spacing w:after="0" w:line="235" w:lineRule="auto"/>
        <w:rPr>
          <w:sz w:val="20"/>
          <w:szCs w:val="20"/>
          <w:color w:val="auto"/>
        </w:rPr>
      </w:pPr>
      <w:r>
        <w:rPr>
          <w:rFonts w:ascii="Arial" w:cs="Arial" w:eastAsia="Arial" w:hAnsi="Arial"/>
          <w:sz w:val="17"/>
          <w:szCs w:val="17"/>
          <w:color w:val="auto"/>
        </w:rPr>
        <w:t>Disruptions at the FDA and other agencies, including substantial leadership, personnel, and policy changes, may also slow the time necessary for new product candidates to be reviewed and/or approved by necessary government agencies, which would adversely affect our business. For example, over the last several years the U.S. federal government has shut down several times and certain regulatory agencies, such as the FDA and the SEC, have had to furlough critical FDA, SEC and other government employees and stop critical activities. If a prolonged government shutdown or substantial leadership, personnel, and policy changes occur, it could significantly impact the ability of the FDA to timely review and process our regulatory submissions, which could have a material adverse effect on our business. A potential U.S. federal government shutdown may also increase uncertainty and volatility in the global economy and financial markets, which could negatively impact our business. Further, future government shutdowns could impact our ability to access the public markets and obtain necessary capital in order to properly capitalize and continue our operations. Such changes could significantly impact the ability of the FDA to timely review and take action on our regulatory submissions, which could have a material adverse effect on our business. Further, in our operations as a public company, future government shutdowns or substantial leadership, personnel, and policy changes could impact our ability to access the public markets and obtain necessary capital in order to properly capitalize and continue our operations.</w:t>
      </w:r>
    </w:p>
    <w:p>
      <w:pPr>
        <w:spacing w:after="0" w:line="7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With the change in the U.S. presidential administration in 2025, there is substantial uncertainty as to whether and how the new administration will seek to modify or revise the requirements and policies of the FDA and other regulatory agencies with jurisdiction over our product candidates. This uncertainty could present new challenges and/or opportunities as we navigate development of our product candidates. Any delay in obtaining, or our inability to obtain, applicable regulatory approvals would delay or prevent development and commercialization of our product candidates and could materially adversely impact our business and prospects.</w:t>
      </w:r>
    </w:p>
    <w:p>
      <w:pPr>
        <w:spacing w:after="0" w:line="72" w:lineRule="exact"/>
        <w:rPr>
          <w:sz w:val="20"/>
          <w:szCs w:val="20"/>
          <w:color w:val="auto"/>
        </w:rPr>
      </w:pPr>
    </w:p>
    <w:p>
      <w:pPr>
        <w:jc w:val="both"/>
        <w:ind w:right="120"/>
        <w:spacing w:after="0" w:line="280" w:lineRule="auto"/>
        <w:rPr>
          <w:sz w:val="20"/>
          <w:szCs w:val="20"/>
          <w:color w:val="auto"/>
        </w:rPr>
      </w:pPr>
      <w:r>
        <w:rPr>
          <w:rFonts w:ascii="Arial" w:cs="Arial" w:eastAsia="Arial" w:hAnsi="Arial"/>
          <w:sz w:val="17"/>
          <w:szCs w:val="17"/>
          <w:b w:val="1"/>
          <w:bCs w:val="1"/>
          <w:i w:val="1"/>
          <w:iCs w:val="1"/>
          <w:color w:val="auto"/>
        </w:rPr>
        <w:t>Even if CAN-2409, CAN-3110 or any future product candidates receive regulatory approval, we will be subject to ongoing obligations and continued regulatory review, which may result in significant additional expense and limit how we manufacture and market our products.</w:t>
      </w:r>
    </w:p>
    <w:p>
      <w:pPr>
        <w:spacing w:after="0" w:line="3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Any product candidate for which we may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(cGMP), requirements relating to manufacturing, quality control, quality assurance, and corresponding maintenance of records and documents, and good clinical practices (GCPs), for any clinical trials that we conduct post-approval. For certain commercial prescription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spacing w:after="0" w:line="7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CAN-2409, CAN-3110 and future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and any of our suppliers or collaborators, including our CDMOs, could be subject to periodic unannounced inspections by the FDA to monitor and ensure compliance with cGMPs and other FDA regulatory requirements.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Application holders must further notify the FDA, and depending on the nature of the change, obtain FDA pre-approval for product and manufacturing changes.</w:t>
      </w:r>
    </w:p>
    <w:p>
      <w:pPr>
        <w:spacing w:after="0" w:line="7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addition, later discovery of previously unknown adverse events or that the product is less effective than previously thought or other problems with any products, manufacturers or manufacturing processes, or failure to comply with regulatory requirements both before and after approval, may yield various negative results, including:</w:t>
      </w:r>
    </w:p>
    <w:p>
      <w:pPr>
        <w:spacing w:after="0" w:line="67"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manufacturing, distribution, or marketing of such products;</w:t>
      </w:r>
    </w:p>
    <w:p>
      <w:pPr>
        <w:spacing w:after="0" w:line="114"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the labeling, including required additional warnings, such as boxed warnings, contraindications, precautions, and restrictions on the approved indication or use;</w:t>
      </w:r>
    </w:p>
    <w:p>
      <w:pPr>
        <w:spacing w:after="0" w:line="51" w:lineRule="exact"/>
        <w:rPr>
          <w:rFonts w:ascii="Times New Roman" w:cs="Times New Roman" w:eastAsia="Times New Roman" w:hAnsi="Times New Roman"/>
          <w:sz w:val="17"/>
          <w:szCs w:val="17"/>
          <w:color w:val="auto"/>
        </w:rPr>
      </w:pPr>
    </w:p>
    <w:p>
      <w:pPr>
        <w:ind w:left="1020" w:right="900" w:hanging="503"/>
        <w:spacing w:after="0" w:line="266" w:lineRule="auto"/>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manufacturing delays and supply disruptions where regulatory inspections identify observations of noncompliance requiring remediation;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6" w:name="page57"/>
    <w:bookmarkEnd w:id="56"/>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modifications to promotional pieces;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issuance of corrective information;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conduct post-marketing studies or other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clinical holds or termination of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establish or modify a REMS or similar strategy;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changes to the way the product is administered to patients;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liability for harm caused to patients or subjects;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reputational harm;</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product becoming less competitive;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warning or untitled letters;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of marketing or withdrawal of the products from the market;</w:t>
      </w:r>
    </w:p>
    <w:p>
      <w:pPr>
        <w:spacing w:after="0" w:line="114" w:lineRule="exact"/>
        <w:rPr>
          <w:rFonts w:ascii="Times New Roman" w:cs="Times New Roman" w:eastAsia="Times New Roman" w:hAnsi="Times New Roman"/>
          <w:sz w:val="17"/>
          <w:szCs w:val="17"/>
          <w:color w:val="auto"/>
        </w:rPr>
      </w:pPr>
    </w:p>
    <w:p>
      <w:pPr>
        <w:ind w:left="1020" w:right="340" w:hanging="503"/>
        <w:spacing w:after="0" w:line="266" w:lineRule="auto"/>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product;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recalls of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fines, restitution or disgorgement of profits or revenues;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or withdrawal of marketing approvals;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permit the import or export of our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product seizure or detention;</w:t>
      </w:r>
    </w:p>
    <w:p>
      <w:pPr>
        <w:spacing w:after="0" w:line="114"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injunctions or the imposition of civil, criminal or administrative penalties, including imprisonment.</w:t>
      </w:r>
    </w:p>
    <w:p>
      <w:pPr>
        <w:spacing w:after="0" w:line="11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Any of these events could prevent us from achieving or maintaining market acceptance of any particular product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69"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Further, the FDA’s policies or those of comparable foreign regulatory authorities may change and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 which would adversely affect our business, prospects and ability to achieve or sustain profitability.</w:t>
      </w:r>
    </w:p>
    <w:p>
      <w:pPr>
        <w:spacing w:after="0" w:line="72"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56"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the Office of Inspector General for the Department of Health and Human Services (HHS),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CAN-2409, CAN-3110 and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any products, including claims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7" w:name="page58"/>
    <w:bookmarkEnd w:id="57"/>
    <w:p>
      <w:pPr>
        <w:ind w:right="300"/>
        <w:spacing w:after="0" w:line="267" w:lineRule="auto"/>
        <w:rPr>
          <w:sz w:val="20"/>
          <w:szCs w:val="20"/>
          <w:color w:val="auto"/>
        </w:rPr>
      </w:pPr>
      <w:r>
        <w:rPr>
          <w:rFonts w:ascii="Arial" w:cs="Arial" w:eastAsia="Arial" w:hAnsi="Arial"/>
          <w:sz w:val="17"/>
          <w:szCs w:val="17"/>
          <w:color w:val="auto"/>
        </w:rPr>
        <w:t>comparing those products to other companies’ products, and must abide by the FDA’s strict requirements regarding the content of promotion and advertising.</w:t>
      </w:r>
    </w:p>
    <w:p>
      <w:pPr>
        <w:spacing w:after="0" w:line="5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Physicians may choose to prescribe products for uses that are not described in the product’s labeling and for uses that differ from those tested in clinical trials and approved by the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6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If we are found to have impermissibly promoted any of CAN-2409, CAN-3110 and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In the United States, engaging in the impermissible promotion of any products,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7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the United States, the promotion of biopharmaceutical products is subject to additional FDA requirements and restrictions on promotional statements. If, after CAN-2409, CAN-3110 or any future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76"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We may not be able to file INDs or IND amendments to commence additional clinical trials on the timelines we expect, and even if we are able to, the FDA or a comparable foreign regulatory authority may not permit us to proceed.</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or comparable foreign regulatory authorities may require us to file separate INDs for additional clinical trials we plan to conduct with our current most advanced product candidates, CAN-2409 and CAN-3110. We may not be able to file any additional INDs required for our current product candidates and any future product candidates on the timelines we expect. For example, we may experience delays if we are unable to access earlier data from inactive or withdrawn INDs. Moreover, we cannot be sure that submission of an IND will result in the FDA or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expected timelines to obtain regulatory approvals for our trials may prevent us from completing our clinical trials or commercializing our products on a timely basis, if at all. There are similar risks related to the review and authorization of our protocols and amendments by comparable foreign regulatory authorities.</w:t>
      </w:r>
    </w:p>
    <w:p>
      <w:pPr>
        <w:spacing w:after="0" w:line="76"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If approved, our investigational products regulated as biologics may face competition from biosimilars approved through an abbreviated regulatory pathway.</w:t>
      </w:r>
    </w:p>
    <w:p>
      <w:pPr>
        <w:spacing w:after="0" w:line="30" w:lineRule="exact"/>
        <w:rPr>
          <w:sz w:val="20"/>
          <w:szCs w:val="20"/>
          <w:color w:val="auto"/>
        </w:rPr>
      </w:pPr>
    </w:p>
    <w:p>
      <w:pPr>
        <w:jc w:val="both"/>
        <w:ind w:right="240"/>
        <w:spacing w:after="0" w:line="244"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 products that are biosimilar to or interchangeable with an FDA-licensed reference biologic product. Under the BPCIA, an application for a biosimilar product may not be submitted to the FDA until four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8" w:name="page59"/>
    <w:bookmarkEnd w:id="58"/>
    <w:p>
      <w:pPr>
        <w:ind w:right="80"/>
        <w:spacing w:after="0" w:line="239" w:lineRule="auto"/>
        <w:rPr>
          <w:sz w:val="20"/>
          <w:szCs w:val="20"/>
          <w:color w:val="auto"/>
        </w:rPr>
      </w:pPr>
      <w:r>
        <w:rPr>
          <w:rFonts w:ascii="Arial" w:cs="Arial" w:eastAsia="Arial" w:hAnsi="Arial"/>
          <w:sz w:val="17"/>
          <w:szCs w:val="17"/>
          <w:color w:val="auto"/>
        </w:rPr>
        <w:t>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believe that any of our product candidates approved as a biologic product under a BLA should qualify for the 12-year period of exclusivity. However, there is a risk that this exclusivity could be shortened or unavailable due to congressional action, a determination that approval of one of our candidates does not constitute “first licensure” or otherwise, or that the FDA will not consider our investigational medicines to be reference products for competing products, potentially creating the opportunity for generic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7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5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The size of the potential market for our product candidates is difficult to estimate and, if any of our assumptions are inaccurate, the actual markets for our product candidates may be smaller than our estimates.</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current and future target patient populations are based on our beliefs and estimates regarding the incidence or prevalence of certain types of the indications that may be addressable by our product candidates, which is derived from a variety of sources, including scientific literature and surveys of clinics. Our projections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Further, the market opportunity for viral immunotherapies is hard to estimate given that it is an emerging field with few globally or FDA-approved therapies, none of which have yet to enjoy broad market acceptance. Even if we obtain significant market share for our product candidates, because the potential target populations could be small, we may never achieve profitability without obtaining regulatory approval for additional indications.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 may have a material adverse effect on our business and results of operations.</w:t>
      </w:r>
    </w:p>
    <w:p>
      <w:pPr>
        <w:spacing w:after="0" w:line="10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Among policy-makers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For more information on healthcare laws and regulations that may impact our company, see “</w:t>
      </w:r>
      <w:r>
        <w:rPr>
          <w:rFonts w:ascii="Arial" w:cs="Arial" w:eastAsia="Arial" w:hAnsi="Arial"/>
          <w:sz w:val="17"/>
          <w:szCs w:val="17"/>
          <w:i w:val="1"/>
          <w:iCs w:val="1"/>
          <w:color w:val="auto"/>
        </w:rPr>
        <w:t>Business – Health Reform</w:t>
      </w:r>
      <w:r>
        <w:rPr>
          <w:rFonts w:ascii="Arial" w:cs="Arial" w:eastAsia="Arial" w:hAnsi="Arial"/>
          <w:sz w:val="17"/>
          <w:szCs w:val="17"/>
          <w:color w:val="auto"/>
        </w:rPr>
        <w:t>” in our Annual Report on Form 10-K for the year ended December 31, 2024.</w:t>
      </w:r>
    </w:p>
    <w:p>
      <w:pPr>
        <w:spacing w:after="0" w:line="7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continuing efforts of the government, insurance companies, managed care organizations and other payers of healthcare services to contain or reduce costs of healthcare may adversely affect:</w:t>
      </w:r>
    </w:p>
    <w:p>
      <w:pPr>
        <w:spacing w:after="0" w:line="51"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demand for any of our product candidates, if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to set a price that we believe is fair for any of our product candidates, if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generate revenues and achieve or maintain profitability;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taxes that we are required to pay;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capital.</w:t>
      </w:r>
    </w:p>
    <w:p>
      <w:pPr>
        <w:spacing w:after="0" w:line="114"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9" w:name="page60"/>
    <w:bookmarkEnd w:id="59"/>
    <w:p>
      <w:pPr>
        <w:ind w:right="200"/>
        <w:spacing w:after="0" w:line="244"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w:t>
      </w:r>
    </w:p>
    <w:p>
      <w:pPr>
        <w:spacing w:after="0" w:line="6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7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drug pricing practices, which has resulted in several U.S. Congressional inquiries and federal and state legislation designed to, among other things, bring more transparency to drug pricing, reduce the cost of prescription drugs, and review the relationship between pricing and manufacturer patient programs. The Inflation Reduction Act of 2022 (the IRA), for example, includes several provisions that may impact our business to varying degrees, including provisions that reduce the 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One Big Beautiful Bill Act of 2025 (the OBBBA), this restriction was eliminated; and effective for the 2028 initial price applicability year, all orphan drugs, regardless of the number of orphan designations or indications, are exempt from the Medicare drug price negotiation program. The effects of the IRA on our business and the healthcare industry in general is not yet known.</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4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do not currently have a sales or marketing infrastructure and have limited experience in the sales, marketing, patient support or distribution of products.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7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0" w:name="page61"/>
    <w:bookmarkEnd w:id="60"/>
    <w:p>
      <w:pPr>
        <w:ind w:right="20"/>
        <w:spacing w:after="0" w:line="267" w:lineRule="auto"/>
        <w:rPr>
          <w:sz w:val="20"/>
          <w:szCs w:val="20"/>
          <w:color w:val="auto"/>
        </w:rPr>
      </w:pPr>
      <w:r>
        <w:rPr>
          <w:rFonts w:ascii="Arial" w:cs="Arial" w:eastAsia="Arial" w:hAnsi="Arial"/>
          <w:sz w:val="17"/>
          <w:szCs w:val="17"/>
          <w:color w:val="auto"/>
        </w:rPr>
        <w:t>unnecessarily incurred these commercialization expenses. This may be costly, and our investment would be lost if we cannot retain or reposition our sales and marketing personnel.</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commercialize our current or future product candidates on our own include:</w:t>
      </w:r>
    </w:p>
    <w:p>
      <w:pPr>
        <w:spacing w:after="0" w:line="102"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of sales personnel to obtain access to physicians or persuade adequate numbers of physicians to use any future products;</w:t>
      </w:r>
    </w:p>
    <w:p>
      <w:pPr>
        <w:spacing w:after="0" w:line="114" w:lineRule="exact"/>
        <w:rPr>
          <w:rFonts w:ascii="Times New Roman" w:cs="Times New Roman" w:eastAsia="Times New Roman" w:hAnsi="Times New Roman"/>
          <w:sz w:val="17"/>
          <w:szCs w:val="17"/>
          <w:color w:val="auto"/>
        </w:rPr>
      </w:pPr>
    </w:p>
    <w:p>
      <w:pPr>
        <w:ind w:left="1020" w:right="500" w:hanging="503"/>
        <w:spacing w:after="0" w:line="266" w:lineRule="auto"/>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14"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76"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30"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Even if our product candidates receive regulatory approval, they may not gain market acceptance among physicians, patients, healthcare payors, and others in the medical community. Commercial success also will depend, in large part, on the coverage and reimbursement of our product candidates by third-party payors, including private insurance providers and government payors. For more information on healthcare laws and regulations that may impact our company, see “</w:t>
      </w:r>
      <w:r>
        <w:rPr>
          <w:rFonts w:ascii="Arial" w:cs="Arial" w:eastAsia="Arial" w:hAnsi="Arial"/>
          <w:sz w:val="17"/>
          <w:szCs w:val="17"/>
          <w:i w:val="1"/>
          <w:iCs w:val="1"/>
          <w:color w:val="auto"/>
        </w:rPr>
        <w:t>Business – Coverage and Reimbursement</w:t>
      </w:r>
      <w:r>
        <w:rPr>
          <w:rFonts w:ascii="Arial" w:cs="Arial" w:eastAsia="Arial" w:hAnsi="Arial"/>
          <w:sz w:val="17"/>
          <w:szCs w:val="17"/>
          <w:color w:val="auto"/>
        </w:rPr>
        <w:t>” in our Annual Report on Form 10-K for the year ended December 31, 2024.</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any approved product would depend on a number of factors, including:</w:t>
      </w:r>
    </w:p>
    <w:p>
      <w:pPr>
        <w:spacing w:after="0" w:line="102"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safety and tolerability as demonstrated in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market introduction of such product candidate as well as competitive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the product is approved;</w:t>
      </w:r>
    </w:p>
    <w:p>
      <w:pPr>
        <w:spacing w:after="0" w:line="114"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acceptance by physicians, major operators of cancer or neurology clinics and patients of the product as a safe, tolerable and effective treatment;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the product candidate over alternative treatments;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safety and tolerability of the product candidate in a broader patient group;</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treatment in relation to alternative treatments;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adequate reimbursement by third party payors and government authorities;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regulatory requirements by government authorities for the product candidate;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relative convenience and ease of administration;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side effects and adverse events;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efforts;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favorable or unfavorable publicity relating to the product or relating to the Company.</w:t>
      </w:r>
    </w:p>
    <w:p>
      <w:pPr>
        <w:spacing w:after="0" w:line="7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sufficient revenue from these products and we may not become profitable, which would have a material adverse effect on our business.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develop additional product candidates, our commercial opportunity could be limited.</w:t>
      </w:r>
    </w:p>
    <w:p>
      <w:pPr>
        <w:spacing w:after="0" w:line="102"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We expect initially to develop our most advanced product candidates, CAN-2409 and CAN-3110. A key part of our strategy, however, is to pursue clinical development of additional product candidates. Developing, obtaining marketing approval for, and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1" w:name="page62"/>
    <w:bookmarkEnd w:id="61"/>
    <w:p>
      <w:pPr>
        <w:ind w:right="100"/>
        <w:spacing w:after="0" w:line="249" w:lineRule="auto"/>
        <w:rPr>
          <w:sz w:val="20"/>
          <w:szCs w:val="20"/>
          <w:color w:val="auto"/>
        </w:rPr>
      </w:pPr>
      <w:r>
        <w:rPr>
          <w:rFonts w:ascii="Arial" w:cs="Arial" w:eastAsia="Arial" w:hAnsi="Arial"/>
          <w:sz w:val="17"/>
          <w:szCs w:val="17"/>
          <w:color w:val="auto"/>
        </w:rPr>
        <w:t>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spacing w:after="0" w:line="67"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72"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4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Although we do not currently have any drugs on the market, if we begin commercializing our current or future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current or future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current or future product candidates for which we obtain marketing approval. For more information on healthcare laws and regulations that may impact our company, see “</w:t>
      </w:r>
      <w:r>
        <w:rPr>
          <w:rFonts w:ascii="Arial" w:cs="Arial" w:eastAsia="Arial" w:hAnsi="Arial"/>
          <w:sz w:val="17"/>
          <w:szCs w:val="17"/>
          <w:i w:val="1"/>
          <w:iCs w:val="1"/>
          <w:color w:val="auto"/>
        </w:rPr>
        <w:t>Business – Other Healthcare Laws</w:t>
      </w:r>
      <w:r>
        <w:rPr>
          <w:rFonts w:ascii="Arial" w:cs="Arial" w:eastAsia="Arial" w:hAnsi="Arial"/>
          <w:sz w:val="17"/>
          <w:szCs w:val="17"/>
          <w:color w:val="auto"/>
        </w:rPr>
        <w:t xml:space="preserve"> </w:t>
      </w:r>
      <w:r>
        <w:rPr>
          <w:rFonts w:ascii="Arial" w:cs="Arial" w:eastAsia="Arial" w:hAnsi="Arial"/>
          <w:sz w:val="17"/>
          <w:szCs w:val="17"/>
          <w:i w:val="1"/>
          <w:iCs w:val="1"/>
          <w:color w:val="auto"/>
        </w:rPr>
        <w:t>and Compliance Requirements</w:t>
      </w:r>
      <w:r>
        <w:rPr>
          <w:rFonts w:ascii="Arial" w:cs="Arial" w:eastAsia="Arial" w:hAnsi="Arial"/>
          <w:sz w:val="17"/>
          <w:szCs w:val="17"/>
          <w:color w:val="auto"/>
        </w:rPr>
        <w:t>” in our Annual Report on Form 10-K for the year ended December 31, 2024.</w:t>
      </w:r>
    </w:p>
    <w:p>
      <w:pPr>
        <w:spacing w:after="0" w:line="7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potential liability if we obtain identifiable patient health information from clinical trials sponsored by us.</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the Health Insurance Portability and Accountability Act (HIPAA), as amended by the Health Information Technology for Economic and Clinical Health Act.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7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Foreign data protection laws, including the European Union’s General Data Protection Regulation (the EU GDPR), and the United Kingdom (or UK) equivalent of the same (the UK GDPR, together with the EU GDPR, the GDPR) may also apply to our processing of health-related and other personal data.</w:t>
      </w:r>
    </w:p>
    <w:p>
      <w:pPr>
        <w:spacing w:after="0" w:line="67"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The GDPR imposes stringent requirements for controllers and processors of personal data of individuals within the European Economic Area (the EEA) or the UK. The GDPR applies to any company established in the EEA or UK as well as to those outside the EEA or UK if they collect and use personal data in connection with the offering of goods or services to individuals in the EEA or UK or the monitoring of their behavior. The GDPR, together with national legislation, regulations and guidelines of the EEA Member States and the UK governing the processing of personal data, impose strict obligations and restrictions on the ability to collect, analyze and transfer personal data, including health data from clinical trials and adverse event reporting. In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2" w:name="page63"/>
    <w:bookmarkEnd w:id="62"/>
    <w:p>
      <w:pPr>
        <w:ind w:right="100"/>
        <w:spacing w:after="0" w:line="236" w:lineRule="auto"/>
        <w:rPr>
          <w:sz w:val="20"/>
          <w:szCs w:val="20"/>
          <w:color w:val="auto"/>
        </w:rPr>
      </w:pPr>
      <w:r>
        <w:rPr>
          <w:rFonts w:ascii="Arial" w:cs="Arial" w:eastAsia="Arial" w:hAnsi="Arial"/>
          <w:sz w:val="17"/>
          <w:szCs w:val="17"/>
          <w:color w:val="auto"/>
        </w:rPr>
        <w:t>particular, these obligations and restrictions concern relying on a legal basis or condition for the processing of personal data, where required obtaining the consent of the individuals to whom the personal data relates, the information provided to the individuals, the transfer of personal data out of the EEA or the UK,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76"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GDPR also imposes restrictions in relation to the international transfer of personal data from the EEA and UK and other countries in respect of which the European Commission or the UK government has not issued a so-called “adequacy decision” or “adequacy regulation” (known as “third countries”), unless the parties to the transfer have implemented specific safeguards to protect the transferred personal data. This includes putting in place the European Commission’s Standard Contractual Clauses for transfers outside of the EEA and a similar transfer mechanism for transfers of personal data outside of the UK, the International Data Transfer Agreement or Addendum (IDTA). Under both the EU GDPR and the UK GDPR, exporters are also required to assess the risk of the data transfer on a case-by-case basis, including an analysis of the laws in the destination country.</w:t>
      </w:r>
    </w:p>
    <w:p>
      <w:pPr>
        <w:spacing w:after="0" w:line="7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July 2023, the European Commission adopted its adequacy decision for the EU-U.S. Data Privacy Framework (Framework), the successor of the EU-U.S. Privacy Shield framework, which the Court of Justice of the European Union invalidated in 2020. On the basis of the new adequacy decision, personal data can flow safely from the EU to U.S. companies participating in the Framework, without having to put in place additional data protection safeguards. However, the Framework has already been challenged in European courts, which may lead to its invalidation.</w:t>
      </w:r>
    </w:p>
    <w:p>
      <w:pPr>
        <w:spacing w:after="0" w:line="6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w:t>
      </w:r>
    </w:p>
    <w:p>
      <w:pPr>
        <w:spacing w:after="0" w:line="7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in the United States, federal and state governments are increasingly passing stringent privacy laws. At the federal level, failing to take appropriate steps to keep consumers’ personal information secure may constitute unfair acts or practices in or affecting commerce in violation of Section 5(a) of the Federal Trade Commission (FTC)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Regulators and legislators in the United States are also increasingly scrutinizing and restricting certain personal information transfers and transactions involving foreign countries. For example, the Biden Administration’s executive order “Preventing Access to Americans’ Bulk Sensitive Personal Data and United States Government-Related Data by Countries of Concern” as implemented by Department of Justice regulations issued in December 2024, prohibits data brokerage transactions involving certain sensitive personal information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7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certain state laws govern privacy and security of personal information. For example, in California, the California Consumer Privacy Act (CCPA), which went into effect January 1, 2020, established a comprehensive privacy framework for covered businesses by creating an expanded definition of personal information, established new individual privacy rights for California consumers (as defined in the law) and placed increased privacy and security obligations on entities handling personal data of consumers or households, including by creating a new and potentially severe statutory damages framework for violations of the CCPA and for businesses that fail to implement reasonable security procedures and practices to prevent data breaches. The CCPA requires covered companies to provide certain disclosures to consumers about its data collection, use and sharing practices, and to provide affected California residents with ways to opt-out of certain sales or transfers of personal information. While clinical trial data and information governed by HIPAA are currently exempt from f the CCPA, other personal information we process may be subject to the law and possible changes to the CCPA may broaden its scope. Additionally, , the California Privacy Rights Act (CPRA) was passed in November 2020 and as of January 1, 2023, has imposed additional obligations on companies covered by the legislation. The CPRA significantly modified the CCPA, including by expanding consumers’ rights with respect to certain sensitive personal information. The CPRA also created a new state agency that is vested with authority to implement and enforce the CCPA. The effects of the CCPA, as amended by the CPRA, may require us to modify our data</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3" w:name="page64"/>
    <w:bookmarkEnd w:id="63"/>
    <w:p>
      <w:pPr>
        <w:ind w:right="220"/>
        <w:spacing w:after="0" w:line="267" w:lineRule="auto"/>
        <w:rPr>
          <w:sz w:val="20"/>
          <w:szCs w:val="20"/>
          <w:color w:val="auto"/>
        </w:rPr>
      </w:pPr>
      <w:r>
        <w:rPr>
          <w:rFonts w:ascii="Arial" w:cs="Arial" w:eastAsia="Arial" w:hAnsi="Arial"/>
          <w:sz w:val="17"/>
          <w:szCs w:val="17"/>
          <w:color w:val="auto"/>
        </w:rPr>
        <w:t>collection or processing practices and policies and to incur substantial costs and expenses in an effort to comply with the legislation and decrease our potential exposure to regulatory enforcement and/or litigation.</w:t>
      </w:r>
    </w:p>
    <w:p>
      <w:pPr>
        <w:spacing w:after="0" w:line="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Similar laws have been passed and proposed in numerous other states.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 State laws are changing rapidly and there are discussions in the U.S. Congress of new comprehensive federal data privacy laws to which we could become subject to, if enacted.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77"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For example, Washington’s My Health My Data Act, which became effective on March 31, 2024, regulates the collection and sharing of health information and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7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If we or third-party contract research organizations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w:t>
      </w:r>
    </w:p>
    <w:p>
      <w:pPr>
        <w:spacing w:after="0" w:line="74"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Additionally, we are subject to other state and foreign equivalents of each of the healthcare laws described above, among others, some of which may be broader in scope and may apply regardless of the payor.</w:t>
      </w:r>
    </w:p>
    <w:p>
      <w:pPr>
        <w:spacing w:after="0" w:line="51" w:lineRule="exact"/>
        <w:rPr>
          <w:sz w:val="20"/>
          <w:szCs w:val="20"/>
          <w:color w:val="auto"/>
        </w:rPr>
      </w:pPr>
    </w:p>
    <w:p>
      <w:pPr>
        <w:jc w:val="both"/>
        <w:ind w:right="80"/>
        <w:spacing w:after="0" w:line="256" w:lineRule="auto"/>
        <w:rPr>
          <w:sz w:val="20"/>
          <w:szCs w:val="20"/>
          <w:color w:val="auto"/>
        </w:rPr>
      </w:pPr>
      <w:r>
        <w:rPr>
          <w:rFonts w:ascii="Arial" w:cs="Arial" w:eastAsia="Arial" w:hAnsi="Arial"/>
          <w:sz w:val="17"/>
          <w:szCs w:val="17"/>
          <w:b w:val="1"/>
          <w:bCs w:val="1"/>
          <w:i w:val="1"/>
          <w:iCs w:val="1"/>
          <w:color w:val="auto"/>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4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We may use and integrate artificial intelligence into our business processes. Use of this technology presents risks and challenges that could affect our business. If we enable or use solutions that draw controversy due to perceived or actual negative societal impact, we may experience brand or reputational harm, competitive harm or legal liability. 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This legislation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 Likewise, in the U.S., several states, including Colorado and California, passed laws that will take effect in 2026, to regulate various uses of artificial intelligence, including to make consequential decisions. In addition, various federal regulators have issued guidance and focused enforcement efforts on the use of AI in regulated sectors. If we develop or use AI systems governed by these laws or regulations, we will need to meet higher standards of data quality, transparency, monitoring and</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4" w:name="page65"/>
    <w:bookmarkEnd w:id="64"/>
    <w:p>
      <w:pPr>
        <w:ind w:right="620"/>
        <w:spacing w:after="0" w:line="267" w:lineRule="auto"/>
        <w:rPr>
          <w:sz w:val="20"/>
          <w:szCs w:val="20"/>
          <w:color w:val="auto"/>
        </w:rPr>
      </w:pPr>
      <w:r>
        <w:rPr>
          <w:rFonts w:ascii="Arial" w:cs="Arial" w:eastAsia="Arial" w:hAnsi="Arial"/>
          <w:sz w:val="17"/>
          <w:szCs w:val="17"/>
          <w:color w:val="auto"/>
        </w:rPr>
        <w:t>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5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rapid evolution of artificial intelligence will require the application of significant resources to design, develop, test and maintain such systems to help ensure that artificial intelligence is implemented in accordance with applicable law and regulation and in a socially responsible manner and to minimize any real or perceived unintended harmful impacts. The use of certain artificial intelligence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artificial intelligence tools. 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76"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0"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Managing Growth and General Business Operations</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i w:val="1"/>
          <w:iCs w:val="1"/>
          <w:color w:val="auto"/>
        </w:rPr>
        <w:t>Any future public health crisis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any future public health crisis may cause substantial disruption in the financial markets and may adversely impact economies worldwide, both of which could result in adverse effects on our business, operations and ability to raise capital.</w:t>
      </w:r>
    </w:p>
    <w:p>
      <w:pPr>
        <w:spacing w:after="0" w:line="5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Any future public health crisis may cause governments to implement measures to slow the spread of the public health crisis through quarantines, travel restrictions, heightened border scrutiny and other measures. Government measures taken in response to any future public health crisis may also have a significant impact, both directly and indirectly, on businesses and commerce, as worker shortages may occur; supply chains may be disrupted; facilities and production may be suspended; and demand for certain goods and services, such as medical services and supplies, may spike, while demand for other goods and services, such as travel may fall. The extent to which any future public health crisis may in the future have an impact on our operations or those of the third parties on which we rely depends on many factors, which are highly uncertain and cannot be predicted with confidence. Additionally, the conduct of our clinical trials, preclinical studies and manufacturing activities is dependent upon the availability of clinical trial sites, CROs, CDMOs, researchers and investigators, regulatory agency personnel and logistics providers, all of which may in the future be adversely affected by any future public health crisis.</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Any negative impact that any future public health crisis may have on enrolling or retaining patients in our clinical trials, the ability of our suppliers to provide materials for our product candidates, or the regulatory review process could cause delays with respect to product development activities, which could materially and adversely affect our ability to obtain marketing approval for and to commercialize our product candidates, increase our operating expenses, affect our ability to raise additional capital, and have a material adverse effect on our financial results.</w:t>
      </w:r>
    </w:p>
    <w:p>
      <w:pPr>
        <w:spacing w:after="0" w:line="69"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Any future public health crisis may cause disruptions in the future, which could adversely impact our ability to raise additional funds through public offerings or private placements and may also impact the volatility of our stock price and trading in our stock. Moreover, it is possible that any future public health crisis could impact economies worldwide, which could result in adverse effects on our business and operations.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76" w:right="419" w:bottom="1440" w:gutter="0" w:footer="0" w:header="0"/>
        </w:sectPr>
      </w:pPr>
    </w:p>
    <w:bookmarkStart w:id="65" w:name="page66"/>
    <w:bookmarkEnd w:id="65"/>
    <w:p>
      <w:pPr>
        <w:ind w:right="80"/>
        <w:spacing w:after="0" w:line="241" w:lineRule="auto"/>
        <w:rPr>
          <w:sz w:val="20"/>
          <w:szCs w:val="20"/>
          <w:color w:val="auto"/>
        </w:rPr>
      </w:pPr>
      <w:r>
        <w:rPr>
          <w:rFonts w:ascii="Arial" w:cs="Arial" w:eastAsia="Arial" w:hAnsi="Arial"/>
          <w:sz w:val="17"/>
          <w:szCs w:val="17"/>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certain of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7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79" w:lineRule="exact"/>
        <w:rPr>
          <w:sz w:val="20"/>
          <w:szCs w:val="20"/>
          <w:color w:val="auto"/>
        </w:rPr>
      </w:pPr>
    </w:p>
    <w:p>
      <w:pPr>
        <w:ind w:right="520"/>
        <w:spacing w:after="0" w:line="280" w:lineRule="auto"/>
        <w:rPr>
          <w:sz w:val="20"/>
          <w:szCs w:val="20"/>
          <w:color w:val="auto"/>
        </w:rPr>
      </w:pPr>
      <w:r>
        <w:rPr>
          <w:rFonts w:ascii="Arial" w:cs="Arial" w:eastAsia="Arial" w:hAnsi="Arial"/>
          <w:sz w:val="17"/>
          <w:szCs w:val="17"/>
          <w:b w:val="1"/>
          <w:bCs w:val="1"/>
          <w:i w:val="1"/>
          <w:iCs w:val="1"/>
          <w:color w:val="auto"/>
        </w:rPr>
        <w:t>We expect to expand our development, manufacturing and regulatory capabilities and potentially implement sales, marketing and distribution capabilities, and as a result, we may encounter difficulties in managing our growth, which could disrupt our operations.</w:t>
      </w:r>
    </w:p>
    <w:p>
      <w:pPr>
        <w:spacing w:after="0" w:line="3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marketing and sales capabilities or contract with third parties to provide these capabilities. We expect the number of our employees and the scope of our operations to grow, particularly in the areas of drug development, clinical, regulatory affairs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use of social media platforms presents new risks and challenges.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candidates or products. If any of these events were to occur or we otherwise fail to comply with applicable regulations, we could incur liability, face regulatory actions or incur other harm to our business.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that we may use in the future, or other contractors or consultants, may fail or suffer cybersecurity incidents or data breaches, which could result in a material disruption of our product candidates’ development programs.</w:t>
      </w:r>
    </w:p>
    <w:p>
      <w:pPr>
        <w:spacing w:after="0" w:line="4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Despite our implementation of security measures, our internal computer systems, and those of our CROs that we may use in the future, information technology suppliers and other contractors and consultants are vulnerable to damage from computer viruses, cyberattacks and other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6" w:name="page67"/>
    <w:bookmarkEnd w:id="66"/>
    <w:p>
      <w:pPr>
        <w:ind w:right="40"/>
        <w:spacing w:after="0" w:line="239" w:lineRule="auto"/>
        <w:rPr>
          <w:sz w:val="20"/>
          <w:szCs w:val="20"/>
          <w:color w:val="auto"/>
        </w:rPr>
      </w:pPr>
      <w:r>
        <w:rPr>
          <w:rFonts w:ascii="Arial" w:cs="Arial" w:eastAsia="Arial" w:hAnsi="Arial"/>
          <w:sz w:val="17"/>
          <w:szCs w:val="17"/>
          <w:color w:val="auto"/>
        </w:rPr>
        <w:t>the extent that any disruption, data breach or cybersecurity incident were to result in a loss of or damage to our data or applications, or inappropriate disclosure of personal, confidential or proprietary information, we could incur liability and the further development of any of our product candidates could be delayed. Our contracts may not contain limitations of liability, and even where they do, there can be no assurance that limitations of liability in our contracts are sufficient to protect us from liabilities, damages, or claims related to our privacy and data security obligations. In addition, our liability and cyber insurance may not be sufficient in type or amount to cover us against claims related to cybersecurity incidents, cyber-attacks or other related liabilities, including data breaches.</w:t>
      </w:r>
    </w:p>
    <w:p>
      <w:pPr>
        <w:spacing w:after="0" w:line="7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Cyberattacks are increasing in their frequency, sophistication, and intensity, and are becoming increasingly difficult to detect. They are often carried out by well-resourced and skilled parties, including nation states, organized crime groups, “hacktivists” and may also be carried out by employees or contractors unwittingly or acting with malicious intent. Cyber-attacks include deployment of harmful malware and key loggers, ransomware, denial-of-service attacks, malicious websites, the use of social engineering (including phishing attacks),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breach or cybersecurity incident. Our business partners face similar risks, and any cybersecurity incident or data breach related to their systems could adversely affect our security or the security of our systems or data.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a cyber attack is increased with employees working remotely. Remote work increases the risk we may be vulnerable to cybersecurity-related events such as phishing attacks and other security threats.</w:t>
      </w:r>
    </w:p>
    <w:p>
      <w:pPr>
        <w:spacing w:after="0" w:line="16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Like other companies in our industry, we, and our third party vendors, have experienced threats and cybersecurity incidents relating to our information technology systems and infrastructure. Although we develop and maintain systems and controls designed to prevent these events from occurring,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cybersecurity incident, data breach, industrial espionage attacks or insider threat attacks which could result in financial, legal, business or reputational harm.</w:t>
      </w:r>
    </w:p>
    <w:p>
      <w:pPr>
        <w:spacing w:after="0" w:line="15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a cybersecurity incident or data breach related to our information technology systems or those of our vendors occurs, the market perception of the effectiveness of our cybersecurity measures could be harmed and our reputation and credibility could be damaged. We could be required to expend significant amounts of money and other resources to repair or replace information systems or networks, including costs to deploy additional personnel and protection technologies, train employees, and engage third-party experts and consultants, which could materially and adversely affect our business, financial condition and results of operations. In addition, we could be required to notify relevant stakeholders (including affected individuals, investors and regulators). We could also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w:t>
      </w:r>
    </w:p>
    <w:p>
      <w:pPr>
        <w:spacing w:after="0" w:line="76"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Our operations or those of the third parties upon whom we depend might be affected by the occurrence of a natural disaster, pandemic, war or other catastrophic event.</w:t>
      </w:r>
    </w:p>
    <w:p>
      <w:pPr>
        <w:spacing w:after="0" w:line="3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depend on our employees and consultants, CDMOs and CROs that we may use in the future,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attacks, pandemics, wars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For example, in late February 2022, Russian military forces launched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In addition, in October 2023, Hamas launched an attack on Israel, and Israel declared war on Hamas, with the armed conflict ongoing as of the date of this filing. The effects of disruptive events could affect the global economy and financial and commodities markets in ways that cannot necessarily be foreseen at the present time. Although we carry business interruption insurance policies and typically have provisions in our contracts that protect us in certain events, our coverage might not respond or be adequate to compensate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7" w:name="page68"/>
    <w:bookmarkEnd w:id="67"/>
    <w:p>
      <w:pPr>
        <w:ind w:right="240"/>
        <w:spacing w:after="0" w:line="267" w:lineRule="auto"/>
        <w:rPr>
          <w:sz w:val="20"/>
          <w:szCs w:val="20"/>
          <w:color w:val="auto"/>
        </w:rPr>
      </w:pPr>
      <w:r>
        <w:rPr>
          <w:rFonts w:ascii="Arial" w:cs="Arial" w:eastAsia="Arial" w:hAnsi="Arial"/>
          <w:sz w:val="17"/>
          <w:szCs w:val="17"/>
          <w:color w:val="auto"/>
        </w:rPr>
        <w:t>us for all losses that may occur. Any natural disaster or catastrophic event affecting us, our CDMOs or CROs, regulatory agencies or other parties with which we are engaged could have a significant negative impact on our operations and financial performance.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6"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 and the market price of our common stock.</w:t>
      </w:r>
    </w:p>
    <w:p>
      <w:pPr>
        <w:spacing w:after="0" w:line="49" w:lineRule="exact"/>
        <w:rPr>
          <w:sz w:val="20"/>
          <w:szCs w:val="20"/>
          <w:color w:val="auto"/>
        </w:rPr>
      </w:pPr>
    </w:p>
    <w:p>
      <w:pPr>
        <w:jc w:val="both"/>
        <w:ind w:right="260"/>
        <w:spacing w:after="0" w:line="249" w:lineRule="auto"/>
        <w:rPr>
          <w:sz w:val="20"/>
          <w:szCs w:val="20"/>
          <w:color w:val="auto"/>
        </w:rPr>
      </w:pPr>
      <w:r>
        <w:rPr>
          <w:rFonts w:ascii="Arial" w:cs="Arial" w:eastAsia="Arial" w:hAnsi="Arial"/>
          <w:sz w:val="17"/>
          <w:szCs w:val="17"/>
          <w:color w:val="auto"/>
        </w:rPr>
        <w:t>We are subject to the requirements of the Sarbanes-Oxley Act and the applicable SEC rules and regulations that require an annual management report on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66"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We cannot assure you that we will not identify material weaknesses in our internal control over financial reporting. In addition, our independent registered public accounting firm has not performed an evaluation of our internal control over financial reporting in accordance with the provisions of the SOX Act because no such evaluation has been required. Had our independent registered public accounting firm performed an evaluation of our internal control over financial reporting in accordance with the provisions of the SOX Act, one or more material weaknesses may have been identified. If future material weaknesses are identified in our internal control over financial reporting, or if we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spacing w:after="0" w:line="76"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4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are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Our assessment of internal controls and procedures may not detect material weaknesses in our internal control over financial reporting. Material weaknesses in our internal control over financial reporting may go undetected and could lead to financial statement restatements and require us to incur the expense of remediation, which could have a negative effect on the trading price of our stock.</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Compliance Matters</w:t>
      </w:r>
    </w:p>
    <w:p>
      <w:pPr>
        <w:spacing w:after="0" w:line="10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30"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8" w:name="page69"/>
    <w:bookmarkEnd w:id="68"/>
    <w:p>
      <w:pPr>
        <w:spacing w:after="0" w:line="237" w:lineRule="auto"/>
        <w:rPr>
          <w:sz w:val="20"/>
          <w:szCs w:val="20"/>
          <w:color w:val="auto"/>
        </w:rPr>
      </w:pPr>
      <w:r>
        <w:rPr>
          <w:rFonts w:ascii="Arial" w:cs="Arial" w:eastAsia="Arial" w:hAnsi="Arial"/>
          <w:sz w:val="17"/>
          <w:szCs w:val="17"/>
          <w:color w:val="auto"/>
        </w:rPr>
        <w:t>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76"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loss of revenue from decreased demand for our products and/or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impairment of our business reputation or financial stability;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costs of related litigation;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monetary awards to patients or other claimants;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diversion of management attention;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to commercialize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negative media attention;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decreases in our stock price;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initiation of investigations and enforcement actions by regulators;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product recalls, withdrawals or labeling, marketing or promotional restrictions, including withdrawal of marketing approval.</w:t>
      </w:r>
    </w:p>
    <w:p>
      <w:pPr>
        <w:spacing w:after="0" w:line="11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76"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b w:val="1"/>
          <w:bCs w:val="1"/>
          <w:i w:val="1"/>
          <w:i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5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Our operations are subject to anti-corruption laws, including the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74"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We are also subject to other laws and regulations governing our international operations, including regulations administered by the government of the United States, including applicable import and export control regulations, economic sanctions on countries and persons, anti-money laundering laws, customs requirements and currency exchange regulations, collectively referred to as the trade control laws.</w:t>
      </w:r>
    </w:p>
    <w:p>
      <w:pPr>
        <w:spacing w:after="0" w:line="67"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United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9" w:name="page70"/>
    <w:bookmarkEnd w:id="69"/>
    <w:p>
      <w:pPr>
        <w:ind w:right="200"/>
        <w:spacing w:after="0" w:line="267" w:lineRule="auto"/>
        <w:rPr>
          <w:sz w:val="20"/>
          <w:szCs w:val="20"/>
          <w:color w:val="auto"/>
        </w:rPr>
      </w:pPr>
      <w:r>
        <w:rPr>
          <w:rFonts w:ascii="Arial" w:cs="Arial" w:eastAsia="Arial" w:hAnsi="Arial"/>
          <w:sz w:val="17"/>
          <w:szCs w:val="17"/>
          <w:color w:val="auto"/>
        </w:rPr>
        <w:t>States or other authorities could also have an adverse impact on our reputation, our business, financial condition, results of operations, stock price and prospects.</w:t>
      </w:r>
    </w:p>
    <w:p>
      <w:pPr>
        <w:spacing w:after="0" w:line="51"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(VHCA),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 For more information, see “</w:t>
      </w:r>
      <w:r>
        <w:rPr>
          <w:rFonts w:ascii="Arial" w:cs="Arial" w:eastAsia="Arial" w:hAnsi="Arial"/>
          <w:sz w:val="17"/>
          <w:szCs w:val="17"/>
          <w:i w:val="1"/>
          <w:iCs w:val="1"/>
          <w:color w:val="auto"/>
        </w:rPr>
        <w:t>Business –</w:t>
      </w:r>
      <w:r>
        <w:rPr>
          <w:rFonts w:ascii="Arial" w:cs="Arial" w:eastAsia="Arial" w:hAnsi="Arial"/>
          <w:sz w:val="17"/>
          <w:szCs w:val="17"/>
          <w:color w:val="auto"/>
        </w:rPr>
        <w:t xml:space="preserve"> </w:t>
      </w:r>
      <w:r>
        <w:rPr>
          <w:rFonts w:ascii="Arial" w:cs="Arial" w:eastAsia="Arial" w:hAnsi="Arial"/>
          <w:sz w:val="17"/>
          <w:szCs w:val="17"/>
          <w:i w:val="1"/>
          <w:iCs w:val="1"/>
          <w:color w:val="auto"/>
        </w:rPr>
        <w:t>Other Healthcare Laws and Compliance Requirements</w:t>
      </w:r>
      <w:r>
        <w:rPr>
          <w:rFonts w:ascii="Arial" w:cs="Arial" w:eastAsia="Arial" w:hAnsi="Arial"/>
          <w:sz w:val="17"/>
          <w:szCs w:val="17"/>
          <w:color w:val="auto"/>
        </w:rPr>
        <w:t>” in our Annual Report on Form 10-K for the year ended December 31, 2024.</w:t>
      </w:r>
    </w:p>
    <w:p>
      <w:pPr>
        <w:spacing w:after="0" w:line="76"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If we or our operations, including our arrangements with physicians and other healthcare providers, some of whom receive share options or other financial interest in the business as compensation for services provided,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or they may be subject to criminal, civil or administrative sanctions, including but not limited to, exclusions from participation in government healthcare programs, which could also materially affect our business.</w:t>
      </w:r>
    </w:p>
    <w:p>
      <w:pPr>
        <w:spacing w:after="0" w:line="79"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6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or in their implementation or interpretation may adversely affect our business and financial condition.</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(the IRS) and the U.S. Treasury Department. For example, the OBBBA was signed into law on July 4, 2025 and made significant changes to U.S. federal tax law. Changes in tax law (which changes may have retroactive application) could adversely affect our business or financial condition. Any new taxes could adversely affect our business and financial performance. For example,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0" w:name="page71"/>
    <w:bookmarkEnd w:id="70"/>
    <w:p>
      <w:pPr>
        <w:spacing w:after="0" w:line="236" w:lineRule="auto"/>
        <w:rPr>
          <w:sz w:val="20"/>
          <w:szCs w:val="20"/>
          <w:color w:val="auto"/>
        </w:rPr>
      </w:pPr>
      <w:r>
        <w:rPr>
          <w:rFonts w:ascii="Arial" w:cs="Arial" w:eastAsia="Arial" w:hAnsi="Arial"/>
          <w:sz w:val="17"/>
          <w:szCs w:val="17"/>
          <w:color w:val="auto"/>
        </w:rPr>
        <w:t>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Further, existing tax laws, statutes, rules, regulations or ordinances could be interpreted, changed, modified or applied adversely to us. In addition, it is uncertain if and to what extent various states will conform to changes to U.S. federal income tax law. We urge prospective investors in our common stock to consult with their legal and tax advisors with respect to any recently enacted tax legislation, or proposed changes in law, and the potential tax consequences of investing in or holding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Under Sections 382 and 383 of the Code,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the Registered Direct Offering, the 2024 Follow-On Offering, the initial public offering (IPO), and other transactions that have occurred over the past three years, we may have experienced, an “ownership change.” We may also experience ownership changes in the future as a result of subsequent shifts in our stock ownership. As of December 31, 2024, we had U.S. federal and state net operating loss carryforwards of $111.6 million and $101.9 million, which begin to expire in 2028 and 2033, respectively, and which could be limited if we experience an “ownership change.” Under current federal tax law, federal net operating losses generated after December 31, 2017 will not be subject to expiration but will not be permitted to be carried back. In addition, under current U.S. federal tax law, the amount of net operating losses generated after December 31, 2017 that we are permitted to deduct in any taxable year is limited to 80% of our taxable income in such year, where taxable income is determined without regard to the net operating loss deduction itself. Additionally, as of December 31, 2024, we had a U.S. federal net operating loss carryforward of $102.8 million which do not expire but is limited to an annual deduction equal to 80% of annual taxable income.</w:t>
      </w:r>
    </w:p>
    <w:p>
      <w:pPr>
        <w:spacing w:after="0" w:line="79"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If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 a market share sufficient to realize a sufficient return on our or their investments. Alternatively, securing favorable reimbursement terms may require us to compromise pricing and prevent us from realizing an adequate margin over cost. For more information, see “</w:t>
      </w:r>
      <w:r>
        <w:rPr>
          <w:rFonts w:ascii="Arial" w:cs="Arial" w:eastAsia="Arial" w:hAnsi="Arial"/>
          <w:sz w:val="17"/>
          <w:szCs w:val="17"/>
          <w:i w:val="1"/>
          <w:iCs w:val="1"/>
          <w:color w:val="auto"/>
        </w:rPr>
        <w:t>Business – Coverage and Reimbursement</w:t>
      </w:r>
      <w:r>
        <w:rPr>
          <w:rFonts w:ascii="Arial" w:cs="Arial" w:eastAsia="Arial" w:hAnsi="Arial"/>
          <w:sz w:val="17"/>
          <w:szCs w:val="17"/>
          <w:color w:val="auto"/>
        </w:rPr>
        <w:t>” in our Annual Report on Form 10-K for the year ended December 31, 2024.</w:t>
      </w:r>
    </w:p>
    <w:p>
      <w:pPr>
        <w:spacing w:after="0" w:line="7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1" w:name="page72"/>
    <w:bookmarkEnd w:id="71"/>
    <w:p>
      <w:pPr>
        <w:ind w:right="720"/>
        <w:spacing w:after="0" w:line="267" w:lineRule="auto"/>
        <w:rPr>
          <w:sz w:val="20"/>
          <w:szCs w:val="20"/>
          <w:color w:val="auto"/>
        </w:rPr>
      </w:pPr>
      <w:r>
        <w:rPr>
          <w:rFonts w:ascii="Arial" w:cs="Arial" w:eastAsia="Arial" w:hAnsi="Arial"/>
          <w:sz w:val="17"/>
          <w:szCs w:val="17"/>
          <w:color w:val="auto"/>
        </w:rPr>
        <w:t>competitive classes, are disregarding therapeutic differentiators within classes, are challenging the prices charged for therapeutics, and are negotiating price concessions based on performance goals.</w:t>
      </w:r>
    </w:p>
    <w:p>
      <w:pPr>
        <w:spacing w:after="0" w:line="5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7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7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CROs or CDMOs may engage in misconduct or other improper activities, including noncompliance with regulatory standards and requirements and insider trading, which could have a material adverse effect on our business.</w:t>
      </w:r>
    </w:p>
    <w:p>
      <w:pPr>
        <w:spacing w:after="0" w:line="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principal investigators, CDMOs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March 15, 2024, we notified Dr. Aguilar-Cordova that we had uncovered that, during his tenure as Chief Executive Officer and possibly his tenure as Chief Scientific Officer, he allegedly (i) instructed company personnel to falsify sterility testing results that were submitted to the FDA for CAN-2409 and (ii) failed to implement an appropriate and compliant stability testing program for that same program. Upon identifying these deficiencies, we promptly updated our stability testing program to fully bring it into compliance and submitted additional information and data to the FDA regarding both the updated program and our prior testing results. Following an internal review and analysis, we also determined that trial participants who were dosed with CAN-2409 were not placed at risk, and that there was and is no risk to the integrity of our resulting clinical data related to the identified deficiencies. In the March 15, 2024 letter, we also requested that Dr. Aguilar-Cordova resign from the board of directors with immediate effect. On March 26, 2024, Dr. Aguilar-Cordova denied these allegations in response. Dr. Aguilar-Cordova’s term as a director of the Company expired at our 2024 annual meeting of stockholders held on June 26, 2024.</w:t>
      </w:r>
    </w:p>
    <w:p>
      <w:pPr>
        <w:spacing w:after="0" w:line="79"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2" w:name="page73"/>
    <w:bookmarkEnd w:id="72"/>
    <w:p>
      <w:pPr>
        <w:ind w:right="140"/>
        <w:spacing w:after="0" w:line="236"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0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b w:val="1"/>
          <w:bCs w:val="1"/>
          <w:i w:val="1"/>
          <w:iCs w:val="1"/>
          <w:color w:val="auto"/>
        </w:rPr>
        <w:t>For certain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we depend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or will depend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on development and commercialization collaborators to develop and conduct clinical trials with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obtain regulatory approvals for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and if approved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market and sell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If such collaborators fail to perform as expected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the potential for us to generate future revenue from such product candidates would be significantly reduced and our business would be harmed</w:t>
      </w:r>
      <w:r>
        <w:rPr>
          <w:rFonts w:ascii="Arial" w:cs="Arial" w:eastAsia="Arial" w:hAnsi="Arial"/>
          <w:sz w:val="17"/>
          <w:szCs w:val="17"/>
          <w:i w:val="1"/>
          <w:iCs w:val="1"/>
          <w:color w:val="auto"/>
        </w:rPr>
        <w:t>.</w:t>
      </w:r>
    </w:p>
    <w:p>
      <w:pPr>
        <w:spacing w:after="0" w:line="5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For certain product candidates, we depend, or will depend, on our development and commercial collaborators to develop, conduct clinical trials of, and, if approved, commercialize product candidates. We cannot provide assurance that our collaborators will be successful in or that they will devote sufficient resources to these collaborations.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 Moreover, our ability to generate revenues from these collaborations and product candidates will depend on such collaborators’ abilities to perform in the manner we expect or fulfill their responsibilities in a timely manner, and delays by collaborators, or caused by other collaboration contract obligations, may result in a delay of our ability to disclose data.</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Our current collaborations and any future collaborations that we enter into are subject to numerous risks, including:</w:t>
      </w:r>
    </w:p>
    <w:p>
      <w:pPr>
        <w:spacing w:after="0" w:line="102"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have significant discretion in determining the efforts and resources that they will apply to the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perform their obligations as expected or fail to fulfill their responsibilities in a timely manner, or at all;</w:t>
      </w:r>
    </w:p>
    <w:p>
      <w:pPr>
        <w:spacing w:after="0" w:line="114" w:lineRule="exact"/>
        <w:rPr>
          <w:rFonts w:ascii="Times New Roman" w:cs="Times New Roman" w:eastAsia="Times New Roman" w:hAnsi="Times New Roman"/>
          <w:sz w:val="17"/>
          <w:szCs w:val="17"/>
          <w:color w:val="auto"/>
        </w:rPr>
      </w:pPr>
    </w:p>
    <w:p>
      <w:pPr>
        <w:ind w:left="1020" w:right="40" w:hanging="503"/>
        <w:spacing w:after="0" w:line="243" w:lineRule="auto"/>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7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fail to make timely regulatory submissions for a product candidate;</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49" w:lineRule="auto"/>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65" w:lineRule="exact"/>
        <w:rPr>
          <w:rFonts w:ascii="Times New Roman" w:cs="Times New Roman" w:eastAsia="Times New Roman" w:hAnsi="Times New Roman"/>
          <w:sz w:val="17"/>
          <w:szCs w:val="17"/>
          <w:color w:val="auto"/>
        </w:rPr>
      </w:pPr>
    </w:p>
    <w:p>
      <w:pPr>
        <w:ind w:left="1020" w:right="20" w:hanging="503"/>
        <w:spacing w:after="0" w:line="249" w:lineRule="auto"/>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5"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collaborations may not result in product candidates to develop and/or preclinical studies or clinical trials conducted as part of the collaborations may not be successful;</w:t>
      </w:r>
    </w:p>
    <w:p>
      <w:pPr>
        <w:spacing w:after="0" w:line="5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3" w:name="page74"/>
    <w:bookmarkEnd w:id="73"/>
    <w:p>
      <w:pPr>
        <w:ind w:left="1020" w:right="80" w:hanging="503"/>
        <w:spacing w:after="0" w:line="266" w:lineRule="auto"/>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51" w:lineRule="exact"/>
        <w:rPr>
          <w:rFonts w:ascii="Times New Roman" w:cs="Times New Roman" w:eastAsia="Times New Roman" w:hAnsi="Times New Roman"/>
          <w:sz w:val="17"/>
          <w:szCs w:val="17"/>
          <w:color w:val="auto"/>
        </w:rPr>
      </w:pPr>
    </w:p>
    <w:p>
      <w:pPr>
        <w:ind w:left="1020" w:right="140" w:hanging="503"/>
        <w:spacing w:after="0" w:line="249" w:lineRule="auto"/>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For example, our license agreement with MGB may be terminated by MGB for our failure to pay, our failure to maintain proper insurance in accordance with the agreement, if we file for bankruptcy or if we remain in default for non-financial reasons following a specified cure period to remedy the breach. In the event of the termination of any collaboration or commercialization agreement,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If one of our collaborators terminates its agreement with us, we may find it more difficult to attract new collaborators and our reputation in the business and financial communities could be adversely affected.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74"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If conflicts arise with our development and commercialization collaborators or licensors, they may act in their own self-interest, which may be adverse to the interests of our company</w:t>
      </w:r>
      <w:r>
        <w:rPr>
          <w:rFonts w:ascii="Arial" w:cs="Arial" w:eastAsia="Arial" w:hAnsi="Arial"/>
          <w:sz w:val="17"/>
          <w:szCs w:val="17"/>
          <w:i w:val="1"/>
          <w:iCs w:val="1"/>
          <w:color w:val="auto"/>
        </w:rPr>
        <w:t>.</w:t>
      </w:r>
    </w:p>
    <w:p>
      <w:pPr>
        <w:spacing w:after="0" w:line="30"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51"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milestone, royalty and other payments that are believed due under the applicable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ownership of intellectual property rights or scope of licenses;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scope of any reporting obligations;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contract interpretation or the preferred course of development;</w:t>
      </w:r>
    </w:p>
    <w:p>
      <w:pPr>
        <w:spacing w:after="0" w:line="114"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unwillingness on the part of a collaborator to keep us informed regarding the progress of its development and commercialization activities, or to permit public disclosure of these activities; and</w:t>
      </w:r>
    </w:p>
    <w:p>
      <w:pPr>
        <w:spacing w:after="0" w:line="51" w:lineRule="exact"/>
        <w:rPr>
          <w:rFonts w:ascii="Times New Roman" w:cs="Times New Roman" w:eastAsia="Times New Roman" w:hAnsi="Times New Roman"/>
          <w:sz w:val="17"/>
          <w:szCs w:val="17"/>
          <w:color w:val="auto"/>
        </w:rPr>
      </w:pPr>
    </w:p>
    <w:p>
      <w:pPr>
        <w:ind w:left="1020" w:right="48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a collaborator’s or our development or commercialization efforts with respect to our products and product candidates.</w:t>
      </w:r>
    </w:p>
    <w:p>
      <w:pPr>
        <w:spacing w:after="0" w:line="5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Conflicts with our development and commercialization collaborators or licensors could materially adversely affect our business, financial condition or results of operations and future growth prospects.</w:t>
      </w:r>
    </w:p>
    <w:p>
      <w:pPr>
        <w:spacing w:after="0" w:line="51"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b w:val="1"/>
          <w:bCs w:val="1"/>
          <w:i w:val="1"/>
          <w:iCs w:val="1"/>
          <w:color w:val="auto"/>
        </w:rPr>
        <w:t>We rely on third parties, including independent clinical investigators and CROs to conduct and sponsor some of the clinical trials of our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Any failure by a third party to meet its obligations with respect to the clinical development of our product candidates may delay or impair our ability to obtain regulatory approval for our product candidates</w:t>
      </w:r>
      <w:r>
        <w:rPr>
          <w:rFonts w:ascii="Arial" w:cs="Arial" w:eastAsia="Arial" w:hAnsi="Arial"/>
          <w:sz w:val="17"/>
          <w:szCs w:val="17"/>
          <w:i w:val="1"/>
          <w:iCs w:val="1"/>
          <w:color w:val="auto"/>
        </w:rPr>
        <w:t>.</w:t>
      </w:r>
    </w:p>
    <w:p>
      <w:pPr>
        <w:spacing w:after="0" w:line="4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spacing w:after="0" w:line="72" w:lineRule="exact"/>
        <w:rPr>
          <w:sz w:val="20"/>
          <w:szCs w:val="20"/>
          <w:color w:val="auto"/>
        </w:rPr>
      </w:pPr>
    </w:p>
    <w:p>
      <w:pPr>
        <w:ind w:right="580"/>
        <w:spacing w:after="0" w:line="267" w:lineRule="auto"/>
        <w:rPr>
          <w:sz w:val="20"/>
          <w:szCs w:val="20"/>
          <w:color w:val="auto"/>
        </w:rPr>
      </w:pPr>
      <w:r>
        <w:rPr>
          <w:rFonts w:ascii="Arial" w:cs="Arial" w:eastAsia="Arial" w:hAnsi="Arial"/>
          <w:sz w:val="17"/>
          <w:szCs w:val="17"/>
          <w:color w:val="auto"/>
        </w:rPr>
        <w:t>Any of these third parties may terminate their engagements with us under certain circumstances. We may not be able to enter into alternative arrangements or do so on commercially reasonable terms. In addition, there is a natural transition period when a</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4" w:name="page75"/>
    <w:bookmarkEnd w:id="74"/>
    <w:p>
      <w:pPr>
        <w:ind w:right="240"/>
        <w:spacing w:after="0" w:line="267" w:lineRule="auto"/>
        <w:rPr>
          <w:sz w:val="20"/>
          <w:szCs w:val="20"/>
          <w:color w:val="auto"/>
        </w:rPr>
      </w:pPr>
      <w:r>
        <w:rPr>
          <w:rFonts w:ascii="Arial" w:cs="Arial" w:eastAsia="Arial" w:hAnsi="Arial"/>
          <w:sz w:val="17"/>
          <w:szCs w:val="17"/>
          <w:color w:val="auto"/>
        </w:rPr>
        <w:t>new CRO begins work. As a result, delays would likely occur, which could negatively impact our ability to meet our expected clinical development timelines and harm our business, financial condition and prospects.</w:t>
      </w:r>
    </w:p>
    <w:p>
      <w:pPr>
        <w:spacing w:after="0" w:line="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countries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7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7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74"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b w:val="1"/>
          <w:bCs w:val="1"/>
          <w:i w:val="1"/>
          <w:iCs w:val="1"/>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4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also expect to develop commercial-scale manufacturing at third-party manufacturers for our product candidate CAN-2409. We may develop clinical manufacturing capabilities for CAN-3110 at third-party manufacturers. There can be no assurance that our supply of clinical product will not be limited, interrupted, or of satisfactory quality or continue to be available at acceptable prices. In particular, any replacement of our CDMOs could require significant effort and expertise because there may be a limited number of qualified replacements. Any delays in obtaining adequate supplies of our product candidates that meet the necessary quality standards, including delays caused by any future public health crisis, may delay our development or commercialization.</w:t>
      </w:r>
    </w:p>
    <w:p>
      <w:pPr>
        <w:spacing w:after="0" w:line="7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75" w:name="page76"/>
    <w:bookmarkEnd w:id="75"/>
    <w:p>
      <w:pPr>
        <w:spacing w:after="0" w:line="241" w:lineRule="auto"/>
        <w:rPr>
          <w:sz w:val="20"/>
          <w:szCs w:val="20"/>
          <w:color w:val="auto"/>
        </w:rPr>
      </w:pPr>
      <w:r>
        <w:rPr>
          <w:rFonts w:ascii="Arial" w:cs="Arial" w:eastAsia="Arial" w:hAnsi="Arial"/>
          <w:sz w:val="17"/>
          <w:szCs w:val="17"/>
          <w:color w:val="auto"/>
        </w:rPr>
        <w:t>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7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CDMOs may not perform as agreed. If our manufacturers were to encounter these or other difficulties, our ability to provide product candidates to patients in our clinical trials could be jeopardized.</w:t>
      </w:r>
    </w:p>
    <w:p>
      <w:pPr>
        <w:spacing w:after="0" w:line="7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CDMOs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CDMOs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spacing w:after="0" w:line="7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approval from the FDA and applicable comparable foreign regulatory authorities for the use of any new manufacturers for commercial supply. The regulatory authorities may also require additional studies if a new manufacturer is relied upon for commercial production.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or approved by the FDA or another regulatory authority. The delays associated with the verification of a new CDMO could negatively affect our ability to develop product candidates or once approved, to commercialize those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78"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There are also current geopolitical tensions with China that may affect our operations. For example, there have been Congressional legislative proposals, such as the bill titled the BIOSECURE Act, which would, among other things, prohibit U.S. federal funding in connection with biotechnology equipment or services produced or provided by certain named Chinese “biotechnology companies of concern” (which includes WuXi Biologics) and loans and grants to, and federal contracts with any entity that uses biotechnology equipment or services from one of these entities. Any additional executive action, legislative action or potential sanctions with China could materially impact one of our current partners, WuXi, and our agreement with them</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6" w:name="page77"/>
    <w:bookmarkEnd w:id="76"/>
    <w:p>
      <w:pPr>
        <w:ind w:right="980"/>
        <w:spacing w:after="0" w:line="267" w:lineRule="auto"/>
        <w:rPr>
          <w:sz w:val="20"/>
          <w:szCs w:val="20"/>
          <w:color w:val="auto"/>
        </w:rPr>
      </w:pPr>
      <w:r>
        <w:rPr>
          <w:rFonts w:ascii="Arial" w:cs="Arial" w:eastAsia="Arial" w:hAnsi="Arial"/>
          <w:sz w:val="17"/>
          <w:szCs w:val="17"/>
          <w:color w:val="auto"/>
        </w:rPr>
        <w:t>as it relates to our stability testing. We continue to assess the legislation as it develops to determine the effect, if any, on our contractual relationships.</w:t>
      </w:r>
    </w:p>
    <w:p>
      <w:pPr>
        <w:spacing w:after="0" w:line="51"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7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6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4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have supplied and may continue to supply and otherwise support third party research, including investigator-sponsored clinical trials. Investigator-sponsored clinical trials pose similar risks as those set forth elsewhere in this “Risk Factors” section relating to our internally-sponsored clinical trials, but because we are not be the sponsors of these trials, we have less control over the protocols, administration or conduct of these trials, including follow-up with patients and ongoing collection of data after treatment. Additionally, third party clinical research has been and may continue to be conducted with CAN-3110 and CAN-2409 which was not provided by us. The conduct or findings of these trials may have a negative impact on our development programs notwithstanding that we have little involvement or control over these trials. As a result, we are subject to additional risks associated with the way investigator-sponsored trials are conducted. In particular, for trials in which we supply drug product, we may be named in lawsuits that would lead to increased costs associated with legal defense.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As a result, our lack of control over the conduct and timing of and communications with the FDA and other regulatory authorities regarding investigator-sponsored trials may expose us to additional risks and uncertainties, many of which are outside our control, and the occurrence of which could adversely affect the commercial prospects for our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8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We have completed and may in the future complete related party transactions that were not and may not be conducted on an arm’s length basis.</w:t>
      </w:r>
    </w:p>
    <w:p>
      <w:pPr>
        <w:spacing w:after="0" w:line="3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in the past been and continue to be party to certain transactions with certain entities affiliated with Estuardo Aguilar-Cordova, our founder and former Chief Scientific Officer, and Laura Aguilar, our former Chief Medical Officer. For instance, we have entered into an exclusive license agreement with Ventagen, LLC (Ventagen), an entity owned in part (49.5%), though not managed, by Estuardo Aguilar-Cordova and Laura Aguilar, for the use of worldwide patent rights and know-how owned or controlled by us which cover applicable technology utilizing the delivery method of the herpes derived TK protein to tumors or other tissues via a viral vector.</w:t>
      </w:r>
    </w:p>
    <w:p>
      <w:pPr>
        <w:spacing w:after="0" w:line="72"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In January 2008, we entered into an operating lease agreement with a term through December 31, 2022 with Ellka Holdings, LLC (Ellka), for the space in which we operated in Auburndale, MA. In May 2016, we entered into a second lease agreement with Ellka for living space for employees, also in Auburndale, MA. We entered into a second lease for this space on July 26, 2018, which expired on July 31, 2019. Ellka was originally established in 2007 as an LLC for the purpose of acquiring and managing investment properties owned by Laura Aguilar and Estuardo Aguilar-Cordova and their children’s trusts. Ellka is owned and operated by Laura Aguilar and Estuardo Aguilar-Cordova and members of their immediate family. Although we believe that these transactions were conducted on an arm’s length basis, it is possible that the terms were less favorable to us than they might have been in a transaction with an unrelated party.</w:t>
      </w:r>
    </w:p>
    <w:p>
      <w:pPr>
        <w:spacing w:after="0" w:line="74" w:lineRule="exact"/>
        <w:rPr>
          <w:sz w:val="20"/>
          <w:szCs w:val="20"/>
          <w:color w:val="auto"/>
        </w:rPr>
      </w:pPr>
    </w:p>
    <w:p>
      <w:pPr>
        <w:ind w:right="660"/>
        <w:spacing w:after="0" w:line="267" w:lineRule="auto"/>
        <w:rPr>
          <w:sz w:val="20"/>
          <w:szCs w:val="20"/>
          <w:color w:val="auto"/>
        </w:rPr>
      </w:pPr>
      <w:r>
        <w:rPr>
          <w:rFonts w:ascii="Arial" w:cs="Arial" w:eastAsia="Arial" w:hAnsi="Arial"/>
          <w:sz w:val="17"/>
          <w:szCs w:val="17"/>
          <w:color w:val="auto"/>
        </w:rPr>
        <w:t>In connection with the IPO, we adopted a written related-person transactions policy that sets forth our policies and procedures regarding the identification, review, consideration and oversight of related-person transactions.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7" w:name="page78"/>
    <w:bookmarkEnd w:id="77"/>
    <w:p>
      <w:pPr>
        <w:ind w:right="40"/>
        <w:spacing w:after="0" w:line="280"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which increases the possibility that a competitor will discover them or that our trade secrets will be misappropriated or disclosed</w:t>
      </w:r>
      <w:r>
        <w:rPr>
          <w:rFonts w:ascii="Arial" w:cs="Arial" w:eastAsia="Arial" w:hAnsi="Arial"/>
          <w:sz w:val="17"/>
          <w:szCs w:val="17"/>
          <w:i w:val="1"/>
          <w:iCs w:val="1"/>
          <w:color w:val="auto"/>
        </w:rPr>
        <w:t>.</w:t>
      </w:r>
    </w:p>
    <w:p>
      <w:pPr>
        <w:spacing w:after="0" w:line="3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74"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7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02"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5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are and expect to continue to be reliant upon third-party licensors for certain patent and other intellectual property rights that are important or necessary to the development of some of our technology and product candidates. For example, we rely on licenses from MGB and Periphagen to certain patent rights. These license agreements impose,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p>
    <w:p>
      <w:pPr>
        <w:spacing w:after="0" w:line="7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any of our license agreements are terminated, we may lose our rights to develop and commercialize certain of our product candidates and technology, lose patent protection, experience significant delays in the development and commercialization of certain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our or our licensors’ ability to obtain, maintain and defend intellectual property and to enforce intellectual property rights against third parties;</w:t>
      </w:r>
    </w:p>
    <w:p>
      <w:pPr>
        <w:spacing w:after="0" w:line="51"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technology, product candidates and processes infringe, misappropriate or otherwise violate the intellectual property of the licensor that is not subject to the license agreement;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8" w:name="page79"/>
    <w:bookmarkEnd w:id="78"/>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intellectual property rights under our license agreements;</w:t>
      </w:r>
    </w:p>
    <w:p>
      <w:pPr>
        <w:spacing w:after="0" w:line="114" w:lineRule="exact"/>
        <w:rPr>
          <w:rFonts w:ascii="Times New Roman" w:cs="Times New Roman" w:eastAsia="Times New Roman" w:hAnsi="Times New Roman"/>
          <w:sz w:val="17"/>
          <w:szCs w:val="17"/>
          <w:color w:val="auto"/>
        </w:rPr>
      </w:pPr>
    </w:p>
    <w:p>
      <w:pPr>
        <w:ind w:left="1020" w:right="68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development, regulatory, commercialization, financial or other obligations under the license agreement and what activities satisfy those diligence obligations;</w:t>
      </w:r>
    </w:p>
    <w:p>
      <w:pPr>
        <w:spacing w:after="0" w:line="51"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current or future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74"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Moreover, some of our in-licensed patent and other intellectual property rights may in the future be subject to third-party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7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w:t>
      </w:r>
    </w:p>
    <w:p>
      <w:pPr>
        <w:spacing w:after="0" w:line="72"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30"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Our business depends in large part on obtaining and maintaining patent, trademark and trade secret protection of our proprietary technologies and our product candidates, including their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9" w:name="page80"/>
    <w:bookmarkEnd w:id="79"/>
    <w:p>
      <w:pPr>
        <w:jc w:val="both"/>
        <w:ind w:right="420"/>
        <w:spacing w:after="0" w:line="249" w:lineRule="auto"/>
        <w:rPr>
          <w:sz w:val="20"/>
          <w:szCs w:val="20"/>
          <w:color w:val="auto"/>
        </w:rPr>
      </w:pPr>
      <w:r>
        <w:rPr>
          <w:rFonts w:ascii="Arial" w:cs="Arial" w:eastAsia="Arial" w:hAnsi="Arial"/>
          <w:sz w:val="17"/>
          <w:szCs w:val="17"/>
          <w:color w:val="auto"/>
        </w:rPr>
        <w:t>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6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and patents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3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and directed to our product candidates, and, if we were not, we may be precluded from obtaining patent protection for our technology, including our product candidates.</w:t>
      </w:r>
    </w:p>
    <w:p>
      <w:pPr>
        <w:spacing w:after="0" w:line="5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patents, and, if we are not, we may be subject to priority disputes.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and patents.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76" w:lineRule="exact"/>
        <w:rPr>
          <w:sz w:val="20"/>
          <w:szCs w:val="20"/>
          <w:color w:val="auto"/>
        </w:rPr>
      </w:pPr>
    </w:p>
    <w:p>
      <w:pPr>
        <w:jc w:val="both"/>
        <w:ind w:right="120"/>
        <w:spacing w:after="0" w:line="241"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the patents we in-license or narrow the scope of our patent protection. In addition, the laws of foreign countries may not protect our rights to the same extent or in the same manner as the laws of the United States. For example, European patent law is more restrictive than U.S. patent law in connection with the patentability of methods of treatment of the human body and Chinese bankruptcy law may not provide a licensee the same protections as U.S. bankruptcy law.</w:t>
      </w:r>
    </w:p>
    <w:p>
      <w:pPr>
        <w:spacing w:after="0" w:line="7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Furthermore, in the United States, patent reform legislation could increase the uncertainties and costs surrounding the prosecution of our patent applications and the enforcement or defense of our issued patents. Under the Leahy-Smith America Invents Act (the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included a number of other significant changes to U.S. patent law, including provisions that affect the way patent applications are prosecuted, redefine prior art and establish a new post-grant review system. The effects of these changes are unclear as the USPTO continues to develop new regulations and procedures in connection with the America Invents Act. In addition, the patent positions of companies in the development and commercialization of biopharmaceuticals are particularly uncertain. For example, the United States Supreme Court has ruled on several recent patent cases, either narrowing the scope of patent protection available in certain circumstances or weakening the rights of patent owners in certain situations. While we do not believe that any of our patents will be found invalid based on these or other decisions, we cannot predict how future decisions by the courts, the U.S. Congress or the USPTO may impact the value of our patents. Furthermore, in 2022, Congress passed the Inflation Reduction Act, or IRA, which authorizes the Secretary of the Department of Health and Human Services, or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that it will not affect our patent strategy in the long run. This combination of events has created uncertainty with respect to the validity and enforceability of patents, once obtained. Depending on future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0" w:name="page81"/>
    <w:bookmarkEnd w:id="80"/>
    <w:p>
      <w:pPr>
        <w:ind w:right="200"/>
        <w:spacing w:after="0" w:line="249" w:lineRule="auto"/>
        <w:rPr>
          <w:sz w:val="20"/>
          <w:szCs w:val="20"/>
          <w:color w:val="auto"/>
        </w:rPr>
      </w:pPr>
      <w:r>
        <w:rPr>
          <w:rFonts w:ascii="Arial" w:cs="Arial" w:eastAsia="Arial" w:hAnsi="Arial"/>
          <w:sz w:val="17"/>
          <w:szCs w:val="17"/>
          <w:color w:val="auto"/>
        </w:rPr>
        <w:t>actions by the U.S. Congress, the federal courts, and the USPTO, the laws and regulations governing patents could change in unpredictable ways that could increase the uncertainties and costs surrounding the prosecution of our patent applications and have a material adverse effect on our existing patent portfolio and our ability to protect and enforce our intellectual property in the future.</w:t>
      </w:r>
    </w:p>
    <w:p>
      <w:pPr>
        <w:spacing w:after="0" w:line="67"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In addition, the European Union opened a Unified Patent Court (UPC) in June 2023. The UPC is a common patent court that hears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 We have opted out of the UPC for our European patents and applications and may decide to opt out of any future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even if we elected, or in the future elect, to opt out of the UPC.</w:t>
      </w:r>
    </w:p>
    <w:p>
      <w:pPr>
        <w:spacing w:after="0" w:line="76"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cannot predict whether the patent applications we in-license currently being pursued will issue as patents, whether the claims of any patent that has or may issue will provide us with a competitive advantage or prevent competitors from designing around the claims to develop competing technologies in a non-infringing manner, or whether we or our licensors will be able to successfully pursue patent applications in the future relating to our current product candidates or future products and product candidates. Moreover, the patent application and approval process is expensive and time-consuming. We or our licensors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p>
    <w:p>
      <w:pPr>
        <w:spacing w:after="0" w:line="7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Even if the patent applications we in-license issue as patents, they may not issue in a form that will provide us with any meaningful protection, prevent competitors from competing with us or otherwise provide us with any competitive advantage. Our competitors may be able to circumvent our patent rights by developing similar or alternative technologies or products in a non-infringing manner. Our competitors may also seek approval to market their own products similar to or otherwise competitive with our product candidates. Alternatively, our competitors may seek to market generic versions of any approved products by submitting abbreviated BLAs to the FDA during which process they may claim that patents licensed by us are invalid, unenforceable or not infringed. In these circumstances, we may need to defend or assert our intellectual property rights, or both, including by filing lawsuits alleging patent infringement. In any of these types of proceedings, a court or other agency with jurisdiction may find the patents we in-license invalid or unenforceable, or that our competitors are competing in a non-infringing manner. Thus, even if we have in-licensed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73"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1" w:lineRule="exact"/>
        <w:rPr>
          <w:sz w:val="20"/>
          <w:szCs w:val="20"/>
          <w:color w:val="auto"/>
        </w:rPr>
      </w:pPr>
    </w:p>
    <w:p>
      <w:pPr>
        <w:ind w:left="1020" w:right="140" w:hanging="503"/>
        <w:spacing w:after="0" w:line="266"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51"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others may circumvent our owned or in-licensed patents;</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1" w:name="page82"/>
    <w:bookmarkEnd w:id="81"/>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14"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our owned, co-owned, or in-licensed issued patents may not provide us with any competitive advantages, may be narrowed in scope, or be held invalid or unenforceable as a result of legal challenges by third parties;</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 of our owned, co-owned,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65"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co-owners of certain of our patent applications may become involved with, or license or assign the co-owned applications to competitors, or become hostile to us or the patents or patent applications on which they are named as co-owners;</w:t>
      </w:r>
    </w:p>
    <w:p>
      <w:pPr>
        <w:spacing w:after="0" w:line="51" w:lineRule="exact"/>
        <w:rPr>
          <w:rFonts w:ascii="Times New Roman" w:cs="Times New Roman" w:eastAsia="Times New Roman" w:hAnsi="Times New Roman"/>
          <w:sz w:val="17"/>
          <w:szCs w:val="17"/>
          <w:color w:val="auto"/>
        </w:rPr>
      </w:pPr>
    </w:p>
    <w:p>
      <w:pPr>
        <w:jc w:val="both"/>
        <w:ind w:left="1020" w:right="540" w:hanging="503"/>
        <w:spacing w:after="0" w:line="249"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5"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patents of others may have an adverse effect on our business.</w:t>
      </w:r>
    </w:p>
    <w:p>
      <w:pPr>
        <w:spacing w:after="0" w:line="11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4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4"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7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2" w:name="page83"/>
    <w:bookmarkEnd w:id="82"/>
    <w:p>
      <w:pPr>
        <w:ind w:right="660"/>
        <w:spacing w:after="0" w:line="267" w:lineRule="auto"/>
        <w:rPr>
          <w:sz w:val="20"/>
          <w:szCs w:val="20"/>
          <w:color w:val="auto"/>
        </w:rPr>
      </w:pPr>
      <w:r>
        <w:rPr>
          <w:rFonts w:ascii="Arial" w:cs="Arial" w:eastAsia="Arial" w:hAnsi="Arial"/>
          <w:sz w:val="17"/>
          <w:szCs w:val="17"/>
          <w:color w:val="auto"/>
        </w:rPr>
        <w:t>rights, or defend certain of the intellectual property that is licensed to us. It is possible that the licensors’ infringement proceeding or defense activities may be less vigorous than had we conducted them ourselves.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research development strategy includes the establishment of coculture cancer cells, immune cells and viruses. Our techniques for establishing these cocultures and testing our experimental agents in these assays are proprietary and confidential. If one or more third parties obtain or are otherwise able to replicate these techniques, an important feature and differentiator of our research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02" w:lineRule="exact"/>
        <w:rPr>
          <w:sz w:val="20"/>
          <w:szCs w:val="20"/>
          <w:color w:val="auto"/>
        </w:rPr>
      </w:pPr>
    </w:p>
    <w:p>
      <w:pPr>
        <w:ind w:left="1020" w:right="300" w:hanging="503"/>
        <w:spacing w:after="0" w:line="26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3" w:name="page84"/>
    <w:bookmarkEnd w:id="83"/>
    <w:p>
      <w:pPr>
        <w:ind w:left="1020" w:right="80" w:hanging="503"/>
        <w:spacing w:after="0" w:line="249"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65" w:lineRule="exact"/>
        <w:rPr>
          <w:rFonts w:ascii="Times New Roman" w:cs="Times New Roman" w:eastAsia="Times New Roman" w:hAnsi="Times New Roman"/>
          <w:sz w:val="17"/>
          <w:szCs w:val="17"/>
          <w:color w:val="auto"/>
        </w:rPr>
      </w:pPr>
    </w:p>
    <w:p>
      <w:pPr>
        <w:ind w:left="1020" w:right="580" w:hanging="503"/>
        <w:spacing w:after="0" w:line="266"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65" w:lineRule="exact"/>
        <w:rPr>
          <w:rFonts w:ascii="Times New Roman" w:cs="Times New Roman" w:eastAsia="Times New Roman" w:hAnsi="Times New Roman"/>
          <w:sz w:val="17"/>
          <w:szCs w:val="17"/>
          <w:color w:val="auto"/>
        </w:rPr>
      </w:pPr>
    </w:p>
    <w:p>
      <w:pPr>
        <w:ind w:left="1020" w:right="680" w:hanging="503"/>
        <w:spacing w:after="0" w:line="266"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5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72" w:lineRule="exact"/>
        <w:rPr>
          <w:sz w:val="20"/>
          <w:szCs w:val="20"/>
          <w:color w:val="auto"/>
        </w:rPr>
      </w:pPr>
    </w:p>
    <w:p>
      <w:pPr>
        <w:jc w:val="both"/>
        <w:ind w:right="320"/>
        <w:spacing w:after="0" w:line="280"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7"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4" w:name="page85"/>
    <w:bookmarkEnd w:id="84"/>
    <w:p>
      <w:pPr>
        <w:ind w:right="120"/>
        <w:spacing w:after="0" w:line="280"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misappropriated trade secrets, or are in breach of non-competition or non-solicitation agreements with our competitors.</w:t>
      </w:r>
    </w:p>
    <w:p>
      <w:pPr>
        <w:spacing w:after="0" w:line="3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8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Uncertainties resulting from the initiation and continuation of patent litigation or other intellectual property related proceedings could adversely affect our ability to compete in the marketplace.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02"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5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7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74" w:lineRule="exact"/>
        <w:rPr>
          <w:sz w:val="20"/>
          <w:szCs w:val="20"/>
          <w:color w:val="auto"/>
        </w:rPr>
      </w:pPr>
    </w:p>
    <w:p>
      <w:pPr>
        <w:ind w:right="740"/>
        <w:spacing w:after="0" w:line="280"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3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5" w:name="page86"/>
    <w:bookmarkEnd w:id="85"/>
    <w:p>
      <w:pPr>
        <w:ind w:right="280"/>
        <w:spacing w:after="0" w:line="244" w:lineRule="auto"/>
        <w:rPr>
          <w:sz w:val="20"/>
          <w:szCs w:val="20"/>
          <w:color w:val="auto"/>
        </w:rPr>
      </w:pPr>
      <w:r>
        <w:rPr>
          <w:rFonts w:ascii="Arial" w:cs="Arial" w:eastAsia="Arial" w:hAnsi="Arial"/>
          <w:sz w:val="17"/>
          <w:szCs w:val="17"/>
          <w:color w:val="auto"/>
        </w:rPr>
        <w:t>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6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We may choose to challenge the patentability of claims in a third-party’s U.S. patent by requesting that the USPTO review the patent claims in an </w:t>
      </w:r>
      <w:r>
        <w:rPr>
          <w:rFonts w:ascii="Arial" w:cs="Arial" w:eastAsia="Arial" w:hAnsi="Arial"/>
          <w:sz w:val="17"/>
          <w:szCs w:val="17"/>
          <w:i w:val="1"/>
          <w:iCs w:val="1"/>
          <w:color w:val="auto"/>
        </w:rPr>
        <w:t xml:space="preserve">ex-parte </w:t>
      </w:r>
      <w:r>
        <w:rPr>
          <w:rFonts w:ascii="Arial" w:cs="Arial" w:eastAsia="Arial" w:hAnsi="Arial"/>
          <w:sz w:val="17"/>
          <w:szCs w:val="17"/>
          <w:color w:val="auto"/>
        </w:rPr>
        <w:t>re-examination,</w:t>
      </w:r>
      <w:r>
        <w:rPr>
          <w:rFonts w:ascii="Arial" w:cs="Arial" w:eastAsia="Arial" w:hAnsi="Arial"/>
          <w:sz w:val="17"/>
          <w:szCs w:val="17"/>
          <w:i w:val="1"/>
          <w:iCs w:val="1"/>
          <w:color w:val="auto"/>
        </w:rPr>
        <w:t xml:space="preserve"> inter partes </w:t>
      </w:r>
      <w:r>
        <w:rPr>
          <w:rFonts w:ascii="Arial" w:cs="Arial" w:eastAsia="Arial" w:hAnsi="Arial"/>
          <w:sz w:val="17"/>
          <w:szCs w:val="17"/>
          <w:color w:val="auto"/>
        </w:rPr>
        <w:t>review or post-grant review proceeding. These proceedings are expensive and may consume our time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We may choose to challenge a third-party’s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7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69" w:lineRule="exact"/>
        <w:rPr>
          <w:sz w:val="20"/>
          <w:szCs w:val="20"/>
          <w:color w:val="auto"/>
        </w:rPr>
      </w:pPr>
    </w:p>
    <w:p>
      <w:pPr>
        <w:jc w:val="both"/>
        <w:ind w:right="340"/>
        <w:spacing w:after="0" w:line="25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79"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Issued patents covering our product candidates could be found invalid or unenforceable if challenged in court or the USPTO or could expire before the first product achieves marketing approval.</w:t>
      </w:r>
    </w:p>
    <w:p>
      <w:pPr>
        <w:spacing w:after="0" w:line="3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6" w:name="page87"/>
    <w:bookmarkEnd w:id="86"/>
    <w:p>
      <w:pPr>
        <w:ind w:right="180"/>
        <w:spacing w:after="0" w:line="237" w:lineRule="auto"/>
        <w:rPr>
          <w:sz w:val="20"/>
          <w:szCs w:val="20"/>
          <w:color w:val="auto"/>
        </w:rPr>
      </w:pPr>
      <w:r>
        <w:rPr>
          <w:rFonts w:ascii="Arial" w:cs="Arial" w:eastAsia="Arial" w:hAnsi="Arial"/>
          <w:sz w:val="17"/>
          <w:szCs w:val="17"/>
          <w:color w:val="auto"/>
        </w:rPr>
        <w:t>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76"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Likewise, we own a U.S. patent relating to our CAN-2409 product candidate that expires in 2034, and our in-licensed U.S. and non-U.S. patents relating to our HSV-based product candidates, licensed from MGB and from Periphagen are expected to expire in 2036 and in 2037, respectively, without taking into account any possible patent term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and in-license pending patent applications relating to our proprietary technologies or our product candidates that if issued as patents are expected to expire from 2034 through 2045, without taking into account any possible patent term adjustments or extensions. However, we cannot be assured that the USPTO or relevant foreign patent offices will grant any of these patent applications or that the term of the patent will be sufficient to protect the proprietary technologies or product candidates.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4" w:lineRule="exact"/>
        <w:rPr>
          <w:sz w:val="20"/>
          <w:szCs w:val="20"/>
          <w:color w:val="auto"/>
        </w:rPr>
      </w:pPr>
    </w:p>
    <w:p>
      <w:pPr>
        <w:ind w:right="840"/>
        <w:spacing w:after="0" w:line="280"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7" w:name="page88"/>
    <w:bookmarkEnd w:id="87"/>
    <w:p>
      <w:pPr>
        <w:ind w:right="20"/>
        <w:spacing w:after="0" w:line="236"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73"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0"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to stockholders.</w:t>
      </w:r>
    </w:p>
    <w:p>
      <w:pPr>
        <w:spacing w:after="0" w:line="102"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Our stock price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purchased. The market price for our common stock may be influenced by many factors, including:</w:t>
      </w:r>
    </w:p>
    <w:p>
      <w:pPr>
        <w:spacing w:after="0" w:line="69"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success of competitive products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commencement or termination of collaboration, licensing or similar arrangements for our development programs;</w:t>
      </w:r>
    </w:p>
    <w:p>
      <w:pPr>
        <w:spacing w:after="0" w:line="114" w:lineRule="exact"/>
        <w:rPr>
          <w:rFonts w:ascii="Times New Roman" w:cs="Times New Roman" w:eastAsia="Times New Roman" w:hAnsi="Times New Roman"/>
          <w:sz w:val="17"/>
          <w:szCs w:val="17"/>
          <w:color w:val="auto"/>
        </w:rPr>
      </w:pPr>
    </w:p>
    <w:p>
      <w:pPr>
        <w:ind w:left="1020" w:right="840" w:hanging="503"/>
        <w:spacing w:after="0" w:line="266"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announcements by our competitors of significant acquisitions, strategic partnerships, joint ventures, collaborations or capital commitments;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or legal developments in the United States and other countries;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recruitment or departure of key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results of our efforts to discover, develop, acquire or in-license additional product candidates or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setbacks related to drugs that are co-administered with any of our product candidates, such as checkpoint inhibitors;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expiration of market stand-off or lock-up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the structure of healthcare payment systems;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market conditions in the pharmaceutical and biotechnology sectors;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general economic, industry and market conditions and overall fluctuations in the financial markets in the United States and abroad;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other factors described in this “Risk Factors” section.</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88" w:name="page89"/>
    <w:bookmarkEnd w:id="88"/>
    <w:p>
      <w:pPr>
        <w:ind w:right="200"/>
        <w:spacing w:after="0" w:line="256" w:lineRule="auto"/>
        <w:rPr>
          <w:sz w:val="20"/>
          <w:szCs w:val="20"/>
          <w:color w:val="auto"/>
        </w:rPr>
      </w:pPr>
      <w:r>
        <w:rPr>
          <w:rFonts w:ascii="Arial" w:cs="Arial" w:eastAsia="Arial" w:hAnsi="Arial"/>
          <w:sz w:val="17"/>
          <w:szCs w:val="17"/>
          <w:b w:val="1"/>
          <w:bCs w:val="1"/>
          <w:i w:val="1"/>
          <w:iCs w:val="1"/>
          <w:color w:val="auto"/>
        </w:rPr>
        <w:t>Raising additional capital through the sale of a substantial number of shares of our common stock, or the perception that sales of a substantial number of shares of our common stock might occur, may cause dilution to our stockholders, could cause our stock price to decline and could restrict our operations or require us to relinquish rights to our technologies or current or future product candidates.</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may materially adversely affect your rights as a common stockholder. In August 2022, we filed a registration statement on Form S-3 (as amended, the Shelf) pursuant to which we may issue up to $75.0 million in shares of common stock in sales deemed to be “at-the-market offerings” (the ATM Program) as defined by the Securities Act of 1933, as amended (Securities Act), and up to $200.0 million in shares of our common stock, preferred stock, debt securities, warrants and/or units. As of August 5, 2025, we have sold and issued 3,923,829 shares of common stock under the ATM Program, with total net proceeds of $20.9 million. Any sale or issuance of securities pursuant to this registration statement or otherwise may result in dilution to our stockholders and may cause our stock price to decline.</w:t>
      </w:r>
    </w:p>
    <w:p>
      <w:pPr>
        <w:spacing w:after="0" w:line="76"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Debt financing, if available, would increase our fixed payment obligations and may involve agreements that include covenants limiting or restricting our ability to take specific actions, such as incurring additional debt, acquiring, selling or licensing intellectual property rights,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74"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We are an “emerging growth company” as defined in the JOBS Act and a “smaller reporting company” as defined in the Securities Exchange Act of 1934, as amended (the Exchange Act), and will be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5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earlier of (i) the last day of the fiscal year in which we have total annual gross revenues of $1.235 billion or more; (ii) December 31, 2026;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4"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the auditor attestation requirements of Section 404 of the SOX Act (Section 404);</w:t>
      </w:r>
    </w:p>
    <w:p>
      <w:pPr>
        <w:spacing w:after="0" w:line="114" w:lineRule="exact"/>
        <w:rPr>
          <w:rFonts w:ascii="Times New Roman" w:cs="Times New Roman" w:eastAsia="Times New Roman" w:hAnsi="Times New Roman"/>
          <w:sz w:val="17"/>
          <w:szCs w:val="17"/>
          <w:color w:val="auto"/>
        </w:rPr>
      </w:pPr>
    </w:p>
    <w:p>
      <w:pPr>
        <w:ind w:left="1020" w:right="80" w:hanging="503"/>
        <w:spacing w:after="0" w:line="249"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5" w:lineRule="exact"/>
        <w:rPr>
          <w:rFonts w:ascii="Times New Roman" w:cs="Times New Roman" w:eastAsia="Times New Roman" w:hAnsi="Times New Roman"/>
          <w:sz w:val="17"/>
          <w:szCs w:val="17"/>
          <w:color w:val="auto"/>
        </w:rPr>
      </w:pPr>
    </w:p>
    <w:p>
      <w:pPr>
        <w:jc w:val="both"/>
        <w:ind w:left="1020" w:right="600" w:hanging="503"/>
        <w:spacing w:after="0" w:line="266"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reduced disclosure obligations regarding executive compensation; and</w:t>
      </w:r>
    </w:p>
    <w:p>
      <w:pPr>
        <w:spacing w:after="0" w:line="114"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5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may choose to take advantage of some, but not all, of the available exemptions. For example, we have taken advantage of reduced reporting burdens in our Annual Report on Form 10-K. In particular, we provided only two years of audited financial statements and a correspondingly reduced “Management’s Discussion and Analysis of Financial Condition and Results of</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9" w:name="page90"/>
    <w:bookmarkEnd w:id="89"/>
    <w:p>
      <w:pPr>
        <w:jc w:val="both"/>
        <w:ind w:right="100"/>
        <w:spacing w:after="0" w:line="249" w:lineRule="auto"/>
        <w:rPr>
          <w:sz w:val="20"/>
          <w:szCs w:val="20"/>
          <w:color w:val="auto"/>
        </w:rPr>
      </w:pPr>
      <w:r>
        <w:rPr>
          <w:rFonts w:ascii="Arial" w:cs="Arial" w:eastAsia="Arial" w:hAnsi="Arial"/>
          <w:sz w:val="17"/>
          <w:szCs w:val="17"/>
          <w:color w:val="auto"/>
        </w:rPr>
        <w:t>Operations” disclosure, and did not include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67"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69"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no longer qualify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7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Although we are still evaluating the JOBS Act, we currently intend to take advantage of some, but not all, of the reduced regulatory and reporting requirements that will be available to us so long as we qualify as an “emerging growth company” and “smaller reporting company.” We have elected to avail ourselves of this exemption and, therefore, we are not subject to the same new or revised accounting standards as other public companies that are not emerging growth companies or smaller reporting company. As a result, changes in rules of U.S. generally accepted accounting principles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 “smaller reporting company” or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74"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a public company, and particularly after we are no longer an “emerging growth company,” we incur significant legal, accounting and other expenses that we did not incur as a private company. We are subject to the reporting requirements of the Exchange Act, which will require, among other things, that we file with the SEC annual, quarterly and current reports with respect to our business and financial condition. In addition, the SOX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an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maintain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90" w:name="page91"/>
    <w:bookmarkEnd w:id="90"/>
    <w:p>
      <w:pPr>
        <w:ind w:right="20"/>
        <w:spacing w:after="0" w:line="235"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79"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Sales of a substantial number of shares of our common stock by our existing stockholders in the public market could cause our stock price to fall.</w:t>
      </w:r>
    </w:p>
    <w:p>
      <w:pPr>
        <w:spacing w:after="0" w:line="3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trading price of our common stock could decline. As of August 5, 2025, we had a total of 54,895,099 shares of common stock outstanding.</w:t>
      </w:r>
    </w:p>
    <w:p>
      <w:pPr>
        <w:spacing w:after="0" w:line="5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shares of common stock that are reserved for future issuance under our 2021 Plan and our 2021 Employee Stock Purchase Plan will become eligible for sale in the public market to the extent permitted by the provisions of various vesting schedules, Rule 144 and Rule 701 under the Securities Act. If these additional shares of common stock are sold, or if it is perceived that they will be sold, in the public market, the trading price of our common stock could decline.</w:t>
      </w:r>
    </w:p>
    <w:p>
      <w:pPr>
        <w:spacing w:after="0" w:line="6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Certain holders of shares of our common stock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69"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30"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67"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3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existing holdings of our executive officers, directors, principal stockholders and their affiliates represent beneficial ownership, in the aggregate, of approximately 25.5% of our outstanding common stock with entities and persons affiliated with PBM Capital Group, LLC (PBM Capital) beneficially owning approximately 17.7%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74"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delaying, deferring or preventing a change of control of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1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91" w:name="page92"/>
    <w:bookmarkEnd w:id="91"/>
    <w:p>
      <w:pPr>
        <w:ind w:left="1020" w:right="54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51" w:lineRule="exact"/>
        <w:rPr>
          <w:rFonts w:ascii="Times New Roman" w:cs="Times New Roman" w:eastAsia="Times New Roman" w:hAnsi="Times New Roman"/>
          <w:sz w:val="17"/>
          <w:szCs w:val="17"/>
          <w:color w:val="auto"/>
        </w:rPr>
      </w:pPr>
    </w:p>
    <w:p>
      <w:pPr>
        <w:ind w:left="1020" w:right="36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49"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5"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51" w:lineRule="exact"/>
        <w:rPr>
          <w:rFonts w:ascii="Times New Roman" w:cs="Times New Roman" w:eastAsia="Times New Roman" w:hAnsi="Times New Roman"/>
          <w:sz w:val="17"/>
          <w:szCs w:val="17"/>
          <w:color w:val="auto"/>
        </w:rPr>
      </w:pPr>
    </w:p>
    <w:p>
      <w:pPr>
        <w:ind w:left="1020" w:right="58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6"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or the Delaware Forum Provision. The Delaware Forum Provision does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as our principal office is located in Needham, Massachusetts.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77"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92" w:name="page93"/>
    <w:bookmarkEnd w:id="92"/>
    <w:p>
      <w:pPr>
        <w:ind w:right="140"/>
        <w:spacing w:after="0" w:line="267" w:lineRule="auto"/>
        <w:rPr>
          <w:sz w:val="20"/>
          <w:szCs w:val="20"/>
          <w:color w:val="auto"/>
        </w:rPr>
      </w:pPr>
      <w:r>
        <w:rPr>
          <w:rFonts w:ascii="Arial" w:cs="Arial" w:eastAsia="Arial" w:hAnsi="Arial"/>
          <w:sz w:val="17"/>
          <w:szCs w:val="17"/>
          <w:color w:val="auto"/>
        </w:rPr>
        <w:t>considering an action may be located or would otherwise choose to bring the action, and such judgments may be more or less favorable to us than our stockholders.</w:t>
      </w:r>
    </w:p>
    <w:p>
      <w:pPr>
        <w:spacing w:after="0" w:line="51"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30"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may lose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management's attention.</w:t>
      </w:r>
    </w:p>
    <w:p>
      <w:pPr>
        <w:spacing w:after="0" w:line="102"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were highly volatile as a result of the COVID-19 pandemic and may be volatile as a result of a similar public health crisis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74" w:lineRule="exact"/>
        <w:rPr>
          <w:sz w:val="20"/>
          <w:szCs w:val="20"/>
          <w:color w:val="auto"/>
        </w:rPr>
      </w:pPr>
    </w:p>
    <w:p>
      <w:pPr>
        <w:ind w:right="680"/>
        <w:spacing w:after="0" w:line="280" w:lineRule="auto"/>
        <w:rPr>
          <w:sz w:val="20"/>
          <w:szCs w:val="20"/>
          <w:color w:val="auto"/>
        </w:rPr>
      </w:pPr>
      <w:r>
        <w:rPr>
          <w:rFonts w:ascii="Arial" w:cs="Arial" w:eastAsia="Arial" w:hAnsi="Arial"/>
          <w:sz w:val="17"/>
          <w:szCs w:val="17"/>
          <w:b w:val="1"/>
          <w:bCs w:val="1"/>
          <w:i w:val="1"/>
          <w:iCs w:val="1"/>
          <w:color w:val="auto"/>
        </w:rPr>
        <w:t>The number of shares of our common stock outstanding may increase substantially as a result of our November 2018 issuance of warrants to purchase up to an aggregate of 7,344,968 shares of common stock.</w:t>
      </w:r>
    </w:p>
    <w:p>
      <w:pPr>
        <w:spacing w:after="0" w:line="3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connection with the November 13, 2018 issuance of Series B convertible preferred stock (the Series B Preferred), we issued to the purchaser of the Series B Preferred, warrants to purchase 3,672,484 shares of common stock for $6.81 per share (the Series B Warrants) which were and remain fully exercisable upon issuance. The Series B Warrants contain provisions allowing cashless exercise.</w:t>
      </w:r>
    </w:p>
    <w:p>
      <w:pPr>
        <w:spacing w:after="0" w:line="67"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color w:val="auto"/>
        </w:rPr>
        <w:t>In addition, we issued to the same stockholder additional five-year warrants for the purchase of 3,672,484 shares of common stock for $6.81 per share (the Conditional Series B Warrants), which become exercisable in the event that we complete a future financing that meets certain financial milestones or achieves certain share prices as follows:</w:t>
      </w:r>
    </w:p>
    <w:p>
      <w:pPr>
        <w:spacing w:after="0" w:line="67"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w:t>
      </w:r>
    </w:p>
    <w:p>
      <w:pPr>
        <w:spacing w:after="0" w:line="8" w:lineRule="exact"/>
        <w:rPr>
          <w:rFonts w:ascii="Times New Roman" w:cs="Times New Roman" w:eastAsia="Times New Roman" w:hAnsi="Times New Roman"/>
          <w:sz w:val="17"/>
          <w:szCs w:val="17"/>
          <w:color w:val="auto"/>
        </w:rPr>
      </w:pPr>
    </w:p>
    <w:p>
      <w:pPr>
        <w:ind w:left="1020" w:right="20"/>
        <w:spacing w:after="0" w:line="248" w:lineRule="auto"/>
        <w:rPr>
          <w:rFonts w:ascii="Times New Roman" w:cs="Times New Roman" w:eastAsia="Times New Roman" w:hAnsi="Times New Roman"/>
          <w:sz w:val="17"/>
          <w:szCs w:val="17"/>
          <w:color w:val="auto"/>
        </w:rPr>
      </w:pPr>
      <w:r>
        <w:rPr>
          <w:rFonts w:ascii="Arial" w:cs="Arial" w:eastAsia="Arial" w:hAnsi="Arial"/>
          <w:sz w:val="17"/>
          <w:szCs w:val="17"/>
          <w:color w:val="auto"/>
        </w:rPr>
        <w:t>$20,000,000 in gross proceeds with a per share price of $12.47, or (2) an average market price (determined over a consecutive 10-day period) of $12.47 per share;</w:t>
      </w:r>
    </w:p>
    <w:p>
      <w:pPr>
        <w:spacing w:after="0" w:line="66"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5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On June 24, 2021, our board of directors approved, and on July 14, 2021, our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7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recorded the Series B Warrants as a component of stockholder’s equity at the time of issuance at their estimated fair value of $2.1 million and recorded the Conditional Series B Warrants as a liability on the condensed consolidated balance sheet because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and comprehensive income (loss). We will continue to recognize changes in the fair value of the Conditional Series B Warrants until each Conditional Series B Warrant is exercised, expires or qualifies for equity classification.</w:t>
      </w:r>
    </w:p>
    <w:p>
      <w:pPr>
        <w:spacing w:after="0" w:line="7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exercise of these warrants in full, assuming vesting in full of the Conditional Series B Warrants and no net exercise, would result in an additional 7,344,968 shares of common stock outstanding, resulting in substantial dilution to stockholders who hold our common stock. In addition, if the holders of these warrants, including PBM Capital, were to exercise such warrants in full,</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93" w:name="page94"/>
    <w:bookmarkEnd w:id="93"/>
    <w:p>
      <w:pPr>
        <w:spacing w:after="0" w:line="267" w:lineRule="auto"/>
        <w:rPr>
          <w:sz w:val="20"/>
          <w:szCs w:val="20"/>
          <w:color w:val="auto"/>
        </w:rPr>
      </w:pPr>
      <w:r>
        <w:rPr>
          <w:rFonts w:ascii="Arial" w:cs="Arial" w:eastAsia="Arial" w:hAnsi="Arial"/>
          <w:sz w:val="17"/>
          <w:szCs w:val="17"/>
          <w:color w:val="auto"/>
        </w:rPr>
        <w:t>these holders could then have significant influence over the outcome of any stockholder vote, including the election of directors and the approval of mergers or other business combination transactions.</w:t>
      </w: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76" w:right="4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1" w:lineRule="exact"/>
        <w:rPr>
          <w:sz w:val="20"/>
          <w:szCs w:val="20"/>
          <w:color w:val="auto"/>
        </w:rPr>
      </w:pPr>
    </w:p>
    <w:p>
      <w:pPr>
        <w:ind w:right="7040" w:firstLine="8"/>
        <w:spacing w:after="0" w:line="381" w:lineRule="auto"/>
        <w:tabs>
          <w:tab w:leader="none" w:pos="256"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Recent Sales of Unregistered Equity Securities </w:t>
      </w:r>
      <w:r>
        <w:rPr>
          <w:rFonts w:ascii="Arial" w:cs="Arial" w:eastAsia="Arial" w:hAnsi="Arial"/>
          <w:sz w:val="17"/>
          <w:szCs w:val="17"/>
          <w:color w:val="auto"/>
        </w:rPr>
        <w:t>None.</w:t>
      </w:r>
    </w:p>
    <w:p>
      <w:pPr>
        <w:ind w:left="280" w:hanging="272"/>
        <w:spacing w:after="0"/>
        <w:tabs>
          <w:tab w:leader="none" w:pos="28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Use of Proceeds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42" w:lineRule="exact"/>
        <w:rPr>
          <w:sz w:val="20"/>
          <w:szCs w:val="20"/>
          <w:color w:val="auto"/>
        </w:rPr>
      </w:pPr>
    </w:p>
    <w:p>
      <w:pPr>
        <w:ind w:right="7800" w:firstLine="8"/>
        <w:spacing w:after="0" w:line="391" w:lineRule="auto"/>
        <w:tabs>
          <w:tab w:leader="none" w:pos="256"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Issuer Purchases of Equity Securities </w:t>
      </w:r>
      <w:r>
        <w:rPr>
          <w:rFonts w:ascii="Arial" w:cs="Arial" w:eastAsia="Arial" w:hAnsi="Arial"/>
          <w:sz w:val="17"/>
          <w:szCs w:val="17"/>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During the three months ended June 30, 2025, none of our directors or officers (as defined in Rule 16a-1(f) of the Securities Exchange Act of 1934, as amended) adopted, terminated or modified a Rule 10b5-1 trading arrangement or any “non-Rule 10b5-1 trading agreement” (as defined in Item 408(c) of Regulation S-K).</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71"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40" w:type="dxa"/>
            <w:vAlign w:val="bottom"/>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gridSpan w:val="16"/>
          </w:tcPr>
          <w:p>
            <w:pPr>
              <w:ind w:left="22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960" w:type="dxa"/>
            <w:vAlign w:val="bottom"/>
          </w:tcPr>
          <w:p>
            <w:pPr>
              <w:jc w:val="center"/>
              <w:ind w:right="210"/>
              <w:spacing w:after="0" w:line="169"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4"/>
                <w:szCs w:val="14"/>
                <w:color w:val="auto"/>
              </w:rPr>
            </w:pPr>
          </w:p>
        </w:tc>
        <w:tc>
          <w:tcPr>
            <w:tcW w:w="10160" w:type="dxa"/>
            <w:vAlign w:val="bottom"/>
            <w:gridSpan w:val="18"/>
          </w:tcPr>
          <w:p>
            <w:pPr>
              <w:spacing w:after="0" w:line="169" w:lineRule="exact"/>
              <w:rPr>
                <w:rFonts w:ascii="Arial" w:cs="Arial" w:eastAsia="Arial" w:hAnsi="Arial"/>
                <w:sz w:val="18"/>
                <w:szCs w:val="18"/>
                <w:color w:val="0000FF"/>
              </w:rPr>
            </w:pPr>
            <w:hyperlink r:id="rId296">
              <w:r>
                <w:rPr>
                  <w:rFonts w:ascii="Arial" w:cs="Arial" w:eastAsia="Arial" w:hAnsi="Arial"/>
                  <w:sz w:val="18"/>
                  <w:szCs w:val="18"/>
                  <w:color w:val="0000FF"/>
                </w:rPr>
                <w:t>Amended and Restated Certificate of Incorporation of Candel Therapeutics, Inc. (incorporated by reference to Exhibit 3.1 to the</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296">
              <w:r>
                <w:rPr>
                  <w:rFonts w:ascii="Arial" w:cs="Arial" w:eastAsia="Arial" w:hAnsi="Arial"/>
                  <w:sz w:val="18"/>
                  <w:szCs w:val="18"/>
                  <w:color w:val="0000FF"/>
                </w:rPr>
                <w:t>Registrant’s Current Report on Form 8-K filed with the SEC on July 30,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210"/>
              <w:spacing w:after="0" w:line="202" w:lineRule="exact"/>
              <w:rPr>
                <w:sz w:val="20"/>
                <w:szCs w:val="20"/>
                <w:color w:val="auto"/>
              </w:rPr>
            </w:pPr>
            <w:r>
              <w:rPr>
                <w:rFonts w:ascii="Arial" w:cs="Arial" w:eastAsia="Arial" w:hAnsi="Arial"/>
                <w:sz w:val="18"/>
                <w:szCs w:val="18"/>
                <w:color w:val="auto"/>
              </w:rPr>
              <w:t>3.2</w:t>
            </w: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980" w:type="dxa"/>
            <w:vAlign w:val="bottom"/>
            <w:gridSpan w:val="12"/>
            <w:vMerge w:val="restart"/>
          </w:tcPr>
          <w:p>
            <w:pPr>
              <w:spacing w:after="0" w:line="202" w:lineRule="exact"/>
              <w:rPr>
                <w:rFonts w:ascii="Arial" w:cs="Arial" w:eastAsia="Arial" w:hAnsi="Arial"/>
                <w:sz w:val="18"/>
                <w:szCs w:val="18"/>
                <w:color w:val="0000FF"/>
              </w:rPr>
            </w:pPr>
            <w:hyperlink r:id="rId297">
              <w:r>
                <w:rPr>
                  <w:rFonts w:ascii="Arial" w:cs="Arial" w:eastAsia="Arial" w:hAnsi="Arial"/>
                  <w:sz w:val="18"/>
                  <w:szCs w:val="18"/>
                  <w:color w:val="0000FF"/>
                </w:rPr>
                <w:t>reference to Exhibit 3.2 to the Registrant’s</w:t>
              </w:r>
            </w:hyperlink>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160" w:type="dxa"/>
            <w:vAlign w:val="bottom"/>
            <w:gridSpan w:val="5"/>
          </w:tcPr>
          <w:p>
            <w:pPr>
              <w:spacing w:after="0" w:line="182" w:lineRule="exact"/>
              <w:rPr>
                <w:rFonts w:ascii="Arial" w:cs="Arial" w:eastAsia="Arial" w:hAnsi="Arial"/>
                <w:sz w:val="18"/>
                <w:szCs w:val="18"/>
                <w:color w:val="0000FF"/>
                <w:w w:val="99"/>
              </w:rPr>
            </w:pPr>
            <w:hyperlink r:id="rId297">
              <w:r>
                <w:rPr>
                  <w:rFonts w:ascii="Arial" w:cs="Arial" w:eastAsia="Arial" w:hAnsi="Arial"/>
                  <w:sz w:val="18"/>
                  <w:szCs w:val="18"/>
                  <w:color w:val="0000FF"/>
                  <w:w w:val="99"/>
                </w:rPr>
                <w:t>Amended and Restated Bylaws of Candel Therapeutics, Inc. (incorporated by</w:t>
              </w:r>
            </w:hyperlink>
          </w:p>
        </w:tc>
        <w:tc>
          <w:tcPr>
            <w:tcW w:w="20" w:type="dxa"/>
            <w:vAlign w:val="bottom"/>
            <w:vMerge w:val="continue"/>
          </w:tcPr>
          <w:p>
            <w:pPr>
              <w:spacing w:after="0"/>
              <w:rPr>
                <w:sz w:val="15"/>
                <w:szCs w:val="15"/>
                <w:color w:val="auto"/>
              </w:rPr>
            </w:pPr>
          </w:p>
        </w:tc>
        <w:tc>
          <w:tcPr>
            <w:tcW w:w="3980" w:type="dxa"/>
            <w:vAlign w:val="bottom"/>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jc w:val="center"/>
              <w:ind w:right="21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5"/>
                <w:szCs w:val="15"/>
                <w:color w:val="auto"/>
              </w:rPr>
            </w:pPr>
          </w:p>
        </w:tc>
        <w:tc>
          <w:tcPr>
            <w:tcW w:w="958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297">
              <w:r>
                <w:rPr>
                  <w:rFonts w:ascii="Arial" w:cs="Arial" w:eastAsia="Arial" w:hAnsi="Arial"/>
                  <w:sz w:val="18"/>
                  <w:szCs w:val="18"/>
                  <w:color w:val="0000FF"/>
                </w:rPr>
                <w:t>Current Report on Form 8-K filed with the SEC on July 30, 2021)</w:t>
              </w:r>
              <w:r>
                <w:rPr>
                  <w:rFonts w:ascii="Times New Roman" w:cs="Times New Roman" w:eastAsia="Times New Roman" w:hAnsi="Times New Roman"/>
                  <w:sz w:val="18"/>
                  <w:szCs w:val="18"/>
                  <w:color w:val="000000"/>
                </w:rPr>
                <w:t>.</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FF"/>
              </w:rPr>
            </w:pPr>
            <w:hyperlink r:id="rId298">
              <w:r>
                <w:rPr>
                  <w:rFonts w:ascii="Arial" w:cs="Arial" w:eastAsia="Arial" w:hAnsi="Arial"/>
                  <w:sz w:val="18"/>
                  <w:szCs w:val="18"/>
                  <w:color w:val="0000FF"/>
                </w:rPr>
                <w:t>Amendment to Amended and Restated Bylaws of Candel Therapeutics, Inc. (incorporated by reference to Exhibit 3.1 to the</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8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298">
              <w:r>
                <w:rPr>
                  <w:rFonts w:ascii="Arial" w:cs="Arial" w:eastAsia="Arial" w:hAnsi="Arial"/>
                  <w:sz w:val="18"/>
                  <w:szCs w:val="18"/>
                  <w:color w:val="0000FF"/>
                  <w:w w:val="99"/>
                </w:rPr>
                <w:t>Registrant's Current Report on Form 8-K filed with the SEC on May 30, 2024).</w:t>
              </w:r>
            </w:hyperlink>
          </w:p>
        </w:tc>
        <w:tc>
          <w:tcPr>
            <w:tcW w:w="362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jc w:val="center"/>
              <w:ind w:right="210"/>
              <w:spacing w:after="0" w:line="182"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5"/>
                <w:szCs w:val="15"/>
                <w:color w:val="auto"/>
              </w:rPr>
            </w:pPr>
          </w:p>
        </w:tc>
        <w:tc>
          <w:tcPr>
            <w:tcW w:w="6180" w:type="dxa"/>
            <w:vAlign w:val="bottom"/>
            <w:gridSpan w:val="6"/>
          </w:tcPr>
          <w:p>
            <w:pPr>
              <w:spacing w:after="0" w:line="182" w:lineRule="exact"/>
              <w:rPr>
                <w:rFonts w:ascii="Arial" w:cs="Arial" w:eastAsia="Arial" w:hAnsi="Arial"/>
                <w:sz w:val="18"/>
                <w:szCs w:val="18"/>
                <w:color w:val="0000FF"/>
                <w:w w:val="99"/>
              </w:rPr>
            </w:pPr>
            <w:hyperlink r:id="rId299">
              <w:r>
                <w:rPr>
                  <w:rFonts w:ascii="Arial" w:cs="Arial" w:eastAsia="Arial" w:hAnsi="Arial"/>
                  <w:sz w:val="18"/>
                  <w:szCs w:val="18"/>
                  <w:color w:val="0000FF"/>
                  <w:w w:val="99"/>
                </w:rPr>
                <w:t>Specimen Common Stock Certificate (incorporated by reference to Exhibit 4.1</w:t>
              </w:r>
            </w:hyperlink>
          </w:p>
        </w:tc>
        <w:tc>
          <w:tcPr>
            <w:tcW w:w="40" w:type="dxa"/>
            <w:vAlign w:val="bottom"/>
          </w:tcPr>
          <w:p>
            <w:pPr>
              <w:spacing w:after="0"/>
              <w:rPr>
                <w:sz w:val="15"/>
                <w:szCs w:val="15"/>
                <w:color w:val="auto"/>
              </w:rPr>
            </w:pPr>
          </w:p>
        </w:tc>
        <w:tc>
          <w:tcPr>
            <w:tcW w:w="3940" w:type="dxa"/>
            <w:vAlign w:val="bottom"/>
            <w:gridSpan w:val="11"/>
          </w:tcPr>
          <w:p>
            <w:pPr>
              <w:spacing w:after="0" w:line="182" w:lineRule="exact"/>
              <w:rPr>
                <w:rFonts w:ascii="Arial" w:cs="Arial" w:eastAsia="Arial" w:hAnsi="Arial"/>
                <w:sz w:val="18"/>
                <w:szCs w:val="18"/>
                <w:color w:val="0000FF"/>
              </w:rPr>
            </w:pPr>
            <w:hyperlink r:id="rId299">
              <w:r>
                <w:rPr>
                  <w:rFonts w:ascii="Arial" w:cs="Arial" w:eastAsia="Arial" w:hAnsi="Arial"/>
                  <w:sz w:val="18"/>
                  <w:szCs w:val="18"/>
                  <w:color w:val="0000FF"/>
                </w:rPr>
                <w:t>to the Registrant’s Registration Statement on</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jc w:val="center"/>
              <w:ind w:right="21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5"/>
                <w:szCs w:val="15"/>
                <w:color w:val="auto"/>
              </w:rPr>
            </w:pPr>
          </w:p>
        </w:tc>
        <w:tc>
          <w:tcPr>
            <w:tcW w:w="984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299">
              <w:r>
                <w:rPr>
                  <w:rFonts w:ascii="Arial" w:cs="Arial" w:eastAsia="Arial" w:hAnsi="Arial"/>
                  <w:sz w:val="18"/>
                  <w:szCs w:val="18"/>
                  <w:color w:val="0000FF"/>
                </w:rPr>
                <w:t>Form S-1/A (File No. 333- 257444) filed with the SEC on July 16, 2021)</w:t>
              </w:r>
              <w:r>
                <w:rPr>
                  <w:rFonts w:ascii="Times New Roman" w:cs="Times New Roman" w:eastAsia="Times New Roman" w:hAnsi="Times New Roman"/>
                  <w:sz w:val="18"/>
                  <w:szCs w:val="18"/>
                  <w:color w:val="000000"/>
                </w:rPr>
                <w:t>.</w:t>
              </w:r>
            </w:hyperlink>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36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FF"/>
              </w:rPr>
            </w:pPr>
            <w:hyperlink r:id="rId300">
              <w:r>
                <w:rPr>
                  <w:rFonts w:ascii="Arial" w:cs="Arial" w:eastAsia="Arial" w:hAnsi="Arial"/>
                  <w:sz w:val="18"/>
                  <w:szCs w:val="18"/>
                  <w:color w:val="0000FF"/>
                </w:rPr>
                <w:t>Securities Purchase Agreement, dated June 23, 2025, by and among the Registrant and the parties named therein</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5"/>
                <w:szCs w:val="15"/>
                <w:color w:val="auto"/>
              </w:rPr>
            </w:pPr>
          </w:p>
        </w:tc>
        <w:tc>
          <w:tcPr>
            <w:tcW w:w="9140" w:type="dxa"/>
            <w:vAlign w:val="bottom"/>
            <w:tcBorders>
              <w:top w:val="single" w:sz="8" w:color="0000FF"/>
              <w:bottom w:val="single" w:sz="8" w:color="0000EE"/>
            </w:tcBorders>
            <w:gridSpan w:val="8"/>
          </w:tcPr>
          <w:p>
            <w:pPr>
              <w:spacing w:after="0" w:line="182" w:lineRule="exact"/>
              <w:rPr>
                <w:rFonts w:ascii="Arial" w:cs="Arial" w:eastAsia="Arial" w:hAnsi="Arial"/>
                <w:sz w:val="18"/>
                <w:szCs w:val="18"/>
                <w:color w:val="0000FF"/>
                <w:w w:val="98"/>
              </w:rPr>
            </w:pPr>
            <w:hyperlink r:id="rId300">
              <w:r>
                <w:rPr>
                  <w:rFonts w:ascii="Arial" w:cs="Arial" w:eastAsia="Arial" w:hAnsi="Arial"/>
                  <w:sz w:val="18"/>
                  <w:szCs w:val="18"/>
                  <w:color w:val="0000FF"/>
                  <w:w w:val="98"/>
                </w:rPr>
                <w:t>(incorporated by reference to Exhibit 10.1 to the Registrant’s Current Report on Form 8-K filed with the SEC on June</w:t>
              </w:r>
            </w:hyperlink>
          </w:p>
        </w:tc>
        <w:tc>
          <w:tcPr>
            <w:tcW w:w="1000" w:type="dxa"/>
            <w:vAlign w:val="bottom"/>
            <w:tcBorders>
              <w:bottom w:val="single" w:sz="8" w:color="0000EE"/>
            </w:tcBorders>
            <w:gridSpan w:val="9"/>
          </w:tcPr>
          <w:p>
            <w:pPr>
              <w:jc w:val="right"/>
              <w:ind w:right="60"/>
              <w:spacing w:after="0" w:line="182" w:lineRule="exact"/>
              <w:rPr>
                <w:rFonts w:ascii="Arial" w:cs="Arial" w:eastAsia="Arial" w:hAnsi="Arial"/>
                <w:sz w:val="18"/>
                <w:szCs w:val="18"/>
                <w:color w:val="0000FF"/>
              </w:rPr>
            </w:pPr>
            <w:hyperlink r:id="rId300">
              <w:r>
                <w:rPr>
                  <w:rFonts w:ascii="Arial" w:cs="Arial" w:eastAsia="Arial" w:hAnsi="Arial"/>
                  <w:sz w:val="18"/>
                  <w:szCs w:val="18"/>
                  <w:color w:val="0000FF"/>
                </w:rPr>
                <w:t>24, 2025).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gridSpan w:val="16"/>
          </w:tcPr>
          <w:p>
            <w:pPr>
              <w:spacing w:after="0" w:line="182"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5"/>
                <w:szCs w:val="15"/>
                <w:color w:val="auto"/>
              </w:rPr>
            </w:pPr>
          </w:p>
        </w:tc>
        <w:tc>
          <w:tcPr>
            <w:tcW w:w="982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3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gridSpan w:val="5"/>
            <w:shd w:val="clear" w:color="auto" w:fill="0000FF"/>
          </w:tcPr>
          <w:p>
            <w:pPr>
              <w:spacing w:after="0" w:line="20" w:lineRule="exact"/>
              <w:rPr>
                <w:sz w:val="1"/>
                <w:szCs w:val="1"/>
                <w:color w:val="auto"/>
              </w:rPr>
            </w:pPr>
          </w:p>
        </w:tc>
        <w:tc>
          <w:tcPr>
            <w:tcW w:w="3940" w:type="dxa"/>
            <w:vAlign w:val="bottom"/>
            <w:gridSpan w:val="11"/>
            <w:vMerge w:val="restart"/>
          </w:tcPr>
          <w:p>
            <w:pPr>
              <w:spacing w:after="0" w:line="202" w:lineRule="exact"/>
              <w:rPr>
                <w:sz w:val="20"/>
                <w:szCs w:val="20"/>
                <w:color w:val="auto"/>
              </w:rPr>
            </w:pPr>
            <w:r>
              <w:rPr>
                <w:rFonts w:ascii="Arial" w:cs="Arial" w:eastAsia="Arial" w:hAnsi="Arial"/>
                <w:sz w:val="18"/>
                <w:szCs w:val="18"/>
                <w:color w:val="0000FF"/>
              </w:rPr>
              <w:t>-14(a) under the Securities Exchange Act of</w:t>
            </w: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20" w:type="dxa"/>
            <w:vAlign w:val="bottom"/>
            <w:gridSpan w:val="7"/>
          </w:tcPr>
          <w:p>
            <w:pPr>
              <w:spacing w:after="0" w:line="182" w:lineRule="exact"/>
              <w:rPr>
                <w:sz w:val="20"/>
                <w:szCs w:val="20"/>
                <w:color w:val="auto"/>
              </w:rPr>
            </w:pPr>
            <w:r>
              <w:rPr>
                <w:rFonts w:ascii="Arial" w:cs="Arial" w:eastAsia="Arial" w:hAnsi="Arial"/>
                <w:sz w:val="18"/>
                <w:szCs w:val="18"/>
                <w:color w:val="0000FF"/>
                <w:w w:val="98"/>
              </w:rPr>
              <w:t>Certification of Principal Financial Officer Pursuant to Rules 13a-14(a) and 15d</w:t>
            </w:r>
          </w:p>
        </w:tc>
        <w:tc>
          <w:tcPr>
            <w:tcW w:w="394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jc w:val="center"/>
              <w:ind w:right="21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5"/>
                <w:szCs w:val="15"/>
                <w:color w:val="auto"/>
              </w:rPr>
            </w:pPr>
          </w:p>
        </w:tc>
        <w:tc>
          <w:tcPr>
            <w:tcW w:w="976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4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gridSpan w:val="5"/>
            <w:shd w:val="clear" w:color="auto" w:fill="0000FF"/>
          </w:tcPr>
          <w:p>
            <w:pPr>
              <w:spacing w:after="0" w:line="20" w:lineRule="exact"/>
              <w:rPr>
                <w:sz w:val="1"/>
                <w:szCs w:val="1"/>
                <w:color w:val="auto"/>
              </w:rPr>
            </w:pPr>
          </w:p>
        </w:tc>
        <w:tc>
          <w:tcPr>
            <w:tcW w:w="3940" w:type="dxa"/>
            <w:vAlign w:val="bottom"/>
            <w:gridSpan w:val="11"/>
            <w:vMerge w:val="restart"/>
          </w:tcPr>
          <w:p>
            <w:pPr>
              <w:ind w:left="60"/>
              <w:spacing w:after="0" w:line="202" w:lineRule="exact"/>
              <w:rPr>
                <w:sz w:val="20"/>
                <w:szCs w:val="20"/>
                <w:color w:val="auto"/>
              </w:rPr>
            </w:pPr>
            <w:r>
              <w:rPr>
                <w:rFonts w:ascii="Arial" w:cs="Arial" w:eastAsia="Arial" w:hAnsi="Arial"/>
                <w:sz w:val="18"/>
                <w:szCs w:val="18"/>
                <w:color w:val="0000FF"/>
              </w:rPr>
              <w:t>as Adopted Pursuant to Section 906 of the</w:t>
            </w:r>
          </w:p>
        </w:tc>
        <w:tc>
          <w:tcPr>
            <w:tcW w:w="0" w:type="dxa"/>
            <w:vAlign w:val="bottom"/>
          </w:tcPr>
          <w:p>
            <w:pPr>
              <w:spacing w:after="0" w:line="20" w:lineRule="exact"/>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20" w:type="dxa"/>
            <w:vAlign w:val="bottom"/>
            <w:gridSpan w:val="7"/>
          </w:tcPr>
          <w:p>
            <w:pPr>
              <w:spacing w:after="0" w:line="182" w:lineRule="exact"/>
              <w:rPr>
                <w:sz w:val="20"/>
                <w:szCs w:val="20"/>
                <w:color w:val="auto"/>
              </w:rPr>
            </w:pPr>
            <w:r>
              <w:rPr>
                <w:rFonts w:ascii="Arial" w:cs="Arial" w:eastAsia="Arial" w:hAnsi="Arial"/>
                <w:sz w:val="18"/>
                <w:szCs w:val="18"/>
                <w:color w:val="0000FF"/>
                <w:w w:val="98"/>
              </w:rPr>
              <w:t>Certification of Principal Executive Officer Pursuant to 18 U.S.C. Section 1350,</w:t>
            </w:r>
          </w:p>
        </w:tc>
        <w:tc>
          <w:tcPr>
            <w:tcW w:w="394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restart"/>
          </w:tcPr>
          <w:p>
            <w:pPr>
              <w:jc w:val="center"/>
              <w:ind w:right="21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00" w:type="dxa"/>
            <w:vAlign w:val="bottom"/>
            <w:tcBorders>
              <w:top w:val="single" w:sz="8" w:color="0000FF"/>
            </w:tcBorders>
            <w:gridSpan w:val="9"/>
          </w:tcPr>
          <w:p>
            <w:pPr>
              <w:spacing w:after="0"/>
              <w:rPr>
                <w:sz w:val="15"/>
                <w:szCs w:val="15"/>
                <w:color w:val="auto"/>
              </w:rPr>
            </w:pPr>
          </w:p>
        </w:tc>
        <w:tc>
          <w:tcPr>
            <w:tcW w:w="4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160" w:type="dxa"/>
            <w:vAlign w:val="bottom"/>
            <w:gridSpan w:val="18"/>
          </w:tcPr>
          <w:p>
            <w:pPr>
              <w:spacing w:after="0" w:line="182"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96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40" w:type="dxa"/>
            <w:vAlign w:val="bottom"/>
            <w:tcBorders>
              <w:top w:val="single" w:sz="8" w:color="0000FF"/>
            </w:tcBorders>
            <w:gridSpan w:val="8"/>
          </w:tcPr>
          <w:p>
            <w:pPr>
              <w:spacing w:after="0"/>
              <w:rPr>
                <w:sz w:val="15"/>
                <w:szCs w:val="15"/>
                <w:color w:val="auto"/>
              </w:rPr>
            </w:pPr>
          </w:p>
        </w:tc>
        <w:tc>
          <w:tcPr>
            <w:tcW w:w="5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160" w:type="dxa"/>
            <w:vAlign w:val="bottom"/>
            <w:gridSpan w:val="18"/>
          </w:tcPr>
          <w:p>
            <w:pPr>
              <w:spacing w:after="0" w:line="191"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60" w:type="dxa"/>
            <w:vAlign w:val="bottom"/>
            <w:gridSpan w:val="18"/>
          </w:tcPr>
          <w:p>
            <w:pPr>
              <w:spacing w:after="0" w:line="202" w:lineRule="exact"/>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8"/>
                <w:szCs w:val="18"/>
                <w:color w:val="auto"/>
              </w:rPr>
            </w:pPr>
          </w:p>
        </w:tc>
        <w:tc>
          <w:tcPr>
            <w:tcW w:w="1016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10160" w:type="dxa"/>
            <w:vAlign w:val="bottom"/>
            <w:gridSpan w:val="1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9512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34" w:lineRule="exact"/>
        <w:rPr>
          <w:sz w:val="20"/>
          <w:szCs w:val="20"/>
          <w:color w:val="auto"/>
        </w:rPr>
      </w:pPr>
    </w:p>
    <w:p>
      <w:pPr>
        <w:ind w:right="2000" w:firstLine="8"/>
        <w:spacing w:after="0" w:line="273" w:lineRule="auto"/>
        <w:tabs>
          <w:tab w:leader="none" w:pos="142" w:val="left"/>
        </w:tabs>
        <w:numPr>
          <w:ilvl w:val="0"/>
          <w:numId w:val="57"/>
        </w:numPr>
        <w:rPr>
          <w:rFonts w:ascii="Arial" w:cs="Arial" w:eastAsia="Arial" w:hAnsi="Arial"/>
          <w:sz w:val="17"/>
          <w:szCs w:val="17"/>
          <w:color w:val="auto"/>
        </w:rPr>
      </w:pPr>
      <w:r>
        <w:rPr>
          <w:rFonts w:ascii="Arial" w:cs="Arial" w:eastAsia="Arial" w:hAnsi="Arial"/>
          <w:sz w:val="17"/>
          <w:szCs w:val="17"/>
          <w:color w:val="auto"/>
        </w:rPr>
        <w:t>Schedules and exhibits have been omitted pursuant to Item 601(a)(5) of Regulation S-K. A copy of any omitted schedule and/or exhibit will be furnished to the SEC upon request.</w:t>
      </w:r>
    </w:p>
    <w:p>
      <w:pPr>
        <w:spacing w:after="0" w:line="1" w:lineRule="exact"/>
        <w:rPr>
          <w:sz w:val="20"/>
          <w:szCs w:val="20"/>
          <w:color w:val="auto"/>
        </w:rPr>
      </w:pPr>
    </w:p>
    <w:p>
      <w:pPr>
        <w:jc w:val="both"/>
        <w:ind w:right="180" w:firstLine="8"/>
        <w:spacing w:after="0" w:line="249" w:lineRule="auto"/>
        <w:tabs>
          <w:tab w:leader="none" w:pos="147"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certifications furnished in Exhibits 32.1 and 32.2 hereto are deemed to be furnished with this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6" w:name="page97"/>
    <w:bookmarkEnd w:id="96"/>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0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Candel Therapeutics, Inc.</w:t>
      </w:r>
    </w:p>
    <w:p>
      <w:pPr>
        <w:spacing w:after="0" w:line="183"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7"/>
          <w:szCs w:val="17"/>
          <w:color w:val="auto"/>
        </w:rPr>
        <w:t>Date: August 14,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10160</wp:posOffset>
            </wp:positionV>
            <wp:extent cx="330898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7"/>
          <w:szCs w:val="17"/>
          <w:color w:val="auto"/>
        </w:rPr>
        <w:t>Paul Peter Tak</w:t>
      </w:r>
    </w:p>
    <w:p>
      <w:pPr>
        <w:jc w:val="center"/>
        <w:ind w:left="6000"/>
        <w:spacing w:after="0"/>
        <w:rPr>
          <w:sz w:val="20"/>
          <w:szCs w:val="20"/>
          <w:color w:val="auto"/>
        </w:rPr>
      </w:pPr>
      <w:r>
        <w:rPr>
          <w:rFonts w:ascii="Arial" w:cs="Arial" w:eastAsia="Arial" w:hAnsi="Arial"/>
          <w:sz w:val="17"/>
          <w:szCs w:val="17"/>
          <w:color w:val="auto"/>
        </w:rPr>
        <w:t>President and Chief Executive Officer</w:t>
      </w:r>
    </w:p>
    <w:p>
      <w:pPr>
        <w:spacing w:after="0" w:line="7"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(Principal executive officer)</w:t>
      </w:r>
    </w:p>
    <w:p>
      <w:pPr>
        <w:spacing w:after="0" w:line="180" w:lineRule="exact"/>
        <w:rPr>
          <w:sz w:val="20"/>
          <w:szCs w:val="20"/>
          <w:color w:val="auto"/>
        </w:rPr>
      </w:pPr>
    </w:p>
    <w:p>
      <w:pPr>
        <w:spacing w:after="0"/>
        <w:tabs>
          <w:tab w:leader="none" w:pos="5680" w:val="left"/>
          <w:tab w:leader="none" w:pos="7900" w:val="left"/>
        </w:tabs>
        <w:rPr>
          <w:sz w:val="20"/>
          <w:szCs w:val="20"/>
          <w:color w:val="auto"/>
        </w:rPr>
      </w:pPr>
      <w:r>
        <w:rPr>
          <w:rFonts w:ascii="Arial" w:cs="Arial" w:eastAsia="Arial" w:hAnsi="Arial"/>
          <w:sz w:val="17"/>
          <w:szCs w:val="17"/>
          <w:color w:val="auto"/>
        </w:rPr>
        <w:t>Date: August 14,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10160</wp:posOffset>
            </wp:positionV>
            <wp:extent cx="330898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7"/>
          <w:szCs w:val="17"/>
          <w:color w:val="auto"/>
        </w:rPr>
        <w:t>Charles Schoch</w:t>
      </w:r>
    </w:p>
    <w:p>
      <w:pPr>
        <w:jc w:val="center"/>
        <w:ind w:left="6000"/>
        <w:spacing w:after="0" w:line="232" w:lineRule="auto"/>
        <w:rPr>
          <w:sz w:val="20"/>
          <w:szCs w:val="20"/>
          <w:color w:val="auto"/>
        </w:rPr>
      </w:pPr>
      <w:r>
        <w:rPr>
          <w:rFonts w:ascii="Arial" w:cs="Arial" w:eastAsia="Arial" w:hAnsi="Arial"/>
          <w:sz w:val="17"/>
          <w:szCs w:val="17"/>
          <w:color w:val="auto"/>
        </w:rPr>
        <w:t>Chief Financial Officer</w:t>
      </w:r>
    </w:p>
    <w:p>
      <w:pPr>
        <w:jc w:val="center"/>
        <w:ind w:left="600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1" w:right="739" w:bottom="1440" w:gutter="0" w:footer="0" w:header="0"/>
        </w:sectPr>
      </w:pPr>
    </w:p>
    <w:bookmarkStart w:id="97" w:name="page98"/>
    <w:bookmarkEnd w:id="97"/>
    <w:p>
      <w:pPr>
        <w:jc w:val="right"/>
        <w:spacing w:after="0"/>
        <w:rPr>
          <w:sz w:val="20"/>
          <w:szCs w:val="20"/>
          <w:color w:val="auto"/>
        </w:rPr>
      </w:pPr>
      <w:r>
        <w:rPr>
          <w:rFonts w:ascii="Arial" w:cs="Arial" w:eastAsia="Arial" w:hAnsi="Arial"/>
          <w:sz w:val="21"/>
          <w:szCs w:val="21"/>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I, Paul Peter Tak, certify that:</w:t>
      </w:r>
    </w:p>
    <w:p>
      <w:pPr>
        <w:spacing w:after="0" w:line="123"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Candel Therapeutics, Inc.;</w:t>
      </w:r>
    </w:p>
    <w:p>
      <w:pPr>
        <w:spacing w:after="0" w:line="123" w:lineRule="exact"/>
        <w:rPr>
          <w:rFonts w:ascii="Arial" w:cs="Arial" w:eastAsia="Arial" w:hAnsi="Arial"/>
          <w:sz w:val="21"/>
          <w:szCs w:val="21"/>
          <w:color w:val="auto"/>
        </w:rPr>
      </w:pPr>
    </w:p>
    <w:p>
      <w:pPr>
        <w:ind w:left="520" w:right="400" w:hanging="512"/>
        <w:spacing w:after="0" w:line="257" w:lineRule="auto"/>
        <w:tabs>
          <w:tab w:leader="none" w:pos="471" w:val="left"/>
        </w:tabs>
        <w:numPr>
          <w:ilvl w:val="0"/>
          <w:numId w:val="59"/>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21"/>
          <w:szCs w:val="21"/>
          <w:color w:val="auto"/>
        </w:rPr>
      </w:pPr>
    </w:p>
    <w:p>
      <w:pPr>
        <w:jc w:val="both"/>
        <w:ind w:left="520" w:right="20" w:hanging="512"/>
        <w:spacing w:after="0" w:line="257" w:lineRule="auto"/>
        <w:tabs>
          <w:tab w:leader="none" w:pos="471" w:val="left"/>
        </w:tabs>
        <w:numPr>
          <w:ilvl w:val="0"/>
          <w:numId w:val="59"/>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21"/>
          <w:szCs w:val="21"/>
          <w:color w:val="auto"/>
        </w:rPr>
      </w:pPr>
    </w:p>
    <w:p>
      <w:pPr>
        <w:ind w:left="520" w:right="340" w:hanging="512"/>
        <w:spacing w:after="0" w:line="257" w:lineRule="auto"/>
        <w:tabs>
          <w:tab w:leader="none" w:pos="471"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21"/>
          <w:szCs w:val="21"/>
          <w:color w:val="auto"/>
        </w:rPr>
      </w:pPr>
    </w:p>
    <w:p>
      <w:pPr>
        <w:ind w:left="1020" w:right="180" w:hanging="479"/>
        <w:spacing w:after="0" w:line="252" w:lineRule="auto"/>
        <w:tabs>
          <w:tab w:leader="none" w:pos="995" w:val="left"/>
        </w:tabs>
        <w:numPr>
          <w:ilvl w:val="1"/>
          <w:numId w:val="59"/>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21"/>
          <w:szCs w:val="21"/>
          <w:color w:val="auto"/>
        </w:rPr>
      </w:pPr>
    </w:p>
    <w:p>
      <w:pPr>
        <w:ind w:left="1020" w:right="220" w:hanging="479"/>
        <w:spacing w:after="0" w:line="252" w:lineRule="auto"/>
        <w:tabs>
          <w:tab w:leader="none" w:pos="995" w:val="left"/>
        </w:tabs>
        <w:numPr>
          <w:ilvl w:val="1"/>
          <w:numId w:val="59"/>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21"/>
          <w:szCs w:val="21"/>
          <w:color w:val="auto"/>
        </w:rPr>
      </w:pPr>
    </w:p>
    <w:p>
      <w:pPr>
        <w:jc w:val="both"/>
        <w:ind w:left="1020" w:right="220" w:hanging="479"/>
        <w:spacing w:after="0" w:line="257" w:lineRule="auto"/>
        <w:tabs>
          <w:tab w:leader="none" w:pos="995" w:val="left"/>
        </w:tabs>
        <w:numPr>
          <w:ilvl w:val="1"/>
          <w:numId w:val="59"/>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21"/>
          <w:szCs w:val="21"/>
          <w:color w:val="auto"/>
        </w:rPr>
      </w:pPr>
    </w:p>
    <w:p>
      <w:pPr>
        <w:ind w:left="1020" w:right="280" w:hanging="479"/>
        <w:spacing w:after="0" w:line="252" w:lineRule="auto"/>
        <w:tabs>
          <w:tab w:leader="none" w:pos="995" w:val="left"/>
        </w:tabs>
        <w:numPr>
          <w:ilvl w:val="1"/>
          <w:numId w:val="59"/>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21"/>
          <w:szCs w:val="21"/>
          <w:color w:val="auto"/>
        </w:rPr>
      </w:pPr>
    </w:p>
    <w:p>
      <w:pPr>
        <w:ind w:left="520" w:right="20" w:hanging="512"/>
        <w:spacing w:after="0" w:line="257" w:lineRule="auto"/>
        <w:tabs>
          <w:tab w:leader="none" w:pos="471"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21"/>
          <w:szCs w:val="21"/>
          <w:color w:val="auto"/>
        </w:rPr>
      </w:pPr>
    </w:p>
    <w:p>
      <w:pPr>
        <w:ind w:left="1020" w:right="180" w:hanging="479"/>
        <w:spacing w:after="0" w:line="257" w:lineRule="auto"/>
        <w:tabs>
          <w:tab w:leader="none" w:pos="995" w:val="left"/>
        </w:tabs>
        <w:numPr>
          <w:ilvl w:val="1"/>
          <w:numId w:val="59"/>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21"/>
          <w:szCs w:val="21"/>
          <w:color w:val="auto"/>
        </w:rPr>
      </w:pPr>
    </w:p>
    <w:p>
      <w:pPr>
        <w:ind w:left="1020" w:right="40" w:hanging="479"/>
        <w:spacing w:after="0" w:line="273" w:lineRule="auto"/>
        <w:tabs>
          <w:tab w:leader="none" w:pos="995" w:val="left"/>
        </w:tabs>
        <w:numPr>
          <w:ilvl w:val="1"/>
          <w:numId w:val="59"/>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58" w:lineRule="exact"/>
        <w:rPr>
          <w:sz w:val="20"/>
          <w:szCs w:val="20"/>
          <w:color w:val="auto"/>
        </w:rPr>
      </w:pPr>
    </w:p>
    <w:p>
      <w:pPr>
        <w:spacing w:after="0"/>
        <w:tabs>
          <w:tab w:leader="none" w:pos="5620" w:val="left"/>
          <w:tab w:leader="none" w:pos="7880" w:val="left"/>
        </w:tabs>
        <w:rPr>
          <w:sz w:val="20"/>
          <w:szCs w:val="20"/>
          <w:color w:val="auto"/>
        </w:rPr>
      </w:pPr>
      <w:r>
        <w:rPr>
          <w:rFonts w:ascii="Arial" w:cs="Arial" w:eastAsia="Arial" w:hAnsi="Arial"/>
          <w:sz w:val="21"/>
          <w:szCs w:val="21"/>
          <w:color w:val="auto"/>
        </w:rPr>
        <w:t>Date: August 14, 2025</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12700</wp:posOffset>
            </wp:positionV>
            <wp:extent cx="320611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2"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color w:val="auto"/>
        </w:rPr>
        <w:t>Paul Peter Tak</w:t>
      </w:r>
    </w:p>
    <w:p>
      <w:pPr>
        <w:spacing w:after="0" w:line="18"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color w:val="auto"/>
        </w:rPr>
        <w:t>President and Chief Executive Officer</w:t>
      </w:r>
    </w:p>
    <w:p>
      <w:pPr>
        <w:spacing w:after="0" w:line="2"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1"/>
          <w:szCs w:val="21"/>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I, Charles Schoch, certify that:</w:t>
      </w:r>
    </w:p>
    <w:p>
      <w:pPr>
        <w:spacing w:after="0" w:line="123"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Candel Therapeutics, Inc.;</w:t>
      </w:r>
    </w:p>
    <w:p>
      <w:pPr>
        <w:spacing w:after="0" w:line="123" w:lineRule="exact"/>
        <w:rPr>
          <w:rFonts w:ascii="Arial" w:cs="Arial" w:eastAsia="Arial" w:hAnsi="Arial"/>
          <w:sz w:val="21"/>
          <w:szCs w:val="21"/>
          <w:color w:val="auto"/>
        </w:rPr>
      </w:pPr>
    </w:p>
    <w:p>
      <w:pPr>
        <w:ind w:left="520" w:right="400" w:hanging="512"/>
        <w:spacing w:after="0" w:line="257" w:lineRule="auto"/>
        <w:tabs>
          <w:tab w:leader="none" w:pos="471" w:val="left"/>
        </w:tabs>
        <w:numPr>
          <w:ilvl w:val="0"/>
          <w:numId w:val="60"/>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21"/>
          <w:szCs w:val="21"/>
          <w:color w:val="auto"/>
        </w:rPr>
      </w:pPr>
    </w:p>
    <w:p>
      <w:pPr>
        <w:jc w:val="both"/>
        <w:ind w:left="520" w:right="20" w:hanging="512"/>
        <w:spacing w:after="0" w:line="257" w:lineRule="auto"/>
        <w:tabs>
          <w:tab w:leader="none" w:pos="471" w:val="left"/>
        </w:tabs>
        <w:numPr>
          <w:ilvl w:val="0"/>
          <w:numId w:val="60"/>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21"/>
          <w:szCs w:val="21"/>
          <w:color w:val="auto"/>
        </w:rPr>
      </w:pPr>
    </w:p>
    <w:p>
      <w:pPr>
        <w:ind w:left="520" w:right="340" w:hanging="512"/>
        <w:spacing w:after="0" w:line="257" w:lineRule="auto"/>
        <w:tabs>
          <w:tab w:leader="none" w:pos="471"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21"/>
          <w:szCs w:val="21"/>
          <w:color w:val="auto"/>
        </w:rPr>
      </w:pPr>
    </w:p>
    <w:p>
      <w:pPr>
        <w:ind w:left="1020" w:right="180" w:hanging="479"/>
        <w:spacing w:after="0" w:line="252" w:lineRule="auto"/>
        <w:tabs>
          <w:tab w:leader="none" w:pos="995" w:val="left"/>
        </w:tabs>
        <w:numPr>
          <w:ilvl w:val="1"/>
          <w:numId w:val="60"/>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21"/>
          <w:szCs w:val="21"/>
          <w:color w:val="auto"/>
        </w:rPr>
      </w:pPr>
    </w:p>
    <w:p>
      <w:pPr>
        <w:ind w:left="1020" w:right="220" w:hanging="479"/>
        <w:spacing w:after="0" w:line="252" w:lineRule="auto"/>
        <w:tabs>
          <w:tab w:leader="none" w:pos="995" w:val="left"/>
        </w:tabs>
        <w:numPr>
          <w:ilvl w:val="1"/>
          <w:numId w:val="60"/>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21"/>
          <w:szCs w:val="21"/>
          <w:color w:val="auto"/>
        </w:rPr>
      </w:pPr>
    </w:p>
    <w:p>
      <w:pPr>
        <w:jc w:val="both"/>
        <w:ind w:left="1020" w:right="220" w:hanging="479"/>
        <w:spacing w:after="0" w:line="257" w:lineRule="auto"/>
        <w:tabs>
          <w:tab w:leader="none" w:pos="995" w:val="left"/>
        </w:tabs>
        <w:numPr>
          <w:ilvl w:val="1"/>
          <w:numId w:val="60"/>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21"/>
          <w:szCs w:val="21"/>
          <w:color w:val="auto"/>
        </w:rPr>
      </w:pPr>
    </w:p>
    <w:p>
      <w:pPr>
        <w:ind w:left="1020" w:right="280" w:hanging="479"/>
        <w:spacing w:after="0" w:line="252" w:lineRule="auto"/>
        <w:tabs>
          <w:tab w:leader="none" w:pos="995" w:val="left"/>
        </w:tabs>
        <w:numPr>
          <w:ilvl w:val="1"/>
          <w:numId w:val="60"/>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21"/>
          <w:szCs w:val="21"/>
          <w:color w:val="auto"/>
        </w:rPr>
      </w:pPr>
    </w:p>
    <w:p>
      <w:pPr>
        <w:ind w:left="520" w:right="20" w:hanging="512"/>
        <w:spacing w:after="0" w:line="257" w:lineRule="auto"/>
        <w:tabs>
          <w:tab w:leader="none" w:pos="471"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21"/>
          <w:szCs w:val="21"/>
          <w:color w:val="auto"/>
        </w:rPr>
      </w:pPr>
    </w:p>
    <w:p>
      <w:pPr>
        <w:ind w:left="1020" w:right="180" w:hanging="479"/>
        <w:spacing w:after="0" w:line="257" w:lineRule="auto"/>
        <w:tabs>
          <w:tab w:leader="none" w:pos="995" w:val="left"/>
        </w:tabs>
        <w:numPr>
          <w:ilvl w:val="1"/>
          <w:numId w:val="60"/>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21"/>
          <w:szCs w:val="21"/>
          <w:color w:val="auto"/>
        </w:rPr>
      </w:pPr>
    </w:p>
    <w:p>
      <w:pPr>
        <w:ind w:left="1020" w:right="40" w:hanging="479"/>
        <w:spacing w:after="0" w:line="273" w:lineRule="auto"/>
        <w:tabs>
          <w:tab w:leader="none" w:pos="995" w:val="left"/>
        </w:tabs>
        <w:numPr>
          <w:ilvl w:val="1"/>
          <w:numId w:val="60"/>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58" w:lineRule="exact"/>
        <w:rPr>
          <w:sz w:val="20"/>
          <w:szCs w:val="20"/>
          <w:color w:val="auto"/>
        </w:rPr>
      </w:pPr>
    </w:p>
    <w:p>
      <w:pPr>
        <w:spacing w:after="0"/>
        <w:tabs>
          <w:tab w:leader="none" w:pos="5620" w:val="left"/>
          <w:tab w:leader="none" w:pos="7820" w:val="left"/>
        </w:tabs>
        <w:rPr>
          <w:sz w:val="20"/>
          <w:szCs w:val="20"/>
          <w:color w:val="auto"/>
        </w:rPr>
      </w:pPr>
      <w:r>
        <w:rPr>
          <w:rFonts w:ascii="Arial" w:cs="Arial" w:eastAsia="Arial" w:hAnsi="Arial"/>
          <w:sz w:val="21"/>
          <w:szCs w:val="21"/>
          <w:color w:val="auto"/>
        </w:rPr>
        <w:t>Date: August 14, 2025</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12700</wp:posOffset>
            </wp:positionV>
            <wp:extent cx="32061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2"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color w:val="auto"/>
        </w:rPr>
        <w:t>Charles Schoch</w:t>
      </w:r>
    </w:p>
    <w:p>
      <w:pPr>
        <w:spacing w:after="0" w:line="18"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color w:val="auto"/>
        </w:rPr>
        <w:t>Chief Financial Officer</w:t>
      </w:r>
    </w:p>
    <w:p>
      <w:pPr>
        <w:spacing w:after="0" w:line="2" w:lineRule="exact"/>
        <w:rPr>
          <w:sz w:val="20"/>
          <w:szCs w:val="20"/>
          <w:color w:val="auto"/>
        </w:rPr>
      </w:pPr>
    </w:p>
    <w:p>
      <w:pPr>
        <w:jc w:val="center"/>
        <w:ind w:left="6140"/>
        <w:spacing w:after="0"/>
        <w:rPr>
          <w:sz w:val="20"/>
          <w:szCs w:val="20"/>
          <w:color w:val="auto"/>
        </w:rPr>
      </w:pPr>
      <w:r>
        <w:rPr>
          <w:rFonts w:ascii="Arial" w:cs="Arial" w:eastAsia="Arial" w:hAnsi="Arial"/>
          <w:sz w:val="20"/>
          <w:szCs w:val="20"/>
          <w:b w:val="1"/>
          <w:bCs w:val="1"/>
          <w:i w:val="1"/>
          <w:iCs w:val="1"/>
          <w:color w:val="auto"/>
        </w:rPr>
        <w:t>(principal financial officer and principal accounting</w:t>
      </w:r>
    </w:p>
    <w:p>
      <w:pPr>
        <w:spacing w:after="0" w:line="13"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2" w:lineRule="exact"/>
        <w:rPr>
          <w:sz w:val="20"/>
          <w:szCs w:val="20"/>
          <w:color w:val="auto"/>
        </w:rPr>
      </w:pPr>
    </w:p>
    <w:p>
      <w:pPr>
        <w:ind w:left="2760" w:right="2760" w:firstLine="30"/>
        <w:spacing w:after="0" w:line="275"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129" w:lineRule="exact"/>
        <w:rPr>
          <w:sz w:val="20"/>
          <w:szCs w:val="20"/>
          <w:color w:val="auto"/>
        </w:rPr>
      </w:pPr>
    </w:p>
    <w:p>
      <w:pPr>
        <w:ind w:right="60" w:firstLine="749"/>
        <w:spacing w:after="0"/>
        <w:rPr>
          <w:sz w:val="20"/>
          <w:szCs w:val="20"/>
          <w:color w:val="auto"/>
        </w:rPr>
      </w:pPr>
      <w:r>
        <w:rPr>
          <w:rFonts w:ascii="Arial" w:cs="Arial" w:eastAsia="Arial" w:hAnsi="Arial"/>
          <w:sz w:val="22"/>
          <w:szCs w:val="22"/>
          <w:color w:val="auto"/>
        </w:rPr>
        <w:t>In connection with the Quarterly Report of Candel Therapeutics, Inc. (the “Company”) on Form 10-Q for the period ended June 30, 2025 as filed with the Securities and Exchange Commission on the date hereof (the “Report”), I, Paul Peter Tak, certify, pursuant to 18 U.S.C. § 1350, as adopted pursuant to § 906 of the Sarbanes-Oxley Act of 2002, that, to the best of my knowledge:</w:t>
      </w:r>
    </w:p>
    <w:p>
      <w:pPr>
        <w:spacing w:after="0" w:line="176" w:lineRule="exact"/>
        <w:rPr>
          <w:sz w:val="20"/>
          <w:szCs w:val="20"/>
          <w:color w:val="auto"/>
        </w:rPr>
      </w:pPr>
    </w:p>
    <w:p>
      <w:pPr>
        <w:ind w:left="1140" w:right="80" w:hanging="383"/>
        <w:spacing w:after="0" w:line="259" w:lineRule="auto"/>
        <w:tabs>
          <w:tab w:leader="none" w:pos="124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156" w:lineRule="exact"/>
        <w:rPr>
          <w:rFonts w:ascii="Arial" w:cs="Arial" w:eastAsia="Arial" w:hAnsi="Arial"/>
          <w:sz w:val="22"/>
          <w:szCs w:val="22"/>
          <w:color w:val="auto"/>
        </w:rPr>
      </w:pPr>
    </w:p>
    <w:p>
      <w:pPr>
        <w:ind w:left="1140" w:right="340" w:hanging="383"/>
        <w:spacing w:after="0" w:line="259" w:lineRule="auto"/>
        <w:tabs>
          <w:tab w:leader="none" w:pos="124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160" w:val="left"/>
          <w:tab w:leader="none" w:pos="8020" w:val="left"/>
        </w:tabs>
        <w:rPr>
          <w:sz w:val="20"/>
          <w:szCs w:val="20"/>
          <w:color w:val="auto"/>
        </w:rPr>
      </w:pPr>
      <w:r>
        <w:rPr>
          <w:rFonts w:ascii="Arial" w:cs="Arial" w:eastAsia="Arial" w:hAnsi="Arial"/>
          <w:sz w:val="22"/>
          <w:szCs w:val="22"/>
          <w:color w:val="auto"/>
        </w:rPr>
        <w:t>Date: August 14, 2025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10795</wp:posOffset>
            </wp:positionV>
            <wp:extent cx="298323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22"/>
          <w:szCs w:val="22"/>
          <w:b w:val="1"/>
          <w:bCs w:val="1"/>
          <w:color w:val="auto"/>
        </w:rPr>
        <w:t>Paul Peter Tak</w:t>
      </w:r>
    </w:p>
    <w:p>
      <w:pPr>
        <w:jc w:val="center"/>
        <w:ind w:left="6520"/>
        <w:spacing w:after="0" w:line="230" w:lineRule="auto"/>
        <w:rPr>
          <w:sz w:val="20"/>
          <w:szCs w:val="20"/>
          <w:color w:val="auto"/>
        </w:rPr>
      </w:pPr>
      <w:r>
        <w:rPr>
          <w:rFonts w:ascii="Arial" w:cs="Arial" w:eastAsia="Arial" w:hAnsi="Arial"/>
          <w:sz w:val="22"/>
          <w:szCs w:val="22"/>
          <w:b w:val="1"/>
          <w:bCs w:val="1"/>
          <w:color w:val="auto"/>
        </w:rPr>
        <w:t>President and Chief Executive Officer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739775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2" w:lineRule="exact"/>
        <w:rPr>
          <w:sz w:val="20"/>
          <w:szCs w:val="20"/>
          <w:color w:val="auto"/>
        </w:rPr>
      </w:pPr>
    </w:p>
    <w:p>
      <w:pPr>
        <w:ind w:left="2760" w:right="2760" w:firstLine="30"/>
        <w:spacing w:after="0" w:line="275"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129" w:lineRule="exact"/>
        <w:rPr>
          <w:sz w:val="20"/>
          <w:szCs w:val="20"/>
          <w:color w:val="auto"/>
        </w:rPr>
      </w:pPr>
    </w:p>
    <w:p>
      <w:pPr>
        <w:ind w:right="60" w:firstLine="749"/>
        <w:spacing w:after="0"/>
        <w:rPr>
          <w:sz w:val="20"/>
          <w:szCs w:val="20"/>
          <w:color w:val="auto"/>
        </w:rPr>
      </w:pPr>
      <w:r>
        <w:rPr>
          <w:rFonts w:ascii="Arial" w:cs="Arial" w:eastAsia="Arial" w:hAnsi="Arial"/>
          <w:sz w:val="22"/>
          <w:szCs w:val="22"/>
          <w:color w:val="auto"/>
        </w:rPr>
        <w:t>In connection with the Quarterly Report of Candel Therapeutics, Inc. (the “Company”) on Form 10-Q for the period ended June 30, 2025 as filed with the Securities and Exchange Commission on the date hereof (the “Report”), I, Charles Schoch, certify, pursuant to 18 U.S.C. § 1350, as adopted pursuant to § 906 of the Sarbanes-Oxley Act of 2002, that, to the best of my knowledge:</w:t>
      </w:r>
    </w:p>
    <w:p>
      <w:pPr>
        <w:spacing w:after="0" w:line="176" w:lineRule="exact"/>
        <w:rPr>
          <w:sz w:val="20"/>
          <w:szCs w:val="20"/>
          <w:color w:val="auto"/>
        </w:rPr>
      </w:pPr>
    </w:p>
    <w:p>
      <w:pPr>
        <w:ind w:left="1140" w:right="80" w:hanging="383"/>
        <w:spacing w:after="0" w:line="259" w:lineRule="auto"/>
        <w:tabs>
          <w:tab w:leader="none" w:pos="1246"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156" w:lineRule="exact"/>
        <w:rPr>
          <w:rFonts w:ascii="Arial" w:cs="Arial" w:eastAsia="Arial" w:hAnsi="Arial"/>
          <w:sz w:val="22"/>
          <w:szCs w:val="22"/>
          <w:color w:val="auto"/>
        </w:rPr>
      </w:pPr>
    </w:p>
    <w:p>
      <w:pPr>
        <w:ind w:left="1140" w:right="340" w:hanging="383"/>
        <w:spacing w:after="0" w:line="259" w:lineRule="auto"/>
        <w:tabs>
          <w:tab w:leader="none" w:pos="1246"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160" w:val="left"/>
          <w:tab w:leader="none" w:pos="7960" w:val="left"/>
        </w:tabs>
        <w:rPr>
          <w:sz w:val="20"/>
          <w:szCs w:val="20"/>
          <w:color w:val="auto"/>
        </w:rPr>
      </w:pPr>
      <w:r>
        <w:rPr>
          <w:rFonts w:ascii="Arial" w:cs="Arial" w:eastAsia="Arial" w:hAnsi="Arial"/>
          <w:sz w:val="22"/>
          <w:szCs w:val="22"/>
          <w:color w:val="auto"/>
        </w:rPr>
        <w:t>Date: August 14, 2025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10795</wp:posOffset>
            </wp:positionV>
            <wp:extent cx="29832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22"/>
          <w:szCs w:val="22"/>
          <w:b w:val="1"/>
          <w:bCs w:val="1"/>
          <w:color w:val="auto"/>
        </w:rPr>
        <w:t>Charles Schoch</w:t>
      </w:r>
    </w:p>
    <w:p>
      <w:pPr>
        <w:jc w:val="center"/>
        <w:ind w:left="6520"/>
        <w:spacing w:after="0" w:line="230" w:lineRule="auto"/>
        <w:rPr>
          <w:sz w:val="20"/>
          <w:szCs w:val="20"/>
          <w:color w:val="auto"/>
        </w:rPr>
      </w:pPr>
      <w:r>
        <w:rPr>
          <w:rFonts w:ascii="Arial" w:cs="Arial" w:eastAsia="Arial" w:hAnsi="Arial"/>
          <w:sz w:val="22"/>
          <w:szCs w:val="22"/>
          <w:b w:val="1"/>
          <w:bCs w:val="1"/>
          <w:color w:val="auto"/>
        </w:rPr>
        <w:t>Chief Financial Officer</w:t>
      </w:r>
    </w:p>
    <w:p>
      <w:pPr>
        <w:jc w:val="center"/>
        <w:ind w:left="6460"/>
        <w:spacing w:after="0" w:line="231" w:lineRule="auto"/>
        <w:rPr>
          <w:sz w:val="20"/>
          <w:szCs w:val="20"/>
          <w:color w:val="auto"/>
        </w:rPr>
      </w:pPr>
      <w:r>
        <w:rPr>
          <w:rFonts w:ascii="Arial" w:cs="Arial" w:eastAsia="Arial" w:hAnsi="Arial"/>
          <w:sz w:val="22"/>
          <w:szCs w:val="22"/>
          <w:b w:val="1"/>
          <w:bCs w:val="1"/>
          <w:i w:val="1"/>
          <w:iCs w:val="1"/>
          <w:color w:val="auto"/>
        </w:rPr>
        <w:t>(principal financial officer and principal</w:t>
      </w:r>
    </w:p>
    <w:p>
      <w:pPr>
        <w:ind w:left="7920"/>
        <w:spacing w:after="0"/>
        <w:rPr>
          <w:sz w:val="20"/>
          <w:szCs w:val="20"/>
          <w:color w:val="auto"/>
        </w:rPr>
      </w:pPr>
      <w:r>
        <w:rPr>
          <w:rFonts w:ascii="Arial" w:cs="Arial" w:eastAsia="Arial" w:hAnsi="Arial"/>
          <w:sz w:val="22"/>
          <w:szCs w:val="22"/>
          <w:b w:val="1"/>
          <w:bCs w:val="1"/>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739775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decimal"/>
      <w:start w:val="11"/>
    </w:lvl>
  </w:abstractNum>
  <w:abstractNum w:abstractNumId="7">
    <w:nsid w:val="5577F8E1"/>
    <w:multiLevelType w:val="hybridMultilevel"/>
    <w:lvl w:ilvl="0">
      <w:lvlJc w:val="left"/>
      <w:lvlText w:val="%1."/>
      <w:numFmt w:val="decimal"/>
      <w:start w:val="15"/>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
      <w:numFmt w:val="bullet"/>
      <w:start w:val="1"/>
    </w:lvl>
    <w:lvl w:ilvl="1">
      <w:lvlJc w:val="left"/>
      <w:lvlText w:val="▪"/>
      <w:numFmt w:val="bullet"/>
      <w:start w:val="1"/>
    </w:lvl>
  </w:abstractNum>
  <w:abstractNum w:abstractNumId="10">
    <w:nsid w:val="3804823E"/>
    <w:multiLevelType w:val="hybridMultilevel"/>
    <w:lvl w:ilvl="0">
      <w:lvlJc w:val="left"/>
      <w:lvlText w:val="▪"/>
      <w:numFmt w:val="bullet"/>
      <w:start w:val="1"/>
    </w:lvl>
    <w:lvl w:ilvl="1">
      <w:lvlJc w:val="left"/>
      <w:lvlText w:val="•"/>
      <w:numFmt w:val="bullet"/>
      <w:start w:val="1"/>
    </w:lvl>
  </w:abstractNum>
  <w:abstractNum w:abstractNumId="11">
    <w:nsid w:val="77465F01"/>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2">
    <w:nsid w:val="7724C67E"/>
    <w:multiLevelType w:val="hybridMultilevel"/>
    <w:lvl w:ilvl="0">
      <w:lvlJc w:val="left"/>
      <w:lvlText w:val="o"/>
      <w:numFmt w:val="bullet"/>
      <w:start w:val="1"/>
    </w:lvl>
  </w:abstractNum>
  <w:abstractNum w:abstractNumId="13">
    <w:nsid w:val="5C482A97"/>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decimal"/>
      <w:start w:val="3"/>
    </w:lvl>
  </w:abstractNum>
  <w:abstractNum w:abstractNumId="20">
    <w:nsid w:val="3855585C"/>
    <w:multiLevelType w:val="hybridMultilevel"/>
    <w:lvl w:ilvl="0">
      <w:lvlJc w:val="left"/>
      <w:lvlText w:val="(%1)"/>
      <w:numFmt w:val="decimal"/>
      <w:start w:val="3"/>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lowerLetter"/>
      <w:start w:val="3"/>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296" Type="http://schemas.openxmlformats.org/officeDocument/2006/relationships/hyperlink" Target="https://www.sec.gov/Archives/edgar/data/0001841387/000119312521229437/d203496dex31.htm" TargetMode="External"/><Relationship Id="rId297" Type="http://schemas.openxmlformats.org/officeDocument/2006/relationships/hyperlink" Target="https://www.sec.gov/Archives/edgar/data/0001841387/000119312521229437/d203496dex32.htm" TargetMode="External"/><Relationship Id="rId298" Type="http://schemas.openxmlformats.org/officeDocument/2006/relationships/hyperlink" Target="https://www.sec.gov/Archives/edgar/data/1841387/000095017024066608/cadl-ex3_1.htm" TargetMode="External"/><Relationship Id="rId299" Type="http://schemas.openxmlformats.org/officeDocument/2006/relationships/hyperlink" Target="https://www.sec.gov/Archives/edgar/data/0001841387/000119312521216891/d120909dex41.htm" TargetMode="External"/><Relationship Id="rId300" Type="http://schemas.openxmlformats.org/officeDocument/2006/relationships/hyperlink" Target="https://www.sec.gov/Archives/edgar/data/1841387/000119312525145405/d3439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2025-08-14T07:17:40Z</dcterms:created>
  <dcterms:modified xsi:type="dcterms:W3CDTF">2025-08-14T07:17:40Z</dcterms:modified>
</cp:coreProperties>
</file>