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3920" w:right="2760" w:hanging="3899"/>
        <w:spacing w:after="0" w:line="317"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21"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001-40629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5"/>
          <w:szCs w:val="5"/>
          <w:color w:val="auto"/>
        </w:rPr>
        <w: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CANDEL THERAPEUTICS, INC.</w:t>
      </w:r>
    </w:p>
    <w:p>
      <w:pPr>
        <w:sectPr>
          <w:pgSz w:w="11900" w:h="16838" w:orient="portrait"/>
          <w:cols w:equalWidth="0" w:num="1">
            <w:col w:w="11240"/>
          </w:cols>
          <w:pgMar w:left="320" w:top="1104"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p>
      <w:pPr>
        <w:jc w:val="center"/>
        <w:ind w:right="2020"/>
        <w:spacing w:after="0"/>
        <w:rPr>
          <w:sz w:val="20"/>
          <w:szCs w:val="20"/>
          <w:color w:val="auto"/>
        </w:rPr>
      </w:pPr>
      <w:r>
        <w:rPr>
          <w:rFonts w:ascii="Arial" w:cs="Arial" w:eastAsia="Arial" w:hAnsi="Arial"/>
          <w:sz w:val="17"/>
          <w:szCs w:val="17"/>
          <w:b w:val="1"/>
          <w:bCs w:val="1"/>
          <w:color w:val="auto"/>
        </w:rPr>
        <w:t>Delaware</w:t>
      </w:r>
    </w:p>
    <w:p>
      <w:pPr>
        <w:ind w:left="1960"/>
        <w:spacing w:after="0" w:line="232" w:lineRule="auto"/>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ind w:left="80"/>
        <w:spacing w:after="0"/>
        <w:rPr>
          <w:sz w:val="20"/>
          <w:szCs w:val="20"/>
          <w:color w:val="auto"/>
        </w:rPr>
      </w:pPr>
      <w:r>
        <w:rPr>
          <w:rFonts w:ascii="Arial" w:cs="Arial" w:eastAsia="Arial" w:hAnsi="Arial"/>
          <w:sz w:val="17"/>
          <w:szCs w:val="17"/>
          <w:b w:val="1"/>
          <w:bCs w:val="1"/>
          <w:color w:val="auto"/>
        </w:rPr>
        <w:t>52-2214851</w:t>
      </w:r>
    </w:p>
    <w:p>
      <w:pPr>
        <w:spacing w:after="0" w:line="9"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35" w:lineRule="exact"/>
        <w:rPr>
          <w:sz w:val="24"/>
          <w:szCs w:val="24"/>
          <w:color w:val="auto"/>
        </w:rPr>
      </w:pPr>
    </w:p>
    <w:p>
      <w:pPr>
        <w:sectPr>
          <w:pgSz w:w="11900" w:h="16838" w:orient="portrait"/>
          <w:cols w:equalWidth="0" w:num="2">
            <w:col w:w="7660" w:space="240"/>
            <w:col w:w="3340"/>
          </w:cols>
          <w:pgMar w:left="320" w:top="1104" w:right="339" w:bottom="1440" w:gutter="0" w:footer="0" w:header="0"/>
          <w:type w:val="continuous"/>
        </w:sectPr>
      </w:pPr>
    </w:p>
    <w:tbl>
      <w:tblPr>
        <w:tblLayout w:type="fixed"/>
        <w:tblInd w:w="1640" w:type="dxa"/>
        <w:tblCellMar>
          <w:top w:w="0" w:type="dxa"/>
          <w:left w:w="0" w:type="dxa"/>
          <w:bottom w:w="0" w:type="dxa"/>
          <w:right w:w="0" w:type="dxa"/>
        </w:tblCellMar>
      </w:tblPr>
      <w:tr>
        <w:trPr>
          <w:trHeight w:val="203"/>
        </w:trPr>
        <w:tc>
          <w:tcPr>
            <w:tcW w:w="4420" w:type="dxa"/>
            <w:vAlign w:val="bottom"/>
          </w:tcPr>
          <w:p>
            <w:pPr>
              <w:jc w:val="center"/>
              <w:ind w:right="1982"/>
              <w:spacing w:after="0"/>
              <w:rPr>
                <w:sz w:val="20"/>
                <w:szCs w:val="20"/>
                <w:color w:val="auto"/>
              </w:rPr>
            </w:pPr>
            <w:r>
              <w:rPr>
                <w:rFonts w:ascii="Arial" w:cs="Arial" w:eastAsia="Arial" w:hAnsi="Arial"/>
                <w:sz w:val="17"/>
                <w:szCs w:val="17"/>
                <w:b w:val="1"/>
                <w:bCs w:val="1"/>
                <w:color w:val="auto"/>
              </w:rPr>
              <w:t>117 Kendrick St, Suite 450</w:t>
            </w:r>
          </w:p>
        </w:tc>
        <w:tc>
          <w:tcPr>
            <w:tcW w:w="2680" w:type="dxa"/>
            <w:vAlign w:val="bottom"/>
          </w:tcPr>
          <w:p>
            <w:pPr>
              <w:spacing w:after="0"/>
              <w:rPr>
                <w:sz w:val="17"/>
                <w:szCs w:val="17"/>
                <w:color w:val="auto"/>
              </w:rPr>
            </w:pPr>
          </w:p>
        </w:tc>
      </w:tr>
      <w:tr>
        <w:trPr>
          <w:trHeight w:val="207"/>
        </w:trPr>
        <w:tc>
          <w:tcPr>
            <w:tcW w:w="4420" w:type="dxa"/>
            <w:vAlign w:val="bottom"/>
          </w:tcPr>
          <w:p>
            <w:pPr>
              <w:jc w:val="center"/>
              <w:ind w:right="1982"/>
              <w:spacing w:after="0"/>
              <w:rPr>
                <w:sz w:val="20"/>
                <w:szCs w:val="20"/>
                <w:color w:val="auto"/>
              </w:rPr>
            </w:pPr>
            <w:r>
              <w:rPr>
                <w:rFonts w:ascii="Arial" w:cs="Arial" w:eastAsia="Arial" w:hAnsi="Arial"/>
                <w:sz w:val="17"/>
                <w:szCs w:val="17"/>
                <w:b w:val="1"/>
                <w:bCs w:val="1"/>
                <w:color w:val="auto"/>
                <w:w w:val="99"/>
              </w:rPr>
              <w:t>Needham, MA</w:t>
            </w:r>
          </w:p>
        </w:tc>
        <w:tc>
          <w:tcPr>
            <w:tcW w:w="2680" w:type="dxa"/>
            <w:vAlign w:val="bottom"/>
          </w:tcPr>
          <w:p>
            <w:pPr>
              <w:jc w:val="right"/>
              <w:ind w:right="6"/>
              <w:spacing w:after="0"/>
              <w:rPr>
                <w:sz w:val="20"/>
                <w:szCs w:val="20"/>
                <w:color w:val="auto"/>
              </w:rPr>
            </w:pPr>
            <w:r>
              <w:rPr>
                <w:rFonts w:ascii="Arial" w:cs="Arial" w:eastAsia="Arial" w:hAnsi="Arial"/>
                <w:sz w:val="17"/>
                <w:szCs w:val="17"/>
                <w:b w:val="1"/>
                <w:bCs w:val="1"/>
                <w:color w:val="auto"/>
              </w:rPr>
              <w:t>02494</w:t>
            </w:r>
          </w:p>
        </w:tc>
      </w:tr>
      <w:tr>
        <w:trPr>
          <w:trHeight w:val="172"/>
        </w:trPr>
        <w:tc>
          <w:tcPr>
            <w:tcW w:w="4420" w:type="dxa"/>
            <w:vAlign w:val="bottom"/>
          </w:tcPr>
          <w:p>
            <w:pPr>
              <w:jc w:val="center"/>
              <w:ind w:right="1982"/>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6"/>
              <w:spacing w:after="0"/>
              <w:rPr>
                <w:sz w:val="20"/>
                <w:szCs w:val="20"/>
                <w:color w:val="auto"/>
              </w:rPr>
            </w:pPr>
            <w:r>
              <w:rPr>
                <w:rFonts w:ascii="Arial" w:cs="Arial" w:eastAsia="Arial" w:hAnsi="Arial"/>
                <w:sz w:val="13"/>
                <w:szCs w:val="13"/>
                <w:b w:val="1"/>
                <w:bCs w:val="1"/>
                <w:color w:val="auto"/>
                <w:w w:val="96"/>
              </w:rPr>
              <w:t>(Zip Code)</w:t>
            </w:r>
          </w:p>
        </w:tc>
      </w:tr>
    </w:tbl>
    <w:p>
      <w:pPr>
        <w:spacing w:after="0" w:line="21"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4"/>
        </w:trPr>
        <w:tc>
          <w:tcPr>
            <w:tcW w:w="4280" w:type="dxa"/>
            <w:vAlign w:val="bottom"/>
          </w:tcPr>
          <w:p>
            <w:pPr>
              <w:jc w:val="center"/>
              <w:spacing w:after="0"/>
              <w:rPr>
                <w:sz w:val="20"/>
                <w:szCs w:val="20"/>
                <w:color w:val="auto"/>
              </w:rPr>
            </w:pPr>
            <w:r>
              <w:rPr>
                <w:rFonts w:ascii="Arial" w:cs="Arial" w:eastAsia="Arial" w:hAnsi="Arial"/>
                <w:sz w:val="15"/>
                <w:szCs w:val="15"/>
                <w:color w:val="auto"/>
              </w:rPr>
              <w:t>Common Stock, par value $0.01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rPr>
              <w:t>CADL</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5"/>
                <w:szCs w:val="15"/>
                <w:color w:val="auto"/>
              </w:rPr>
              <w:t>The Nasdaq Global Market</w:t>
            </w:r>
          </w:p>
        </w:tc>
      </w:tr>
      <w:tr>
        <w:trPr>
          <w:trHeight w:val="203"/>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spacing w:after="0"/>
              <w:rPr>
                <w:sz w:val="17"/>
                <w:szCs w:val="17"/>
                <w:color w:val="auto"/>
              </w:rPr>
            </w:pPr>
          </w:p>
        </w:tc>
      </w:tr>
    </w:tbl>
    <w:p>
      <w:pPr>
        <w:ind w:right="2660"/>
        <w:spacing w:after="0" w:line="23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9"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40"/>
        <w:spacing w:after="0" w:line="26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5220" w:type="dxa"/>
            <w:vAlign w:val="bottom"/>
          </w:tcPr>
          <w:p>
            <w:pPr>
              <w:ind w:left="316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3"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40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48" w:lineRule="exact"/>
        <w:rPr>
          <w:sz w:val="24"/>
          <w:szCs w:val="24"/>
          <w:color w:val="auto"/>
        </w:rPr>
      </w:pPr>
    </w:p>
    <w:p>
      <w:pPr>
        <w:ind w:right="200"/>
        <w:spacing w:after="0" w:line="252" w:lineRule="auto"/>
        <w:rPr>
          <w:sz w:val="20"/>
          <w:szCs w:val="20"/>
          <w:color w:val="auto"/>
        </w:rPr>
      </w:pPr>
      <w:r>
        <w:rPr>
          <w:rFonts w:ascii="Arial" w:cs="Arial" w:eastAsia="Arial" w:hAnsi="Arial"/>
          <w:sz w:val="14"/>
          <w:szCs w:val="14"/>
          <w:color w:val="auto"/>
        </w:rPr>
        <w:t>The aggregate market value of voting stock held by non-affiliates of the registrant on June 30, 2024, based on the closing price of $6.20 for shares of the registrant’s common stock as reported by the Nasdaq Global Market, was approximately $162.9 million. This calculation does not reflect a determination that certain persons are affiliates of the registrant for any other purposes.</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6, 2025 was 47,235,460.</w:t>
      </w:r>
    </w:p>
    <w:p>
      <w:pPr>
        <w:spacing w:after="0" w:line="55"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bookmarkStart w:id="1" w:name="page2"/>
    <w:bookmarkEnd w:id="1"/>
    <w:p>
      <w:pPr>
        <w:spacing w:after="0" w:line="263" w:lineRule="auto"/>
        <w:rPr>
          <w:sz w:val="20"/>
          <w:szCs w:val="20"/>
          <w:color w:val="auto"/>
        </w:rPr>
      </w:pPr>
      <w:r>
        <w:rPr>
          <w:rFonts w:ascii="Arial" w:cs="Arial" w:eastAsia="Arial" w:hAnsi="Arial"/>
          <w:sz w:val="14"/>
          <w:szCs w:val="14"/>
          <w:color w:val="auto"/>
        </w:rPr>
        <w:t>Portions of the registrant’s definitive proxy statement for its 2025 Annual Meeting of Stockholders (the Proxy Statement)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4"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5"/>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9"/>
          </w:tcPr>
          <w:p>
            <w:pPr>
              <w:ind w:left="80"/>
              <w:spacing w:after="0"/>
              <w:rPr>
                <w:sz w:val="20"/>
                <w:szCs w:val="20"/>
                <w:color w:val="auto"/>
              </w:rPr>
            </w:pPr>
            <w:r>
              <w:rPr>
                <w:rFonts w:ascii="Arial" w:cs="Arial" w:eastAsia="Arial" w:hAnsi="Arial"/>
                <w:sz w:val="17"/>
                <w:szCs w:val="17"/>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1240" w:type="dxa"/>
            <w:vAlign w:val="bottom"/>
            <w:vMerge w:val="restart"/>
          </w:tcPr>
          <w:p>
            <w:pPr>
              <w:spacing w:after="0"/>
              <w:rPr>
                <w:sz w:val="20"/>
                <w:szCs w:val="20"/>
                <w:color w:val="auto"/>
              </w:rPr>
            </w:pPr>
            <w:r>
              <w:rPr>
                <w:rFonts w:ascii="Arial" w:cs="Arial" w:eastAsia="Arial" w:hAnsi="Arial"/>
                <w:sz w:val="17"/>
                <w:szCs w:val="17"/>
                <w:b w:val="1"/>
                <w:bCs w:val="1"/>
                <w:color w:val="auto"/>
              </w:rPr>
              <w:t>PART I</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124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20"/>
              <w:spacing w:after="0" w:line="185" w:lineRule="exact"/>
              <w:rPr>
                <w:sz w:val="20"/>
                <w:szCs w:val="20"/>
                <w:color w:val="auto"/>
              </w:rPr>
            </w:pPr>
            <w:r>
              <w:rPr>
                <w:rFonts w:ascii="Arial" w:cs="Arial" w:eastAsia="Arial" w:hAnsi="Arial"/>
                <w:sz w:val="17"/>
                <w:szCs w:val="17"/>
                <w:color w:val="auto"/>
              </w:rPr>
              <w:t>Item 1.</w:t>
            </w:r>
          </w:p>
        </w:tc>
        <w:tc>
          <w:tcPr>
            <w:tcW w:w="9180" w:type="dxa"/>
            <w:vAlign w:val="bottom"/>
            <w:gridSpan w:val="23"/>
          </w:tcPr>
          <w:p>
            <w:pPr>
              <w:spacing w:after="0" w:line="185" w:lineRule="exact"/>
              <w:rPr>
                <w:sz w:val="20"/>
                <w:szCs w:val="20"/>
                <w:color w:val="auto"/>
              </w:rPr>
            </w:pPr>
            <w:r>
              <w:rPr>
                <w:rFonts w:ascii="Arial" w:cs="Arial" w:eastAsia="Arial" w:hAnsi="Arial"/>
                <w:sz w:val="17"/>
                <w:szCs w:val="17"/>
                <w:color w:val="0000FF"/>
              </w:rPr>
              <w:t>Business</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1A.</w:t>
            </w:r>
          </w:p>
        </w:tc>
        <w:tc>
          <w:tcPr>
            <w:tcW w:w="7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43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180" w:type="dxa"/>
            <w:vAlign w:val="bottom"/>
            <w:gridSpan w:val="23"/>
          </w:tcPr>
          <w:p>
            <w:pPr>
              <w:spacing w:after="0" w:line="169" w:lineRule="exact"/>
              <w:rPr>
                <w:sz w:val="20"/>
                <w:szCs w:val="20"/>
                <w:color w:val="auto"/>
              </w:rPr>
            </w:pPr>
            <w:r>
              <w:rPr>
                <w:rFonts w:ascii="Arial" w:cs="Arial" w:eastAsia="Arial" w:hAnsi="Arial"/>
                <w:sz w:val="17"/>
                <w:szCs w:val="17"/>
                <w:color w:val="0000FF"/>
              </w:rPr>
              <w:t>Risk Factors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1B.</w:t>
            </w:r>
          </w:p>
        </w:tc>
        <w:tc>
          <w:tcPr>
            <w:tcW w:w="8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200" w:type="dxa"/>
            <w:vAlign w:val="bottom"/>
            <w:gridSpan w:val="19"/>
            <w:vMerge w:val="restart"/>
          </w:tcPr>
          <w:p>
            <w:pPr>
              <w:spacing w:after="0" w:line="189" w:lineRule="exact"/>
              <w:rPr>
                <w:sz w:val="20"/>
                <w:szCs w:val="20"/>
                <w:color w:val="auto"/>
              </w:rPr>
            </w:pPr>
            <w:r>
              <w:rPr>
                <w:rFonts w:ascii="Arial" w:cs="Arial" w:eastAsia="Arial" w:hAnsi="Arial"/>
                <w:sz w:val="17"/>
                <w:szCs w:val="17"/>
                <w:color w:val="0000FF"/>
              </w:rPr>
              <w:t>Staff Comments</w:t>
            </w: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98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80" w:type="dxa"/>
            <w:vAlign w:val="bottom"/>
            <w:gridSpan w:val="4"/>
          </w:tcPr>
          <w:p>
            <w:pPr>
              <w:spacing w:after="0" w:line="169" w:lineRule="exact"/>
              <w:rPr>
                <w:sz w:val="20"/>
                <w:szCs w:val="20"/>
                <w:color w:val="auto"/>
              </w:rPr>
            </w:pPr>
            <w:r>
              <w:rPr>
                <w:rFonts w:ascii="Arial" w:cs="Arial" w:eastAsia="Arial" w:hAnsi="Arial"/>
                <w:sz w:val="17"/>
                <w:szCs w:val="17"/>
                <w:color w:val="0000FF"/>
              </w:rPr>
              <w:t>Unresolved</w:t>
            </w:r>
          </w:p>
        </w:tc>
        <w:tc>
          <w:tcPr>
            <w:tcW w:w="8200" w:type="dxa"/>
            <w:vAlign w:val="bottom"/>
            <w:gridSpan w:val="19"/>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1C.</w:t>
            </w:r>
          </w:p>
        </w:tc>
        <w:tc>
          <w:tcPr>
            <w:tcW w:w="8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98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140" w:type="dxa"/>
            <w:vAlign w:val="bottom"/>
            <w:gridSpan w:val="11"/>
          </w:tcPr>
          <w:p>
            <w:pPr>
              <w:spacing w:after="0" w:line="169" w:lineRule="exact"/>
              <w:rPr>
                <w:sz w:val="20"/>
                <w:szCs w:val="20"/>
                <w:color w:val="auto"/>
              </w:rPr>
            </w:pPr>
            <w:r>
              <w:rPr>
                <w:rFonts w:ascii="Arial" w:cs="Arial" w:eastAsia="Arial" w:hAnsi="Arial"/>
                <w:sz w:val="17"/>
                <w:szCs w:val="17"/>
                <w:color w:val="0000FF"/>
              </w:rPr>
              <w:t>Cybersecurity</w:t>
            </w:r>
          </w:p>
        </w:tc>
        <w:tc>
          <w:tcPr>
            <w:tcW w:w="8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2.</w:t>
            </w:r>
          </w:p>
        </w:tc>
        <w:tc>
          <w:tcPr>
            <w:tcW w:w="8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040" w:type="dxa"/>
            <w:vAlign w:val="bottom"/>
            <w:gridSpan w:val="5"/>
          </w:tcPr>
          <w:p>
            <w:pPr>
              <w:spacing w:after="0" w:line="169" w:lineRule="exact"/>
              <w:rPr>
                <w:sz w:val="20"/>
                <w:szCs w:val="20"/>
                <w:color w:val="auto"/>
              </w:rPr>
            </w:pPr>
            <w:r>
              <w:rPr>
                <w:rFonts w:ascii="Arial" w:cs="Arial" w:eastAsia="Arial" w:hAnsi="Arial"/>
                <w:sz w:val="17"/>
                <w:szCs w:val="17"/>
                <w:color w:val="0000FF"/>
              </w:rPr>
              <w:t>Properties</w:t>
            </w:r>
          </w:p>
        </w:tc>
        <w:tc>
          <w:tcPr>
            <w:tcW w:w="3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3.</w:t>
            </w:r>
          </w:p>
        </w:tc>
        <w:tc>
          <w:tcPr>
            <w:tcW w:w="8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180" w:type="dxa"/>
            <w:vAlign w:val="bottom"/>
            <w:gridSpan w:val="23"/>
          </w:tcPr>
          <w:p>
            <w:pPr>
              <w:spacing w:after="0" w:line="169" w:lineRule="exact"/>
              <w:rPr>
                <w:sz w:val="20"/>
                <w:szCs w:val="20"/>
                <w:color w:val="auto"/>
              </w:rPr>
            </w:pPr>
            <w:r>
              <w:rPr>
                <w:rFonts w:ascii="Arial" w:cs="Arial" w:eastAsia="Arial" w:hAnsi="Arial"/>
                <w:sz w:val="17"/>
                <w:szCs w:val="17"/>
                <w:color w:val="0000FF"/>
              </w:rPr>
              <w:t>Legal Proceedings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4.</w:t>
            </w:r>
          </w:p>
        </w:tc>
        <w:tc>
          <w:tcPr>
            <w:tcW w:w="84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180" w:type="dxa"/>
            <w:vAlign w:val="bottom"/>
            <w:gridSpan w:val="23"/>
          </w:tcPr>
          <w:p>
            <w:pPr>
              <w:spacing w:after="0" w:line="169" w:lineRule="exact"/>
              <w:rPr>
                <w:sz w:val="20"/>
                <w:szCs w:val="20"/>
                <w:color w:val="auto"/>
              </w:rPr>
            </w:pPr>
            <w:r>
              <w:rPr>
                <w:rFonts w:ascii="Arial" w:cs="Arial" w:eastAsia="Arial" w:hAnsi="Arial"/>
                <w:sz w:val="17"/>
                <w:szCs w:val="17"/>
                <w:color w:val="0000FF"/>
              </w:rPr>
              <w:t>Mine Safety Disclosures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124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20"/>
              <w:spacing w:after="0" w:line="185" w:lineRule="exact"/>
              <w:rPr>
                <w:sz w:val="20"/>
                <w:szCs w:val="20"/>
                <w:color w:val="auto"/>
              </w:rPr>
            </w:pPr>
            <w:r>
              <w:rPr>
                <w:rFonts w:ascii="Arial" w:cs="Arial" w:eastAsia="Arial" w:hAnsi="Arial"/>
                <w:sz w:val="17"/>
                <w:szCs w:val="17"/>
                <w:color w:val="auto"/>
              </w:rPr>
              <w:t>Item 5.</w:t>
            </w:r>
          </w:p>
        </w:tc>
        <w:tc>
          <w:tcPr>
            <w:tcW w:w="9180" w:type="dxa"/>
            <w:vAlign w:val="bottom"/>
            <w:gridSpan w:val="23"/>
          </w:tcPr>
          <w:p>
            <w:pPr>
              <w:spacing w:after="0" w:line="185"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6.</w:t>
            </w:r>
          </w:p>
        </w:tc>
        <w:tc>
          <w:tcPr>
            <w:tcW w:w="84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100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440" w:type="dxa"/>
            <w:vAlign w:val="bottom"/>
            <w:gridSpan w:val="22"/>
          </w:tcPr>
          <w:p>
            <w:pPr>
              <w:spacing w:after="0" w:line="169" w:lineRule="exact"/>
              <w:rPr>
                <w:sz w:val="20"/>
                <w:szCs w:val="20"/>
                <w:color w:val="auto"/>
              </w:rPr>
            </w:pPr>
            <w:r>
              <w:rPr>
                <w:rFonts w:ascii="Arial" w:cs="Arial" w:eastAsia="Arial" w:hAnsi="Arial"/>
                <w:sz w:val="17"/>
                <w:szCs w:val="17"/>
                <w:color w:val="0000FF"/>
              </w:rPr>
              <w:t>[Reserved]</w:t>
            </w: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7.</w:t>
            </w:r>
          </w:p>
        </w:tc>
        <w:tc>
          <w:tcPr>
            <w:tcW w:w="84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101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180" w:type="dxa"/>
            <w:vAlign w:val="bottom"/>
            <w:gridSpan w:val="23"/>
          </w:tcPr>
          <w:p>
            <w:pPr>
              <w:spacing w:after="0" w:line="169"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7A.</w:t>
            </w:r>
          </w:p>
        </w:tc>
        <w:tc>
          <w:tcPr>
            <w:tcW w:w="136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117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720" w:type="dxa"/>
            <w:vAlign w:val="bottom"/>
            <w:gridSpan w:val="19"/>
          </w:tcPr>
          <w:p>
            <w:pPr>
              <w:spacing w:after="0" w:line="169" w:lineRule="exact"/>
              <w:rPr>
                <w:sz w:val="20"/>
                <w:szCs w:val="20"/>
                <w:color w:val="auto"/>
              </w:rPr>
            </w:pPr>
            <w:r>
              <w:rPr>
                <w:rFonts w:ascii="Arial" w:cs="Arial" w:eastAsia="Arial" w:hAnsi="Arial"/>
                <w:sz w:val="17"/>
                <w:szCs w:val="17"/>
                <w:color w:val="0000FF"/>
              </w:rPr>
              <w:t>Quantitative and Qualitative Disclosures About Market Risk</w:t>
            </w: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8.</w:t>
            </w:r>
          </w:p>
        </w:tc>
        <w:tc>
          <w:tcPr>
            <w:tcW w:w="136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117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480" w:type="dxa"/>
            <w:vAlign w:val="bottom"/>
            <w:gridSpan w:val="16"/>
          </w:tcPr>
          <w:p>
            <w:pPr>
              <w:spacing w:after="0" w:line="169" w:lineRule="exact"/>
              <w:rPr>
                <w:sz w:val="20"/>
                <w:szCs w:val="20"/>
                <w:color w:val="auto"/>
              </w:rPr>
            </w:pPr>
            <w:r>
              <w:rPr>
                <w:rFonts w:ascii="Arial" w:cs="Arial" w:eastAsia="Arial" w:hAnsi="Arial"/>
                <w:sz w:val="17"/>
                <w:szCs w:val="17"/>
                <w:color w:val="0000FF"/>
              </w:rPr>
              <w:t>Financial Statements and Supplementary Data</w:t>
            </w:r>
          </w:p>
        </w:tc>
        <w:tc>
          <w:tcPr>
            <w:tcW w:w="6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9.</w:t>
            </w:r>
          </w:p>
        </w:tc>
        <w:tc>
          <w:tcPr>
            <w:tcW w:w="136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117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180" w:type="dxa"/>
            <w:vAlign w:val="bottom"/>
            <w:gridSpan w:val="23"/>
          </w:tcPr>
          <w:p>
            <w:pPr>
              <w:spacing w:after="0" w:line="169"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9A.</w:t>
            </w:r>
          </w:p>
        </w:tc>
        <w:tc>
          <w:tcPr>
            <w:tcW w:w="136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117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820" w:type="dxa"/>
            <w:vAlign w:val="bottom"/>
            <w:gridSpan w:val="20"/>
          </w:tcPr>
          <w:p>
            <w:pPr>
              <w:spacing w:after="0" w:line="169" w:lineRule="exact"/>
              <w:rPr>
                <w:sz w:val="20"/>
                <w:szCs w:val="20"/>
                <w:color w:val="auto"/>
              </w:rPr>
            </w:pPr>
            <w:r>
              <w:rPr>
                <w:rFonts w:ascii="Arial" w:cs="Arial" w:eastAsia="Arial" w:hAnsi="Arial"/>
                <w:sz w:val="17"/>
                <w:szCs w:val="17"/>
                <w:color w:val="0000FF"/>
              </w:rPr>
              <w:t>Controls and Procedures</w:t>
            </w:r>
          </w:p>
        </w:tc>
        <w:tc>
          <w:tcPr>
            <w:tcW w:w="80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9B.</w:t>
            </w:r>
          </w:p>
        </w:tc>
        <w:tc>
          <w:tcPr>
            <w:tcW w:w="136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860" w:type="dxa"/>
            <w:vAlign w:val="bottom"/>
            <w:gridSpan w:val="2"/>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5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118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900" w:type="dxa"/>
            <w:vAlign w:val="bottom"/>
            <w:gridSpan w:val="10"/>
          </w:tcPr>
          <w:p>
            <w:pPr>
              <w:spacing w:after="0" w:line="169" w:lineRule="exact"/>
              <w:rPr>
                <w:sz w:val="20"/>
                <w:szCs w:val="20"/>
                <w:color w:val="auto"/>
              </w:rPr>
            </w:pPr>
            <w:r>
              <w:rPr>
                <w:rFonts w:ascii="Arial" w:cs="Arial" w:eastAsia="Arial" w:hAnsi="Arial"/>
                <w:sz w:val="17"/>
                <w:szCs w:val="17"/>
                <w:color w:val="0000FF"/>
              </w:rPr>
              <w:t>Other Information</w:t>
            </w:r>
          </w:p>
        </w:tc>
        <w:tc>
          <w:tcPr>
            <w:tcW w:w="112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9C.</w:t>
            </w:r>
          </w:p>
        </w:tc>
        <w:tc>
          <w:tcPr>
            <w:tcW w:w="1360" w:type="dxa"/>
            <w:vAlign w:val="bottom"/>
            <w:tcBorders>
              <w:left w:val="single" w:sz="8" w:color="0000EE"/>
              <w:right w:val="single" w:sz="8" w:color="0000EE"/>
            </w:tcBorders>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118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180" w:type="dxa"/>
            <w:vAlign w:val="bottom"/>
            <w:gridSpan w:val="23"/>
          </w:tcPr>
          <w:p>
            <w:pPr>
              <w:spacing w:after="0" w:line="169" w:lineRule="exact"/>
              <w:rPr>
                <w:sz w:val="20"/>
                <w:szCs w:val="20"/>
                <w:color w:val="auto"/>
              </w:rPr>
            </w:pPr>
            <w:r>
              <w:rPr>
                <w:rFonts w:ascii="Arial" w:cs="Arial" w:eastAsia="Arial" w:hAnsi="Arial"/>
                <w:sz w:val="17"/>
                <w:szCs w:val="17"/>
                <w:color w:val="0000FF"/>
              </w:rPr>
              <w:t>Disclosure Regarding Foreign Jurisdictions that Prevent Inspections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1240" w:type="dxa"/>
            <w:vAlign w:val="bottom"/>
          </w:tcPr>
          <w:p>
            <w:pPr>
              <w:spacing w:after="0"/>
              <w:rPr>
                <w:sz w:val="20"/>
                <w:szCs w:val="20"/>
                <w:color w:val="auto"/>
              </w:rPr>
            </w:pPr>
            <w:r>
              <w:rPr>
                <w:rFonts w:ascii="Arial" w:cs="Arial" w:eastAsia="Arial" w:hAnsi="Arial"/>
                <w:sz w:val="17"/>
                <w:szCs w:val="17"/>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20"/>
              <w:spacing w:after="0" w:line="185" w:lineRule="exact"/>
              <w:rPr>
                <w:sz w:val="20"/>
                <w:szCs w:val="20"/>
                <w:color w:val="auto"/>
              </w:rPr>
            </w:pPr>
            <w:r>
              <w:rPr>
                <w:rFonts w:ascii="Arial" w:cs="Arial" w:eastAsia="Arial" w:hAnsi="Arial"/>
                <w:sz w:val="17"/>
                <w:szCs w:val="17"/>
                <w:color w:val="auto"/>
              </w:rPr>
              <w:t>Item 10.</w:t>
            </w:r>
          </w:p>
        </w:tc>
        <w:tc>
          <w:tcPr>
            <w:tcW w:w="9180" w:type="dxa"/>
            <w:vAlign w:val="bottom"/>
            <w:gridSpan w:val="23"/>
          </w:tcPr>
          <w:p>
            <w:pPr>
              <w:spacing w:after="0" w:line="185" w:lineRule="exact"/>
              <w:rPr>
                <w:sz w:val="20"/>
                <w:szCs w:val="20"/>
                <w:color w:val="auto"/>
              </w:rPr>
            </w:pPr>
            <w:r>
              <w:rPr>
                <w:rFonts w:ascii="Arial" w:cs="Arial" w:eastAsia="Arial" w:hAnsi="Arial"/>
                <w:sz w:val="17"/>
                <w:szCs w:val="17"/>
                <w:color w:val="0000FF"/>
              </w:rPr>
              <w:t>Directors, Executive Officers and Corporate Governance</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11.</w:t>
            </w:r>
          </w:p>
        </w:tc>
        <w:tc>
          <w:tcPr>
            <w:tcW w:w="160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50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5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119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280" w:type="dxa"/>
            <w:vAlign w:val="bottom"/>
            <w:gridSpan w:val="15"/>
          </w:tcPr>
          <w:p>
            <w:pPr>
              <w:spacing w:after="0" w:line="169" w:lineRule="exact"/>
              <w:rPr>
                <w:sz w:val="20"/>
                <w:szCs w:val="20"/>
                <w:color w:val="auto"/>
              </w:rPr>
            </w:pPr>
            <w:r>
              <w:rPr>
                <w:rFonts w:ascii="Arial" w:cs="Arial" w:eastAsia="Arial" w:hAnsi="Arial"/>
                <w:sz w:val="17"/>
                <w:szCs w:val="17"/>
                <w:color w:val="0000FF"/>
              </w:rPr>
              <w:t>Executive Compensation</w:t>
            </w:r>
          </w:p>
        </w:tc>
        <w:tc>
          <w:tcPr>
            <w:tcW w:w="150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12.</w:t>
            </w:r>
          </w:p>
        </w:tc>
        <w:tc>
          <w:tcPr>
            <w:tcW w:w="160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119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180" w:type="dxa"/>
            <w:vAlign w:val="bottom"/>
            <w:gridSpan w:val="23"/>
          </w:tcPr>
          <w:p>
            <w:pPr>
              <w:spacing w:after="0" w:line="169" w:lineRule="exact"/>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13.</w:t>
            </w:r>
          </w:p>
        </w:tc>
        <w:tc>
          <w:tcPr>
            <w:tcW w:w="160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119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620" w:type="dxa"/>
            <w:vAlign w:val="bottom"/>
            <w:gridSpan w:val="21"/>
          </w:tcPr>
          <w:p>
            <w:pPr>
              <w:spacing w:after="0" w:line="169"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15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14.</w:t>
            </w:r>
          </w:p>
        </w:tc>
        <w:tc>
          <w:tcPr>
            <w:tcW w:w="160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3400" w:type="dxa"/>
            <w:vAlign w:val="bottom"/>
            <w:gridSpan w:val="5"/>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119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5780" w:type="dxa"/>
            <w:vAlign w:val="bottom"/>
            <w:gridSpan w:val="18"/>
          </w:tcPr>
          <w:p>
            <w:pPr>
              <w:spacing w:after="0" w:line="169" w:lineRule="exact"/>
              <w:rPr>
                <w:sz w:val="20"/>
                <w:szCs w:val="20"/>
                <w:color w:val="auto"/>
              </w:rPr>
            </w:pPr>
            <w:r>
              <w:rPr>
                <w:rFonts w:ascii="Arial" w:cs="Arial" w:eastAsia="Arial" w:hAnsi="Arial"/>
                <w:sz w:val="17"/>
                <w:szCs w:val="17"/>
                <w:color w:val="0000FF"/>
              </w:rPr>
              <w:t>Principal Accountant Fees and Services</w:t>
            </w:r>
          </w:p>
        </w:tc>
        <w:tc>
          <w:tcPr>
            <w:tcW w:w="3400" w:type="dxa"/>
            <w:vAlign w:val="bottom"/>
            <w:gridSpan w:val="5"/>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1240" w:type="dxa"/>
            <w:vAlign w:val="bottom"/>
          </w:tcPr>
          <w:p>
            <w:pPr>
              <w:spacing w:after="0"/>
              <w:rPr>
                <w:sz w:val="20"/>
                <w:szCs w:val="20"/>
                <w:color w:val="auto"/>
              </w:rPr>
            </w:pPr>
            <w:r>
              <w:rPr>
                <w:rFonts w:ascii="Arial" w:cs="Arial" w:eastAsia="Arial" w:hAnsi="Arial"/>
                <w:sz w:val="17"/>
                <w:szCs w:val="17"/>
                <w:b w:val="1"/>
                <w:bCs w:val="1"/>
                <w:color w:val="auto"/>
              </w:rPr>
              <w:t>PART IV</w:t>
            </w: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20"/>
              <w:spacing w:after="0" w:line="185" w:lineRule="exact"/>
              <w:rPr>
                <w:sz w:val="20"/>
                <w:szCs w:val="20"/>
                <w:color w:val="auto"/>
              </w:rPr>
            </w:pPr>
            <w:r>
              <w:rPr>
                <w:rFonts w:ascii="Arial" w:cs="Arial" w:eastAsia="Arial" w:hAnsi="Arial"/>
                <w:sz w:val="17"/>
                <w:szCs w:val="17"/>
                <w:color w:val="auto"/>
              </w:rPr>
              <w:t>Item 15.</w:t>
            </w:r>
          </w:p>
        </w:tc>
        <w:tc>
          <w:tcPr>
            <w:tcW w:w="9180" w:type="dxa"/>
            <w:vAlign w:val="bottom"/>
            <w:gridSpan w:val="23"/>
          </w:tcPr>
          <w:p>
            <w:pPr>
              <w:spacing w:after="0" w:line="185" w:lineRule="exact"/>
              <w:rPr>
                <w:sz w:val="20"/>
                <w:szCs w:val="20"/>
                <w:color w:val="auto"/>
              </w:rPr>
            </w:pPr>
            <w:r>
              <w:rPr>
                <w:rFonts w:ascii="Arial" w:cs="Arial" w:eastAsia="Arial" w:hAnsi="Arial"/>
                <w:sz w:val="17"/>
                <w:szCs w:val="17"/>
                <w:color w:val="0000FF"/>
              </w:rPr>
              <w:t>Exhibits and Financial Statement Schedules</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Item 16.</w:t>
            </w:r>
          </w:p>
        </w:tc>
        <w:tc>
          <w:tcPr>
            <w:tcW w:w="160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840" w:type="dxa"/>
            <w:vAlign w:val="bottom"/>
            <w:gridSpan w:val="10"/>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122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3340" w:type="dxa"/>
            <w:vAlign w:val="bottom"/>
            <w:gridSpan w:val="13"/>
          </w:tcPr>
          <w:p>
            <w:pPr>
              <w:spacing w:after="0" w:line="169" w:lineRule="exact"/>
              <w:rPr>
                <w:sz w:val="20"/>
                <w:szCs w:val="20"/>
                <w:color w:val="auto"/>
              </w:rPr>
            </w:pPr>
            <w:r>
              <w:rPr>
                <w:rFonts w:ascii="Arial" w:cs="Arial" w:eastAsia="Arial" w:hAnsi="Arial"/>
                <w:sz w:val="17"/>
                <w:szCs w:val="17"/>
                <w:color w:val="0000FF"/>
              </w:rPr>
              <w:t>Form 10-K Summary</w:t>
            </w:r>
          </w:p>
        </w:tc>
        <w:tc>
          <w:tcPr>
            <w:tcW w:w="5840" w:type="dxa"/>
            <w:vAlign w:val="bottom"/>
            <w:gridSpan w:val="10"/>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-6350</wp:posOffset>
            </wp:positionV>
            <wp:extent cx="518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79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477520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31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statements regarding our future results of operations and financial position, business strategy, product candidates, clinical development plans and expectations, prospective products, product approvals, research and development costs, timing and likelihood of success, and plans and objectives of management for future operations and results,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risks, uncertainties and assumptions described under the sections in this Annual Report on Form 10-K titled “Risk Factors” and “Management’s Discussion and Analysis of Financial Condition and Results of Operations.” These forward-looking statements are subject to numerous risks, including, without limitation, the following:</w:t>
      </w:r>
    </w:p>
    <w:p>
      <w:pPr>
        <w:spacing w:after="0" w:line="201" w:lineRule="exact"/>
        <w:rPr>
          <w:sz w:val="20"/>
          <w:szCs w:val="20"/>
          <w:color w:val="auto"/>
        </w:rPr>
      </w:pPr>
    </w:p>
    <w:p>
      <w:pPr>
        <w:ind w:left="840" w:right="60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the success of preclinical studies and clinical trials of CAN-2409 (international non-proprietary name: aglatimagene besadenovec) and CAN-3110 and any other product candidates;</w:t>
      </w: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initiation of any clinical trials of CAN-2409 and CAN-3110 and any other product candidates;</w:t>
      </w:r>
    </w:p>
    <w:p>
      <w:pPr>
        <w:spacing w:after="0" w:line="38"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46" w:lineRule="exact"/>
        <w:rPr>
          <w:rFonts w:ascii="Times New Roman" w:cs="Times New Roman" w:eastAsia="Times New Roman" w:hAnsi="Times New Roman"/>
          <w:sz w:val="17"/>
          <w:szCs w:val="17"/>
          <w:color w:val="auto"/>
        </w:rPr>
      </w:pPr>
    </w:p>
    <w:p>
      <w:pPr>
        <w:ind w:left="840" w:right="6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conduct successful clinical trials or obtain regulatory approval for CAN-2409 and CAN-3110 or any other product candidates that we may identify or develop;</w:t>
      </w: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of our research to generate and advance additional product candidates;</w:t>
      </w:r>
    </w:p>
    <w:p>
      <w:pPr>
        <w:spacing w:after="0" w:line="38" w:lineRule="exact"/>
        <w:rPr>
          <w:rFonts w:ascii="Times New Roman" w:cs="Times New Roman" w:eastAsia="Times New Roman" w:hAnsi="Times New Roman"/>
          <w:sz w:val="17"/>
          <w:szCs w:val="17"/>
          <w:color w:val="auto"/>
        </w:rPr>
      </w:pPr>
    </w:p>
    <w:p>
      <w:pPr>
        <w:ind w:left="840" w:right="400" w:hanging="368"/>
        <w:spacing w:after="0" w:line="256"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public health crises, outbreaks of an infectious disease or ongoing geopolitical conflicts, including mitigation efforts and economic effects, on any of the foregoing or other aspects of our business operations;</w:t>
      </w:r>
    </w:p>
    <w:p>
      <w:pPr>
        <w:ind w:left="840" w:right="50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 adequate safety or efficacy profile for CAN-2409, CAN-3110 or any other product candidates that we may pursue;</w:t>
      </w:r>
    </w:p>
    <w:p>
      <w:pPr>
        <w:ind w:left="840" w:right="180" w:hanging="368"/>
        <w:spacing w:after="0" w:line="244"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1"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46" w:lineRule="exact"/>
        <w:rPr>
          <w:rFonts w:ascii="Times New Roman" w:cs="Times New Roman" w:eastAsia="Times New Roman" w:hAnsi="Times New Roman"/>
          <w:sz w:val="17"/>
          <w:szCs w:val="17"/>
          <w:color w:val="auto"/>
        </w:rPr>
      </w:pPr>
    </w:p>
    <w:p>
      <w:pPr>
        <w:ind w:left="840" w:right="320" w:hanging="368"/>
        <w:spacing w:after="0" w:line="253" w:lineRule="auto"/>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38"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period we estimate to be funded by our existing financial resources;</w:t>
      </w:r>
    </w:p>
    <w:p>
      <w:pPr>
        <w:spacing w:after="0" w:line="33"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financial performance;</w:t>
      </w:r>
    </w:p>
    <w:p>
      <w:pPr>
        <w:spacing w:after="0" w:line="33"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manage our anticipated growth;</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33"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46" w:lineRule="exact"/>
        <w:rPr>
          <w:rFonts w:ascii="Times New Roman" w:cs="Times New Roman" w:eastAsia="Times New Roman" w:hAnsi="Times New Roman"/>
          <w:sz w:val="17"/>
          <w:szCs w:val="17"/>
          <w:color w:val="auto"/>
        </w:rPr>
      </w:pPr>
    </w:p>
    <w:p>
      <w:pPr>
        <w:ind w:left="840" w:hanging="368"/>
        <w:spacing w:after="0"/>
        <w:tabs>
          <w:tab w:leader="none" w:pos="8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other risks and uncertainties, including those discussed in Part I, Item 1A - Risk Factors in this Annual Report on Form 10-K.</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right="40"/>
        <w:spacing w:after="0" w:line="238"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occur, and actual results could differ materially from those projected in the forward-looking statements. Moreover,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completely and with the understanding that our actual future results may be materially different from what we expect. We qualify that all of our forward-looking statements by these cautionary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to "Candel", "we", "us", "our", or the "Company" mean Candel Therapeutics, Inc. and its subsidiary.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of the Material and Other Risks Associated with Our Business</w:t>
      </w:r>
    </w:p>
    <w:p>
      <w:pPr>
        <w:spacing w:after="0" w:line="156" w:lineRule="exact"/>
        <w:rPr>
          <w:sz w:val="20"/>
          <w:szCs w:val="20"/>
          <w:color w:val="auto"/>
        </w:rPr>
      </w:pPr>
    </w:p>
    <w:p>
      <w:pPr>
        <w:jc w:val="both"/>
        <w:ind w:right="400"/>
        <w:spacing w:after="0" w:line="249" w:lineRule="auto"/>
        <w:rPr>
          <w:sz w:val="20"/>
          <w:szCs w:val="20"/>
          <w:color w:val="auto"/>
        </w:rPr>
      </w:pPr>
      <w:r>
        <w:rPr>
          <w:rFonts w:ascii="Arial" w:cs="Arial" w:eastAsia="Arial" w:hAnsi="Arial"/>
          <w:sz w:val="17"/>
          <w:szCs w:val="17"/>
          <w:color w:val="auto"/>
        </w:rPr>
        <w:t>Our business is subject to numerous risks and uncertainties, including those described more fully in Part I, Item 1A - Risk Factors in this Annual Report on Form 10-K. You should carefully consider these risks and uncertainties when investing in our common stock. The principal risks and uncertainties affecting our business include the following:</w:t>
      </w:r>
    </w:p>
    <w:p>
      <w:pPr>
        <w:spacing w:after="0" w:line="67" w:lineRule="exact"/>
        <w:rPr>
          <w:sz w:val="20"/>
          <w:szCs w:val="20"/>
          <w:color w:val="auto"/>
        </w:rPr>
      </w:pPr>
    </w:p>
    <w:p>
      <w:pPr>
        <w:ind w:left="1020" w:right="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65"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will need to raise substantial additional funding. If we are unable to raise capital when needed, we would be forced to delay, reduce or eliminate some of our product development programs or commercialization efforts or initiate steps to cease operations.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4" w:lineRule="exact"/>
        <w:rPr>
          <w:rFonts w:ascii="Times New Roman" w:cs="Times New Roman" w:eastAsia="Times New Roman" w:hAnsi="Times New Roman"/>
          <w:sz w:val="17"/>
          <w:szCs w:val="17"/>
          <w:color w:val="auto"/>
        </w:rPr>
      </w:pPr>
    </w:p>
    <w:p>
      <w:pPr>
        <w:ind w:left="1020" w:right="8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dependent on the success of CAN-2409, CAN-3110 and any other product candidates that we advance into the clinic. All of our product candidates will require additional development before we may be able to seek regulatory approval for and launch a product commercially.</w:t>
      </w:r>
    </w:p>
    <w:p>
      <w:pPr>
        <w:spacing w:after="0" w:line="65"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rFonts w:ascii="Times New Roman" w:cs="Times New Roman" w:eastAsia="Times New Roman" w:hAnsi="Times New Roman"/>
          <w:sz w:val="17"/>
          <w:szCs w:val="17"/>
          <w:color w:val="auto"/>
        </w:rPr>
      </w:pPr>
    </w:p>
    <w:p>
      <w:pPr>
        <w:ind w:left="1020" w:right="18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71" w:lineRule="exact"/>
        <w:rPr>
          <w:rFonts w:ascii="Times New Roman" w:cs="Times New Roman" w:eastAsia="Times New Roman" w:hAnsi="Times New Roman"/>
          <w:sz w:val="17"/>
          <w:szCs w:val="17"/>
          <w:color w:val="auto"/>
        </w:rPr>
      </w:pPr>
    </w:p>
    <w:p>
      <w:pPr>
        <w:jc w:val="both"/>
        <w:ind w:left="1020" w:right="2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65" w:lineRule="exact"/>
        <w:rPr>
          <w:rFonts w:ascii="Times New Roman" w:cs="Times New Roman" w:eastAsia="Times New Roman" w:hAnsi="Times New Roman"/>
          <w:sz w:val="17"/>
          <w:szCs w:val="17"/>
          <w:color w:val="auto"/>
        </w:rPr>
      </w:pPr>
    </w:p>
    <w:p>
      <w:pPr>
        <w:ind w:left="1020" w:right="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5" w:name="page6"/>
    <w:bookmarkEnd w:id="5"/>
    <w:p>
      <w:pPr>
        <w:ind w:left="503" w:hanging="503"/>
        <w:spacing w:after="0"/>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114" w:lineRule="exact"/>
        <w:rPr>
          <w:rFonts w:ascii="Times New Roman" w:cs="Times New Roman" w:eastAsia="Times New Roman" w:hAnsi="Times New Roman"/>
          <w:sz w:val="17"/>
          <w:szCs w:val="17"/>
          <w:color w:val="auto"/>
        </w:rPr>
      </w:pPr>
    </w:p>
    <w:p>
      <w:pPr>
        <w:ind w:left="503" w:right="340" w:hanging="503"/>
        <w:spacing w:after="0" w:line="266"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Any future public health crisis, outbreaks of an infectious disease or ongoing geopolitical conflicts may have adverse effects on our business and operations.</w:t>
      </w:r>
    </w:p>
    <w:p>
      <w:pPr>
        <w:spacing w:after="0" w:line="51" w:lineRule="exact"/>
        <w:rPr>
          <w:rFonts w:ascii="Times New Roman" w:cs="Times New Roman" w:eastAsia="Times New Roman" w:hAnsi="Times New Roman"/>
          <w:sz w:val="17"/>
          <w:szCs w:val="17"/>
          <w:color w:val="auto"/>
        </w:rPr>
      </w:pPr>
    </w:p>
    <w:p>
      <w:pPr>
        <w:ind w:left="503" w:right="520" w:hanging="503"/>
        <w:spacing w:after="0" w:line="249"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65" w:lineRule="exact"/>
        <w:rPr>
          <w:rFonts w:ascii="Times New Roman" w:cs="Times New Roman" w:eastAsia="Times New Roman" w:hAnsi="Times New Roman"/>
          <w:sz w:val="17"/>
          <w:szCs w:val="17"/>
          <w:color w:val="auto"/>
        </w:rPr>
      </w:pPr>
    </w:p>
    <w:p>
      <w:pPr>
        <w:ind w:left="503" w:hanging="503"/>
        <w:spacing w:after="0" w:line="249"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5" w:lineRule="exact"/>
        <w:rPr>
          <w:rFonts w:ascii="Times New Roman" w:cs="Times New Roman" w:eastAsia="Times New Roman" w:hAnsi="Times New Roman"/>
          <w:sz w:val="17"/>
          <w:szCs w:val="17"/>
          <w:color w:val="auto"/>
        </w:rPr>
      </w:pPr>
    </w:p>
    <w:p>
      <w:pPr>
        <w:ind w:left="503" w:right="120" w:hanging="503"/>
        <w:spacing w:after="0" w:line="266"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51" w:lineRule="exact"/>
        <w:rPr>
          <w:rFonts w:ascii="Times New Roman" w:cs="Times New Roman" w:eastAsia="Times New Roman" w:hAnsi="Times New Roman"/>
          <w:sz w:val="17"/>
          <w:szCs w:val="17"/>
          <w:color w:val="auto"/>
        </w:rPr>
      </w:pPr>
    </w:p>
    <w:p>
      <w:pPr>
        <w:ind w:left="503" w:hanging="503"/>
        <w:spacing w:after="0" w:line="243"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80" w:lineRule="exact"/>
        <w:rPr>
          <w:sz w:val="20"/>
          <w:szCs w:val="20"/>
          <w:color w:val="auto"/>
        </w:rPr>
      </w:pPr>
    </w:p>
    <w:p>
      <w:pPr>
        <w:jc w:val="center"/>
        <w:ind w:right="477"/>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477520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97"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induction of immunogenic cell death within the tumor microenvironment, thus releasing tumor neo-antigens and creating a pro-inflammatory microenvironment at the site of injection. This is intended to lead to in-situ vaccination against the injected tumor and uninjected distant metastases. Our biological multimodal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113"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96"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9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Our most advanced product candidate, CAN-2409, is an off-the-shelf adenovirus product candidate which is administered in conjunction with the prodrug valacyclovir, that has generated promising clinical activity across a range of solid tumor indications. CAN-2409 is currently being studied in the following ongoing clinical trials:</w:t>
      </w:r>
    </w:p>
    <w:p>
      <w:pPr>
        <w:spacing w:after="0" w:line="69" w:lineRule="exact"/>
        <w:rPr>
          <w:sz w:val="20"/>
          <w:szCs w:val="20"/>
          <w:color w:val="auto"/>
        </w:rPr>
      </w:pPr>
    </w:p>
    <w:p>
      <w:pPr>
        <w:ind w:left="660" w:hanging="278"/>
        <w:spacing w:after="0"/>
        <w:tabs>
          <w:tab w:leader="none" w:pos="6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58" w:lineRule="exact"/>
        <w:rPr>
          <w:sz w:val="20"/>
          <w:szCs w:val="20"/>
          <w:color w:val="auto"/>
        </w:rPr>
      </w:pPr>
    </w:p>
    <w:p>
      <w:pPr>
        <w:ind w:left="1240" w:hanging="289"/>
        <w:spacing w:after="0"/>
        <w:tabs>
          <w:tab w:leader="none" w:pos="124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 pivotal phase 3 randomized, triple-blinded and placebo-controlled clinical trial in the United States under a Special Protocol Assessment (SPA), with the U.S. Food and Drug Administration (FDA) evaluating patients with newly diagnosed, localized prostate cancer who have an intermediate or high-risk for progression. The FDA previously granted fast track designation for the use of CAN-2409 for the treatment of localized, primary prostate cancer in combination with radiation therapy to improve the local control rate. We completed enrollment of this trial in September 2021.</w:t>
      </w:r>
    </w:p>
    <w:p>
      <w:pPr>
        <w:spacing w:after="0" w:line="74" w:lineRule="exact"/>
        <w:rPr>
          <w:rFonts w:ascii="Times New Roman" w:cs="Times New Roman" w:eastAsia="Times New Roman" w:hAnsi="Times New Roman"/>
          <w:sz w:val="17"/>
          <w:szCs w:val="17"/>
          <w:color w:val="auto"/>
        </w:rPr>
      </w:pPr>
    </w:p>
    <w:p>
      <w:pPr>
        <w:ind w:left="2040" w:right="140" w:hanging="505"/>
        <w:spacing w:after="0" w:line="243" w:lineRule="auto"/>
        <w:tabs>
          <w:tab w:leader="none" w:pos="20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In December 2024, we announced positive topline data from our phase 3 clinical trial. This randomized, double-blind, placebo-controlled, multicenter clinical trial enrolled 745 patients (intent to treat population (ITT)) to evaluate the effectiveness and safety of CAN-2409 plus prodrug (valacyclovir) viral immunotherapy in combination with standard of care (SoC) external beam radiation therapy to improve disease-free survival (DFS) in patients with intermediate-to-high-risk, localized prostate cancer. Patients were randomized 2:1 (496 in CAN-2409+prodrug and 249 in placebo (PBO) +prodrug). Both arms received standard of care external beam radiation therapy (EBRT) +/- short course androgen deprivation therapy (ADT) (&lt;6 months) and were stratified by NCCN risk group and ADT use. Three intraprostatic injections of CAN-2409 (5x10 </w:t>
      </w:r>
      <w:r>
        <w:rPr>
          <w:rFonts w:ascii="Arial" w:cs="Arial" w:eastAsia="Arial" w:hAnsi="Arial"/>
          <w:sz w:val="22"/>
          <w:szCs w:val="22"/>
          <w:color w:val="auto"/>
          <w:vertAlign w:val="superscript"/>
        </w:rPr>
        <w:t>11</w:t>
      </w:r>
      <w:r>
        <w:rPr>
          <w:rFonts w:ascii="Arial" w:cs="Arial" w:eastAsia="Arial" w:hAnsi="Arial"/>
          <w:sz w:val="17"/>
          <w:szCs w:val="17"/>
          <w:color w:val="auto"/>
        </w:rPr>
        <w:t>v/2mL) or PBO were administered, each followed by 14 days of prodrug.</w:t>
      </w:r>
    </w:p>
    <w:p>
      <w:pPr>
        <w:spacing w:after="0" w:line="18" w:lineRule="exact"/>
        <w:rPr>
          <w:rFonts w:ascii="Times New Roman" w:cs="Times New Roman" w:eastAsia="Times New Roman" w:hAnsi="Times New Roman"/>
          <w:sz w:val="17"/>
          <w:szCs w:val="17"/>
          <w:color w:val="auto"/>
        </w:rPr>
      </w:pPr>
    </w:p>
    <w:p>
      <w:pPr>
        <w:ind w:left="2040" w:right="720" w:hanging="505"/>
        <w:spacing w:after="0" w:line="266" w:lineRule="auto"/>
        <w:tabs>
          <w:tab w:leader="none" w:pos="20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study met its primary endpoint, demonstrating a statistically significant improvement in disease-free survival compared to the control arm. Key topline results include:</w:t>
      </w:r>
    </w:p>
    <w:p>
      <w:pPr>
        <w:spacing w:after="0" w:line="51" w:lineRule="exact"/>
        <w:rPr>
          <w:rFonts w:ascii="Times New Roman" w:cs="Times New Roman" w:eastAsia="Times New Roman" w:hAnsi="Times New Roman"/>
          <w:sz w:val="17"/>
          <w:szCs w:val="17"/>
          <w:color w:val="auto"/>
        </w:rPr>
      </w:pPr>
    </w:p>
    <w:p>
      <w:pPr>
        <w:ind w:left="2560" w:right="40" w:hanging="516"/>
        <w:spacing w:after="0" w:line="243" w:lineRule="auto"/>
        <w:tabs>
          <w:tab w:leader="none" w:pos="2560" w:val="left"/>
        </w:tabs>
        <w:numPr>
          <w:ilvl w:val="2"/>
          <w:numId w:val="7"/>
        </w:numPr>
        <w:rPr>
          <w:rFonts w:ascii="Times New Roman" w:cs="Times New Roman" w:eastAsia="Times New Roman" w:hAnsi="Times New Roman"/>
          <w:sz w:val="17"/>
          <w:szCs w:val="17"/>
          <w:color w:val="212529"/>
        </w:rPr>
      </w:pPr>
      <w:r>
        <w:rPr>
          <w:rFonts w:ascii="Arial" w:cs="Arial" w:eastAsia="Arial" w:hAnsi="Arial"/>
          <w:sz w:val="17"/>
          <w:szCs w:val="17"/>
          <w:color w:val="212529"/>
        </w:rPr>
        <w:t>Statistically significant improvement in DFS for CAN-2409 plus radiation therapy (n=496) vs. radiation therapy alone (n=249). Treatment with CAN-2409 reduced the risk of prostate cancer recurrence or death by 30%. Median DFS was not reached for the CAN-2409 treatment arm vs. 86.1 months in the PBO arm (p=0.0155, HR 0.7, 95% CI 0.52 to 0.94)</w:t>
      </w:r>
    </w:p>
    <w:p>
      <w:pPr>
        <w:spacing w:after="0" w:line="71" w:lineRule="exact"/>
        <w:rPr>
          <w:rFonts w:ascii="Times New Roman" w:cs="Times New Roman" w:eastAsia="Times New Roman" w:hAnsi="Times New Roman"/>
          <w:sz w:val="17"/>
          <w:szCs w:val="17"/>
          <w:color w:val="212529"/>
        </w:rPr>
      </w:pPr>
    </w:p>
    <w:p>
      <w:pPr>
        <w:ind w:left="2560" w:right="60" w:hanging="516"/>
        <w:spacing w:after="0" w:line="266" w:lineRule="auto"/>
        <w:tabs>
          <w:tab w:leader="none" w:pos="2560" w:val="left"/>
        </w:tabs>
        <w:numPr>
          <w:ilvl w:val="2"/>
          <w:numId w:val="7"/>
        </w:numPr>
        <w:rPr>
          <w:rFonts w:ascii="Times New Roman" w:cs="Times New Roman" w:eastAsia="Times New Roman" w:hAnsi="Times New Roman"/>
          <w:sz w:val="17"/>
          <w:szCs w:val="17"/>
          <w:color w:val="212529"/>
        </w:rPr>
      </w:pPr>
      <w:r>
        <w:rPr>
          <w:rFonts w:ascii="Arial" w:cs="Arial" w:eastAsia="Arial" w:hAnsi="Arial"/>
          <w:sz w:val="17"/>
          <w:szCs w:val="17"/>
          <w:color w:val="212529"/>
        </w:rPr>
        <w:t>Prostate cancer specific DFS (exclusion of non-prostate cancer related deaths) demonstrated a greater effect with a 38% decreased risk in the CAN-2409 arm vs. PBO (p=0.0046; HR 0.62, 95% CI 0.44 to 0.87)</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 w:name="page8"/>
    <w:bookmarkEnd w:id="7"/>
    <w:p>
      <w:pPr>
        <w:ind w:left="2180" w:hanging="516"/>
        <w:spacing w:after="0"/>
        <w:tabs>
          <w:tab w:leader="none" w:pos="2180" w:val="left"/>
        </w:tabs>
        <w:numPr>
          <w:ilvl w:val="1"/>
          <w:numId w:val="8"/>
        </w:numPr>
        <w:rPr>
          <w:rFonts w:ascii="Times New Roman" w:cs="Times New Roman" w:eastAsia="Times New Roman" w:hAnsi="Times New Roman"/>
          <w:sz w:val="17"/>
          <w:szCs w:val="17"/>
          <w:color w:val="212529"/>
        </w:rPr>
      </w:pPr>
      <w:r>
        <w:rPr>
          <w:rFonts w:ascii="Arial" w:cs="Arial" w:eastAsia="Arial" w:hAnsi="Arial"/>
          <w:sz w:val="17"/>
          <w:szCs w:val="17"/>
          <w:color w:val="212529"/>
        </w:rPr>
        <w:t>DFS improvement was observed both in patients receiving short-term ADT and in patients not receiving ADT</w:t>
      </w:r>
    </w:p>
    <w:p>
      <w:pPr>
        <w:spacing w:after="0" w:line="114" w:lineRule="exact"/>
        <w:rPr>
          <w:rFonts w:ascii="Times New Roman" w:cs="Times New Roman" w:eastAsia="Times New Roman" w:hAnsi="Times New Roman"/>
          <w:sz w:val="17"/>
          <w:szCs w:val="17"/>
          <w:color w:val="212529"/>
        </w:rPr>
      </w:pPr>
    </w:p>
    <w:p>
      <w:pPr>
        <w:ind w:left="2180" w:hanging="516"/>
        <w:spacing w:after="0" w:line="266" w:lineRule="auto"/>
        <w:tabs>
          <w:tab w:leader="none" w:pos="2180" w:val="left"/>
        </w:tabs>
        <w:numPr>
          <w:ilvl w:val="1"/>
          <w:numId w:val="8"/>
        </w:numPr>
        <w:rPr>
          <w:rFonts w:ascii="Times New Roman" w:cs="Times New Roman" w:eastAsia="Times New Roman" w:hAnsi="Times New Roman"/>
          <w:sz w:val="17"/>
          <w:szCs w:val="17"/>
          <w:color w:val="212529"/>
        </w:rPr>
      </w:pPr>
      <w:r>
        <w:rPr>
          <w:rFonts w:ascii="Arial" w:cs="Arial" w:eastAsia="Arial" w:hAnsi="Arial"/>
          <w:sz w:val="17"/>
          <w:szCs w:val="17"/>
          <w:color w:val="212529"/>
        </w:rPr>
        <w:t>Significant increase in the proportion of patients achieving a prostate-specific antigen (PSA) nadir (&lt;0.2 ng/ml) was observed in the treatment arm compared to the placebo control arm (67.1% vs. 58.6%, respectively; p=0.0164)</w:t>
      </w:r>
    </w:p>
    <w:p>
      <w:pPr>
        <w:spacing w:after="0" w:line="51" w:lineRule="exact"/>
        <w:rPr>
          <w:rFonts w:ascii="Times New Roman" w:cs="Times New Roman" w:eastAsia="Times New Roman" w:hAnsi="Times New Roman"/>
          <w:sz w:val="17"/>
          <w:szCs w:val="17"/>
          <w:color w:val="212529"/>
        </w:rPr>
      </w:pPr>
    </w:p>
    <w:p>
      <w:pPr>
        <w:ind w:left="2180" w:right="340" w:hanging="516"/>
        <w:spacing w:after="0" w:line="266" w:lineRule="auto"/>
        <w:tabs>
          <w:tab w:leader="none" w:pos="2180" w:val="left"/>
        </w:tabs>
        <w:numPr>
          <w:ilvl w:val="1"/>
          <w:numId w:val="8"/>
        </w:numPr>
        <w:rPr>
          <w:rFonts w:ascii="Times New Roman" w:cs="Times New Roman" w:eastAsia="Times New Roman" w:hAnsi="Times New Roman"/>
          <w:sz w:val="17"/>
          <w:szCs w:val="17"/>
          <w:color w:val="212529"/>
        </w:rPr>
      </w:pPr>
      <w:r>
        <w:rPr>
          <w:rFonts w:ascii="Arial" w:cs="Arial" w:eastAsia="Arial" w:hAnsi="Arial"/>
          <w:sz w:val="17"/>
          <w:szCs w:val="17"/>
          <w:color w:val="212529"/>
        </w:rPr>
        <w:t>CAN-2409 induced 80.4% pathological complete responses in the 2-year post-treatment biopsies compared to 63.6% observed in the control arm (p=0.0015)</w:t>
      </w:r>
    </w:p>
    <w:p>
      <w:pPr>
        <w:spacing w:after="0" w:line="51" w:lineRule="exact"/>
        <w:rPr>
          <w:rFonts w:ascii="Times New Roman" w:cs="Times New Roman" w:eastAsia="Times New Roman" w:hAnsi="Times New Roman"/>
          <w:sz w:val="17"/>
          <w:szCs w:val="17"/>
          <w:color w:val="212529"/>
        </w:rPr>
      </w:pPr>
    </w:p>
    <w:p>
      <w:pPr>
        <w:ind w:left="1660" w:right="160" w:hanging="505"/>
        <w:spacing w:after="0" w:line="249" w:lineRule="auto"/>
        <w:tabs>
          <w:tab w:leader="none" w:pos="166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The median follow-up time for the recruited population was 50.3 months. The primary outcome measure, DFS, included the evaluation of post-treatment biopsies, performed at two years from the end of radiation, for the presence of tumor recurrence. Local or systemic recurrence and death from any cause were also part of the primary endpoint.</w:t>
      </w:r>
    </w:p>
    <w:p>
      <w:pPr>
        <w:spacing w:after="0" w:line="65" w:lineRule="exact"/>
        <w:rPr>
          <w:rFonts w:ascii="Times New Roman" w:cs="Times New Roman" w:eastAsia="Times New Roman" w:hAnsi="Times New Roman"/>
          <w:sz w:val="17"/>
          <w:szCs w:val="17"/>
          <w:color w:val="auto"/>
        </w:rPr>
      </w:pPr>
    </w:p>
    <w:p>
      <w:pPr>
        <w:jc w:val="both"/>
        <w:ind w:left="1660" w:right="460" w:hanging="505"/>
        <w:spacing w:after="0" w:line="249" w:lineRule="auto"/>
        <w:tabs>
          <w:tab w:leader="none" w:pos="166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CAN-2409 was generally well tolerated, with no new safety signals identified. The most common CAN-2409-related adverse events were flu-like symptoms, fever and chills, which were generally mild to moderate in severity and self-limited.</w:t>
      </w:r>
    </w:p>
    <w:p>
      <w:pPr>
        <w:spacing w:after="0" w:line="65" w:lineRule="exact"/>
        <w:rPr>
          <w:rFonts w:ascii="Times New Roman" w:cs="Times New Roman" w:eastAsia="Times New Roman" w:hAnsi="Times New Roman"/>
          <w:sz w:val="17"/>
          <w:szCs w:val="17"/>
          <w:color w:val="auto"/>
        </w:rPr>
      </w:pPr>
    </w:p>
    <w:p>
      <w:pPr>
        <w:jc w:val="both"/>
        <w:ind w:left="1660" w:right="100" w:hanging="505"/>
        <w:spacing w:after="0" w:line="249" w:lineRule="auto"/>
        <w:tabs>
          <w:tab w:leader="none" w:pos="166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results, we intend to initiate discussions with the FDA regarding the regulatory pathway for CAN-2409 in intermediate-to-high-risk localized prostate cancer, and we anticipate submitting a biologics license application for CAN-2409 in the fourth quarter of 2026.</w:t>
      </w:r>
    </w:p>
    <w:p>
      <w:pPr>
        <w:spacing w:after="0" w:line="66" w:lineRule="exact"/>
        <w:rPr>
          <w:sz w:val="20"/>
          <w:szCs w:val="20"/>
          <w:color w:val="auto"/>
        </w:rPr>
      </w:pPr>
    </w:p>
    <w:p>
      <w:pPr>
        <w:ind w:left="860" w:right="20" w:hanging="289"/>
        <w:spacing w:after="0" w:line="266" w:lineRule="auto"/>
        <w:tabs>
          <w:tab w:leader="none" w:pos="860"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 blind, placebo-controlled clinical trial in the United States evaluating patients with low-to-intermediate risk, localized prostate cancer undergoing active surveillance. We completed enrollment of this trial in May 2019.</w:t>
      </w:r>
    </w:p>
    <w:p>
      <w:pPr>
        <w:spacing w:after="0" w:line="51" w:lineRule="exact"/>
        <w:rPr>
          <w:rFonts w:ascii="Times New Roman" w:cs="Times New Roman" w:eastAsia="Times New Roman" w:hAnsi="Times New Roman"/>
          <w:sz w:val="17"/>
          <w:szCs w:val="17"/>
          <w:color w:val="auto"/>
        </w:rPr>
      </w:pPr>
    </w:p>
    <w:p>
      <w:pPr>
        <w:ind w:left="1660" w:right="20" w:hanging="505"/>
        <w:spacing w:after="0" w:line="239" w:lineRule="auto"/>
        <w:tabs>
          <w:tab w:leader="none" w:pos="1660"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also reported that the phase 2b clinical trial of monotherapy CAN-2409 in 190 patients with low-to-intermediate risk, localized prostate cancer undergoing active surveillance showed numerical improvement in time to radical treatment and the percentage of patients achieving negative (prostate cancer-free) biopsies at 1-year post-treatment. However, these differences did not reach statistical significance. CAN-2409 was generally well tolerated, with no new safety signals identified. The most common CAN-2409-related adverse events were flu-like symptoms, fever and chills, which were generally mild to moderate in severity and self-limited.</w:t>
      </w:r>
    </w:p>
    <w:p>
      <w:pPr>
        <w:spacing w:after="0" w:line="75" w:lineRule="exact"/>
        <w:rPr>
          <w:rFonts w:ascii="Times New Roman" w:cs="Times New Roman" w:eastAsia="Times New Roman" w:hAnsi="Times New Roman"/>
          <w:sz w:val="17"/>
          <w:szCs w:val="17"/>
          <w:color w:val="auto"/>
        </w:rPr>
      </w:pPr>
    </w:p>
    <w:p>
      <w:pPr>
        <w:ind w:left="280" w:hanging="278"/>
        <w:spacing w:after="0"/>
        <w:tabs>
          <w:tab w:leader="none" w:pos="2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rFonts w:ascii="Times New Roman" w:cs="Times New Roman" w:eastAsia="Times New Roman" w:hAnsi="Times New Roman"/>
          <w:sz w:val="17"/>
          <w:szCs w:val="17"/>
          <w:color w:val="auto"/>
        </w:rPr>
      </w:pPr>
    </w:p>
    <w:p>
      <w:pPr>
        <w:ind w:left="860" w:hanging="289"/>
        <w:spacing w:after="0" w:line="236" w:lineRule="auto"/>
        <w:tabs>
          <w:tab w:leader="none" w:pos="860"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An open-label phase 2 clinical trial in the United States evaluating CAN-2409 plus valacyclovir in combination with continued PD-(L)1 checkpoint inhibitors in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These patients historically have had an expected median overall survival (mOS) of &lt;12 months when treated with SoC chemotherapy (Reckamp K et al. J Clin Onc 2022;40:2295-2306). The aim of the CAN-2409 immunotherapy antitumor strategy is to raise the tail on the survival curve by increasing the number of long survivors beyond 12 months in patients treated with two CAN-2409 injections.</w:t>
      </w:r>
    </w:p>
    <w:p>
      <w:pPr>
        <w:spacing w:after="0" w:line="78" w:lineRule="exact"/>
        <w:rPr>
          <w:rFonts w:ascii="Times New Roman" w:cs="Times New Roman" w:eastAsia="Times New Roman" w:hAnsi="Times New Roman"/>
          <w:sz w:val="17"/>
          <w:szCs w:val="17"/>
          <w:color w:val="auto"/>
        </w:rPr>
      </w:pPr>
    </w:p>
    <w:p>
      <w:pPr>
        <w:ind w:left="860" w:right="60" w:hanging="289"/>
        <w:spacing w:after="0" w:line="249" w:lineRule="auto"/>
        <w:tabs>
          <w:tab w:leader="none" w:pos="860"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 May 2024, we announced topline data that showed prolonged overall survival in our phase 2 clinical trial of CAN-2409 plus valacyclovir, together with immune checkpoint inhibitor (ICI) therapy in patients with Stage III/IV NSCLC inadequately responding to ICI [anti-PD-(L)1] therapy (as of an April 1, 2024 data cut-off):</w:t>
      </w:r>
    </w:p>
    <w:p>
      <w:pPr>
        <w:spacing w:after="0" w:line="65" w:lineRule="exact"/>
        <w:rPr>
          <w:rFonts w:ascii="Times New Roman" w:cs="Times New Roman" w:eastAsia="Times New Roman" w:hAnsi="Times New Roman"/>
          <w:sz w:val="17"/>
          <w:szCs w:val="17"/>
          <w:color w:val="auto"/>
        </w:rPr>
      </w:pPr>
    </w:p>
    <w:p>
      <w:pPr>
        <w:ind w:left="1660" w:right="120" w:hanging="505"/>
        <w:spacing w:after="0" w:line="239" w:lineRule="auto"/>
        <w:tabs>
          <w:tab w:leader="none" w:pos="1660"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mOS of 20.6 months was observed following two administrations of CAN-2409 plus valacyclovir in NSCLC patients with progressive disease despite ICI therapy, compared to published results of mOS of 11.6 months observed with SoC docetaxel-based chemotherapy in a similar patient population (Reckamp K et al. J Clin Onc 2022;40:2295-2306). Improved mOS was observed in both PD-L1 negative and PD-L1 positive tumors in patients with progressive disease (N=37 patients in cohort 2 for which PD-L1 status at baseline was available). mOS of 22.0 months was observed across all patients (n=46) who had an inadequate response to ICI and who received two administrations of CAN-2409.</w:t>
      </w:r>
    </w:p>
    <w:p>
      <w:pPr>
        <w:spacing w:after="0" w:line="73" w:lineRule="exact"/>
        <w:rPr>
          <w:rFonts w:ascii="Times New Roman" w:cs="Times New Roman" w:eastAsia="Times New Roman" w:hAnsi="Times New Roman"/>
          <w:sz w:val="17"/>
          <w:szCs w:val="17"/>
          <w:color w:val="auto"/>
        </w:rPr>
      </w:pPr>
    </w:p>
    <w:p>
      <w:pPr>
        <w:ind w:left="1660" w:right="540" w:hanging="505"/>
        <w:spacing w:after="0" w:line="266" w:lineRule="auto"/>
        <w:tabs>
          <w:tab w:leader="none" w:pos="1660"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Treatment with CAN-2409 resulted in systemic activation of the immune response, including increased numbers of effector and cytotoxic T cells as well as elevated levels of inflammatory soluble mediators.</w:t>
      </w:r>
    </w:p>
    <w:p>
      <w:pPr>
        <w:spacing w:after="0" w:line="160"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477520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197" w:right="359" w:bottom="1440" w:gutter="0" w:footer="0" w:header="0"/>
        </w:sectPr>
      </w:pPr>
    </w:p>
    <w:bookmarkStart w:id="8" w:name="page9"/>
    <w:bookmarkEnd w:id="8"/>
    <w:p>
      <w:pPr>
        <w:ind w:left="1660" w:right="140" w:hanging="505"/>
        <w:spacing w:after="0" w:line="243" w:lineRule="auto"/>
        <w:tabs>
          <w:tab w:leader="none" w:pos="166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Activation of the systemic immune response was associated with shrinkage of uninjected lesions (abscopal response). 71.4% of patients with metastatic disease and at least one uninjected tumor (n=35) experienced a beneficial effect from CAN-2409 treatment on both injected and uninjected tumors. When using a threshold of &gt;5% decrease, more than 60% of patients still showed an abscopal response.</w:t>
      </w:r>
    </w:p>
    <w:p>
      <w:pPr>
        <w:spacing w:after="0" w:line="71" w:lineRule="exact"/>
        <w:rPr>
          <w:rFonts w:ascii="Times New Roman" w:cs="Times New Roman" w:eastAsia="Times New Roman" w:hAnsi="Times New Roman"/>
          <w:sz w:val="17"/>
          <w:szCs w:val="17"/>
          <w:color w:val="auto"/>
        </w:rPr>
      </w:pPr>
    </w:p>
    <w:p>
      <w:pPr>
        <w:ind w:left="1660" w:right="140" w:hanging="505"/>
        <w:spacing w:after="0" w:line="249" w:lineRule="auto"/>
        <w:tabs>
          <w:tab w:leader="none" w:pos="166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As of the cut-off date, treatment with CAN-2409 in NSCLC continued to exhibit a generally favorable safety and tolerability profile. There were no dose-limiting toxicities or grade 4 or higher treatment-related adverse events (TRAEs); the majority of TRAEs were grade 1 or 2, and there were three grade 3 TRAEs (1 pyrexia, 2 pneumonitis).</w:t>
      </w:r>
    </w:p>
    <w:p>
      <w:pPr>
        <w:spacing w:after="0" w:line="65" w:lineRule="exact"/>
        <w:rPr>
          <w:rFonts w:ascii="Times New Roman" w:cs="Times New Roman" w:eastAsia="Times New Roman" w:hAnsi="Times New Roman"/>
          <w:sz w:val="17"/>
          <w:szCs w:val="17"/>
          <w:color w:val="auto"/>
        </w:rPr>
      </w:pPr>
    </w:p>
    <w:p>
      <w:pPr>
        <w:ind w:left="1660" w:hanging="505"/>
        <w:spacing w:after="0"/>
        <w:tabs>
          <w:tab w:leader="none" w:pos="166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present updated overall survival data for CAN-2409 in NSCLC in the first quarter of 2025.</w:t>
      </w:r>
    </w:p>
    <w:p>
      <w:pPr>
        <w:spacing w:after="0" w:line="197" w:lineRule="exact"/>
        <w:rPr>
          <w:rFonts w:ascii="Times New Roman" w:cs="Times New Roman" w:eastAsia="Times New Roman" w:hAnsi="Times New Roman"/>
          <w:sz w:val="17"/>
          <w:szCs w:val="17"/>
          <w:color w:val="auto"/>
        </w:rPr>
      </w:pPr>
    </w:p>
    <w:p>
      <w:pPr>
        <w:ind w:left="280" w:hanging="278"/>
        <w:spacing w:after="0"/>
        <w:tabs>
          <w:tab w:leader="none" w:pos="2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93" w:lineRule="exact"/>
        <w:rPr>
          <w:sz w:val="20"/>
          <w:szCs w:val="20"/>
          <w:color w:val="auto"/>
        </w:rPr>
      </w:pPr>
    </w:p>
    <w:p>
      <w:pPr>
        <w:ind w:left="1160" w:hanging="514"/>
        <w:spacing w:after="0" w:line="236" w:lineRule="auto"/>
        <w:tabs>
          <w:tab w:leader="none" w:pos="116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initiated a randomized phase 2 clinical trial in the United States and Mexico evaluating the activity of CAN-2409 in borderline resectable and locally advanced pancreatic ductal adenocarcinoma (PDAC). Initial positive phase 2 data revealed notable clinical improvements in patients with borderline resectable PDAC following CAN-2409 plus prodrug together with SoC chemoradiation. In March 2023, in connection with our cost management and dynamic portfolio management initiatives, we elected to pause new enrollment in this randomized phase 2 clinical trial, subject to additional funding. Despite the pause in new patient enrollment, we presented initial positive interim overall survival and immunological biomarker clinical data at the Society for Immunotherapy of Cancer (SITC) Annual Meeting in the fourth quarter of 2023. In December 2023, we announced that the FDA granted fast track designation for CAN-2409 plus valacyclovir for the treatment of patients with PDAC to improve overall survival. In April 2024, we announced updated positive overall survival data and also announced that the FDA has granted orphan drug designation for CAN-2409 for the treatment of pancreatic cancer.</w:t>
      </w:r>
    </w:p>
    <w:p>
      <w:pPr>
        <w:spacing w:after="0" w:line="75" w:lineRule="exact"/>
        <w:rPr>
          <w:sz w:val="20"/>
          <w:szCs w:val="20"/>
          <w:color w:val="auto"/>
        </w:rPr>
      </w:pPr>
    </w:p>
    <w:p>
      <w:pPr>
        <w:ind w:left="1120" w:hanging="369"/>
        <w:spacing w:after="0"/>
        <w:tabs>
          <w:tab w:leader="none" w:pos="11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following data were disclosed as of the March 29, 2024 data cutoff:</w:t>
      </w:r>
    </w:p>
    <w:p>
      <w:pPr>
        <w:spacing w:after="0" w:line="114" w:lineRule="exact"/>
        <w:rPr>
          <w:rFonts w:ascii="Times New Roman" w:cs="Times New Roman" w:eastAsia="Times New Roman" w:hAnsi="Times New Roman"/>
          <w:sz w:val="17"/>
          <w:szCs w:val="17"/>
          <w:color w:val="auto"/>
        </w:rPr>
      </w:pPr>
    </w:p>
    <w:p>
      <w:pPr>
        <w:ind w:left="1660" w:hanging="505"/>
        <w:spacing w:after="0"/>
        <w:tabs>
          <w:tab w:leader="none" w:pos="1660" w:val="left"/>
        </w:tabs>
        <w:numPr>
          <w:ilvl w:val="1"/>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Clinical data highlights:</w:t>
      </w:r>
    </w:p>
    <w:p>
      <w:pPr>
        <w:spacing w:after="0" w:line="114" w:lineRule="exact"/>
        <w:rPr>
          <w:rFonts w:ascii="Times New Roman" w:cs="Times New Roman" w:eastAsia="Times New Roman" w:hAnsi="Times New Roman"/>
          <w:sz w:val="17"/>
          <w:szCs w:val="17"/>
          <w:color w:val="auto"/>
        </w:rPr>
      </w:pPr>
    </w:p>
    <w:p>
      <w:pPr>
        <w:ind w:left="2180" w:right="480" w:hanging="516"/>
        <w:spacing w:after="0" w:line="266" w:lineRule="auto"/>
        <w:tabs>
          <w:tab w:leader="none" w:pos="2180" w:val="left"/>
        </w:tabs>
        <w:numPr>
          <w:ilvl w:val="2"/>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Prolonged and sustained survival was observed after experimental treatment with CAN-2409 in patients with borderline resectable PDAC.</w:t>
      </w:r>
    </w:p>
    <w:p>
      <w:pPr>
        <w:spacing w:after="0" w:line="51" w:lineRule="exact"/>
        <w:rPr>
          <w:rFonts w:ascii="Times New Roman" w:cs="Times New Roman" w:eastAsia="Times New Roman" w:hAnsi="Times New Roman"/>
          <w:sz w:val="17"/>
          <w:szCs w:val="17"/>
          <w:color w:val="auto"/>
        </w:rPr>
      </w:pPr>
    </w:p>
    <w:p>
      <w:pPr>
        <w:ind w:left="2180" w:hanging="516"/>
        <w:spacing w:after="0"/>
        <w:tabs>
          <w:tab w:leader="none" w:pos="2180" w:val="left"/>
        </w:tabs>
        <w:numPr>
          <w:ilvl w:val="2"/>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mOS was 28.8 months in the CAN-2409 group versus 12.5 months in the control group.</w:t>
      </w:r>
    </w:p>
    <w:p>
      <w:pPr>
        <w:spacing w:after="0" w:line="114" w:lineRule="exact"/>
        <w:rPr>
          <w:rFonts w:ascii="Times New Roman" w:cs="Times New Roman" w:eastAsia="Times New Roman" w:hAnsi="Times New Roman"/>
          <w:sz w:val="17"/>
          <w:szCs w:val="17"/>
          <w:color w:val="auto"/>
        </w:rPr>
      </w:pPr>
    </w:p>
    <w:p>
      <w:pPr>
        <w:ind w:left="2180" w:right="220" w:hanging="516"/>
        <w:spacing w:after="0" w:line="249" w:lineRule="auto"/>
        <w:tabs>
          <w:tab w:leader="none" w:pos="2180" w:val="left"/>
        </w:tabs>
        <w:numPr>
          <w:ilvl w:val="2"/>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At 24 months, a survival rate of 71.4% was observed in patients receiving CAN-2409 at the time of SoC chemoradiation and surgery, versus only 16.7% in the control group. At 36 months, a survival rate of 47.6% was estimated in patients who received CAN-2409 versus only 16.7% in the control group.</w:t>
      </w:r>
    </w:p>
    <w:p>
      <w:pPr>
        <w:spacing w:after="0" w:line="65" w:lineRule="exact"/>
        <w:rPr>
          <w:rFonts w:ascii="Times New Roman" w:cs="Times New Roman" w:eastAsia="Times New Roman" w:hAnsi="Times New Roman"/>
          <w:sz w:val="17"/>
          <w:szCs w:val="17"/>
          <w:color w:val="auto"/>
        </w:rPr>
      </w:pPr>
    </w:p>
    <w:p>
      <w:pPr>
        <w:ind w:left="2180" w:right="280" w:hanging="516"/>
        <w:spacing w:after="0" w:line="249" w:lineRule="auto"/>
        <w:tabs>
          <w:tab w:leader="none" w:pos="2180" w:val="left"/>
        </w:tabs>
        <w:numPr>
          <w:ilvl w:val="2"/>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4 out of 7 patients who received CAN-2409 were still alive at the time of data cutoff, with 2 patients surviving more than 50.0 months from enrollment. Only 1 out of 6 patients, randomized to control SoC chemotherapy alone, remained alive at data cutoff (alive at 50.6 months).</w:t>
      </w:r>
    </w:p>
    <w:p>
      <w:pPr>
        <w:spacing w:after="0" w:line="65" w:lineRule="exact"/>
        <w:rPr>
          <w:rFonts w:ascii="Times New Roman" w:cs="Times New Roman" w:eastAsia="Times New Roman" w:hAnsi="Times New Roman"/>
          <w:sz w:val="17"/>
          <w:szCs w:val="17"/>
          <w:color w:val="auto"/>
        </w:rPr>
      </w:pPr>
    </w:p>
    <w:p>
      <w:pPr>
        <w:ind w:left="1660" w:hanging="505"/>
        <w:spacing w:after="0"/>
        <w:tabs>
          <w:tab w:leader="none" w:pos="1660" w:val="left"/>
        </w:tabs>
        <w:numPr>
          <w:ilvl w:val="1"/>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Biomarker data analysis demonstrated:</w:t>
      </w:r>
    </w:p>
    <w:p>
      <w:pPr>
        <w:spacing w:after="0" w:line="114" w:lineRule="exact"/>
        <w:rPr>
          <w:rFonts w:ascii="Times New Roman" w:cs="Times New Roman" w:eastAsia="Times New Roman" w:hAnsi="Times New Roman"/>
          <w:sz w:val="17"/>
          <w:szCs w:val="17"/>
          <w:color w:val="auto"/>
        </w:rPr>
      </w:pPr>
    </w:p>
    <w:p>
      <w:pPr>
        <w:ind w:left="2180" w:hanging="516"/>
        <w:spacing w:after="0"/>
        <w:tabs>
          <w:tab w:leader="none" w:pos="2180" w:val="left"/>
        </w:tabs>
        <w:numPr>
          <w:ilvl w:val="2"/>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Consistent and robust activation of immune response after dosing with CAN-2409.</w:t>
      </w:r>
    </w:p>
    <w:p>
      <w:pPr>
        <w:spacing w:after="0" w:line="114" w:lineRule="exact"/>
        <w:rPr>
          <w:rFonts w:ascii="Times New Roman" w:cs="Times New Roman" w:eastAsia="Times New Roman" w:hAnsi="Times New Roman"/>
          <w:sz w:val="17"/>
          <w:szCs w:val="17"/>
          <w:color w:val="auto"/>
        </w:rPr>
      </w:pPr>
    </w:p>
    <w:p>
      <w:pPr>
        <w:ind w:left="2180" w:right="60" w:hanging="516"/>
        <w:spacing w:after="0" w:line="243" w:lineRule="auto"/>
        <w:tabs>
          <w:tab w:leader="none" w:pos="2180" w:val="left"/>
        </w:tabs>
        <w:numPr>
          <w:ilvl w:val="2"/>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In pancreatic tissue of patients treated with CAN-2409 plus prodrug together with SoC (but not SoC alone), dense aggregates of CD8+ granzyme B positive cytotoxic T cells, dendritic cells, and B cells were observed within the tumor microenvironment. These lymphocyte aggregates resemble tertiary lymphoid structures, whose formation in solid tumors is known to be associated with improved prognosis and better response to therapy.</w:t>
      </w:r>
    </w:p>
    <w:p>
      <w:pPr>
        <w:spacing w:after="0" w:line="71" w:lineRule="exact"/>
        <w:rPr>
          <w:rFonts w:ascii="Times New Roman" w:cs="Times New Roman" w:eastAsia="Times New Roman" w:hAnsi="Times New Roman"/>
          <w:sz w:val="17"/>
          <w:szCs w:val="17"/>
          <w:color w:val="auto"/>
        </w:rPr>
      </w:pPr>
    </w:p>
    <w:p>
      <w:pPr>
        <w:ind w:left="2180" w:right="520" w:hanging="516"/>
        <w:spacing w:after="0" w:line="266" w:lineRule="auto"/>
        <w:tabs>
          <w:tab w:leader="none" w:pos="2180" w:val="left"/>
        </w:tabs>
        <w:numPr>
          <w:ilvl w:val="2"/>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levels of soluble granzymes B and H as well as pro-inflammatory cytokines, including IFN-γ, were observed in peripheral blood after CAN-2409 treatment, but not after SoC.</w:t>
      </w:r>
    </w:p>
    <w:p>
      <w:pPr>
        <w:spacing w:after="0" w:line="51" w:lineRule="exact"/>
        <w:rPr>
          <w:rFonts w:ascii="Times New Roman" w:cs="Times New Roman" w:eastAsia="Times New Roman" w:hAnsi="Times New Roman"/>
          <w:sz w:val="17"/>
          <w:szCs w:val="17"/>
          <w:color w:val="auto"/>
        </w:rPr>
      </w:pPr>
    </w:p>
    <w:p>
      <w:pPr>
        <w:ind w:left="1660" w:hanging="505"/>
        <w:spacing w:after="0"/>
        <w:tabs>
          <w:tab w:leader="none" w:pos="1660" w:val="left"/>
        </w:tabs>
        <w:numPr>
          <w:ilvl w:val="1"/>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Safety analysis:</w:t>
      </w:r>
    </w:p>
    <w:p>
      <w:pPr>
        <w:spacing w:after="0" w:line="22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477520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197" w:right="359" w:bottom="1440" w:gutter="0" w:footer="0" w:header="0"/>
        </w:sectPr>
      </w:pPr>
    </w:p>
    <w:bookmarkStart w:id="9" w:name="page10"/>
    <w:bookmarkEnd w:id="9"/>
    <w:p>
      <w:pPr>
        <w:ind w:left="2560" w:right="300" w:hanging="516"/>
        <w:spacing w:after="0" w:line="266" w:lineRule="auto"/>
        <w:tabs>
          <w:tab w:leader="none" w:pos="256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Addition of CAN-2409 regimen to SoC was generally well tolerated, with no dose-limiting toxicities, including no cases of pancreatitis.</w:t>
      </w:r>
    </w:p>
    <w:p>
      <w:pPr>
        <w:spacing w:after="0" w:line="52" w:lineRule="exact"/>
        <w:rPr>
          <w:sz w:val="20"/>
          <w:szCs w:val="20"/>
          <w:color w:val="auto"/>
        </w:rPr>
      </w:pPr>
    </w:p>
    <w:p>
      <w:pPr>
        <w:ind w:left="1540" w:hanging="514"/>
        <w:spacing w:after="0"/>
        <w:tabs>
          <w:tab w:leader="none" w:pos="154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February 2025, we announced the final analysis of this phase 2 clinical trial in borderline resectable PDAC:</w:t>
      </w:r>
    </w:p>
    <w:p>
      <w:pPr>
        <w:spacing w:after="0" w:line="114" w:lineRule="exact"/>
        <w:rPr>
          <w:rFonts w:ascii="Times New Roman" w:cs="Times New Roman" w:eastAsia="Times New Roman" w:hAnsi="Times New Roman"/>
          <w:sz w:val="17"/>
          <w:szCs w:val="17"/>
          <w:color w:val="auto"/>
        </w:rPr>
      </w:pPr>
    </w:p>
    <w:p>
      <w:pPr>
        <w:ind w:left="2040" w:right="200" w:hanging="505"/>
        <w:spacing w:after="0" w:line="266" w:lineRule="auto"/>
        <w:tabs>
          <w:tab w:leader="none" w:pos="204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median overall survival after enrollment was 31.4 months in the CAN-2409 group versus only 12.5 months in the control group.</w:t>
      </w:r>
    </w:p>
    <w:p>
      <w:pPr>
        <w:spacing w:after="0" w:line="51" w:lineRule="exact"/>
        <w:rPr>
          <w:rFonts w:ascii="Times New Roman" w:cs="Times New Roman" w:eastAsia="Times New Roman" w:hAnsi="Times New Roman"/>
          <w:sz w:val="17"/>
          <w:szCs w:val="17"/>
          <w:color w:val="auto"/>
        </w:rPr>
      </w:pPr>
    </w:p>
    <w:p>
      <w:pPr>
        <w:ind w:left="2040" w:right="40" w:hanging="505"/>
        <w:spacing w:after="0"/>
        <w:tabs>
          <w:tab w:leader="none" w:pos="204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3 out of 7 patients who received CAN-2409 were still alive at the time of data cut-off (February 20, 2025) with survival of 66.0, 63.6, and 35.8 months after enrollment; survival from the time of diagnosis was 73.5, 68.8 and 41.3 months for these patients. In contrast, only one out of 6 patients randomized to SoC chemotherapy arm remained alive at the data cutoff; histologic analysis at resection showed intraepithelial neoplasia associated with improved prognosis in this patient.</w:t>
      </w:r>
    </w:p>
    <w:p>
      <w:pPr>
        <w:spacing w:after="0" w:line="74"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Median survival post-progression was 21.2 months in CAN-2409 patients (vs. 7.2 months on the control arm).</w:t>
      </w:r>
    </w:p>
    <w:p>
      <w:pPr>
        <w:spacing w:after="0" w:line="114" w:lineRule="exact"/>
        <w:rPr>
          <w:rFonts w:ascii="Times New Roman" w:cs="Times New Roman" w:eastAsia="Times New Roman" w:hAnsi="Times New Roman"/>
          <w:sz w:val="17"/>
          <w:szCs w:val="17"/>
          <w:color w:val="auto"/>
        </w:rPr>
      </w:pPr>
    </w:p>
    <w:p>
      <w:pPr>
        <w:ind w:left="2040" w:right="180" w:hanging="505"/>
        <w:spacing w:after="0" w:line="266" w:lineRule="auto"/>
        <w:tabs>
          <w:tab w:leader="none" w:pos="204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promising findings, the Company has decided to prepare for a larger, late-stage, randomized controlled clinical trial of CAN-2409 in PDAC.</w:t>
      </w:r>
    </w:p>
    <w:p>
      <w:pPr>
        <w:spacing w:after="0" w:line="9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lead HSV-based product candidate, CAN-3110, is currently in an ongoing investigator-sponsored phase 1b clinical trial in our initial target indication of recurrent high-grade glioma (HGG). Patients recruited in this study have previously failed SoC treatment and have a poor prognosis (expected overall survival &lt; 6-9 months). In February 2024, we announced that the FDA granted fast track designation for CAN-3110 for the treatment of patients with recurrent HGG to improve overall survival. In May 2024, we also announced that the FDA granted orphan drug designation for CAN-3110 for the treatment of recurrent HGG.</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Initial overall survival data from this clinical trial was presented in an oral presentation at the American Society of Clinical Oncology (ASCO) Annual Meeting in June 2021, and additional biomarker data was reported in an oral presentation at the Society for Neuro-Oncology Annual Meeting in November 2021. During our Research and Development Day in December 2022, we presented updated data demonstrating that a single administration of CAN-3110 was well tolerated with no observed dose-limiting toxicity and achieved 11.6 months mOS. Furthermore, we showed evidence of persistent herpes simplex virus 1 (HSV-1) antigen and HSV-1 replication consistent with the mechanism of action​of CAN-3110 as well as evidence of robust immune activation in the tumor microenvironment and in the peripheral blood of treated patients​. In May 2023, we presented clinical and biomarker data from this ongoing clinical trial in an oral presentation at the American Society of Gene &amp; Cell Therapy (ASGCT) Annual Meeting where we reported mOS in arm A (n=41) ongoing at 11.8 months and mOS in arm B (n=9) ongoing at 12.0 months as of the April 20, 2023 data cutoff. The safety and tolerability data highlighted the absence of dose-limiting toxicities in both arm A and arm B.</w:t>
      </w:r>
    </w:p>
    <w:p>
      <w:pPr>
        <w:spacing w:after="0" w:line="12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In October 2023, we jointly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survival associated with immune activation in patients with recurrent HGG treated with CAN-3110. Notably, new data reported an increased survival in the 66% of patients with positivity for anti-HSV1 antibodies (mOS of 14.2 months). Immune status was positively associated with survival both in patients with pre-existing HSV1 antibodies (pre-treatment) and in 33% of patients who, while negative at baseline, developed anti-HSV1 antibodies after a single injection of CAN-3110. Clinical responses were observed in both injected and uninjected lesions in patients with multifocal disease. Significant tumor responses in both arm A and arm B were observed, with continued reduction in tumor volume in a patient in arm B approximately one year after CAN-3110 treatment. Clinical response for this patient continues as of February 2025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who were able to mount a diverse immune response against the virus and tumor antigens released during the oncolytic process after CAN-3110 administration, had improved survival.</w:t>
      </w:r>
    </w:p>
    <w:p>
      <w:pPr>
        <w:spacing w:after="0" w:line="12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could further improve survival. This clinical trial extension is supported by the Break Through Cancer foundation. As of February 2025, we have dosed seven patients with multiple injections of CAN-3110 (up to six injections over a period of four months). In June 2024, a poster presentation at the ASCO Annual Meeting demonstrated that multiple intratumoral injections of CAN-3110 were feasible and well tolerated with no dose-limiting toxicities or severe adverse events observed in the first six patients treated in arm C. More than 300 core biopsies were obtained from these patients, across the planned dose ranging time points, which were processed for “-omic” analysis,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right="80"/>
        <w:spacing w:after="0" w:line="236" w:lineRule="auto"/>
        <w:rPr>
          <w:sz w:val="20"/>
          <w:szCs w:val="20"/>
          <w:color w:val="auto"/>
        </w:rPr>
      </w:pPr>
      <w:r>
        <w:rPr>
          <w:rFonts w:ascii="Arial" w:cs="Arial" w:eastAsia="Arial" w:hAnsi="Arial"/>
          <w:sz w:val="17"/>
          <w:szCs w:val="17"/>
          <w:color w:val="auto"/>
        </w:rPr>
        <w:t>including single-cell RNA sequencing and cell profiling. In October 2024, during the 16th Annual International Oncolytic Virotherapy Conference (IOVC), we announced clinical activity and biomarker data for arm C. The principal investigator of the study reported ongoing improved survival compared to historical controls in patients treated with multiple injections of CAN-3110, with 3 out of 6 patients with recurrent HGG (recurrent glioblastoma) still alive more than one year (12.2, 13.0, and 18.7 months, respectively) after initiation of experimental treatment with CAN-3110. The data also showed discrepancies between imaging and histologic findings. Post treatment longitudinal biopsies demonstrated near absence of tumor cells alongside dense lymphocyte infiltrates especially in patients with enhancement on post-treatment MRI scans, suggesting the presence of radiologic pseudo-progression after treatment with CAN-3110. This data cautions against the evaluation of progression by imaging, restating the importance of survival as the primary endpoint for viral immunotherapy trials. We expect to present initial median overall survival data for the repeat dosing cohort in the fourth quarter of 2025.</w:t>
      </w:r>
    </w:p>
    <w:p>
      <w:pPr>
        <w:spacing w:after="0" w:line="10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November 2024, during the SITC 2024 Annual Meeting, we presented data demonstrating the antitumor activity of CAN-3110 in preclinical models of melanoma, a tumor characterized by high Nestin expression, frequent loss-of-function in CDKN2A, and alterations in the Ras-Raf signaling pathway. This data supports the rationale to expand the evaluation of CAN-3110 into tumors beyond recurrent HGG, creating a potential pipeline in a product.</w:t>
      </w:r>
    </w:p>
    <w:p>
      <w:pPr>
        <w:spacing w:after="0" w:line="11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are also designing additional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w:t>
      </w:r>
    </w:p>
    <w:p>
      <w:pPr>
        <w:spacing w:after="0" w:line="11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during the SITC 2023 Annual Meeting, we presented two posters describing the key elements of the platform and the development of the first experimental agent from the enLIGHTEN Discovery Platform. The first agent based on enLIGHTEN™, Alpha-201 Macro1, is an investigational viral immunotherapy designed to interfere with the CD47/SIRPα pathway and activate innate immune surveillance. Results demonstrated monotherapy activity of this agent following local administration in a preclinical model of lung and breast cancer. Additional preclinical data presented at SITC confirmed the capability of the enLIGHTEN™ Advanced Analytics suite to predict optimal gene payload combinations to arm viral vectors, enabling the design of potential combination therapeutics to overcome tumor resistance especially in cancers resistant to immune checkpoint inhibitor treatment.</w:t>
      </w:r>
    </w:p>
    <w:p>
      <w:pPr>
        <w:spacing w:after="0" w:line="10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being developed as a novel therapeutic strategy for solid tumors. Data presented included preclinical in vivo evidence of monotherapy activity of this preclinical candidate as well as activity when administered in combination with immune checkpoint inhibitors (improved survival as compared to PD-1 only treated mice).</w:t>
      </w:r>
    </w:p>
    <w:p>
      <w:pPr>
        <w:spacing w:after="0" w:line="129" w:lineRule="exact"/>
        <w:rPr>
          <w:sz w:val="20"/>
          <w:szCs w:val="20"/>
          <w:color w:val="auto"/>
        </w:rPr>
      </w:pPr>
    </w:p>
    <w:p>
      <w:pPr>
        <w:ind w:right="240"/>
        <w:spacing w:after="0" w:line="228" w:lineRule="auto"/>
        <w:rPr>
          <w:sz w:val="20"/>
          <w:szCs w:val="20"/>
          <w:color w:val="auto"/>
        </w:rPr>
      </w:pPr>
      <w:r>
        <w:rPr>
          <w:rFonts w:ascii="Arial" w:cs="Arial" w:eastAsia="Arial" w:hAnsi="Arial"/>
          <w:sz w:val="17"/>
          <w:szCs w:val="17"/>
          <w:color w:val="auto"/>
        </w:rPr>
        <w:t>In October 2024, during the 16th Annual IOVC, we presented data on a novel biological multimodal therapeutic from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the third preclinical candidate, encoding IL-12 and IL-15. Data included the ability of this asset to induce expansion and activation of natural killer and CD8+ T cells, resulting in significant inhibition of tumor growth and tumor regression in two different tumor models.</w:t>
      </w:r>
    </w:p>
    <w:p>
      <w:pPr>
        <w:spacing w:after="0" w:line="114"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We currently own development and commercialization rights for all our programs in major markets, including the United States, Europe and Asia, allowing us to control development and seek approval in those areas as we prepare our commercialization efforts.</w:t>
      </w:r>
    </w:p>
    <w:p>
      <w:pPr>
        <w:spacing w:after="0" w:line="78"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into Candel Therapeutics, Inc. We completed our initial public offering in July 2021.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0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goal is to develop first-in class and best-in-class biological multimodal immunotherapies to transform the lives of cancer patients. We plan to develop and commercialize our two most advanced product candidates, CAN-2409 and CAN-3110, for the treatment of a broad range of solid tumor indications, while continuing to build our pipeline through our discovery platform</w:t>
      </w:r>
      <w:r>
        <w:rPr>
          <w:rFonts w:ascii="Arial" w:cs="Arial" w:eastAsia="Arial" w:hAnsi="Arial"/>
          <w:sz w:val="17"/>
          <w:szCs w:val="17"/>
          <w:i w:val="1"/>
          <w:iCs w:val="1"/>
          <w:color w:val="auto"/>
        </w:rPr>
        <w:t>.</w:t>
      </w:r>
      <w:r>
        <w:rPr>
          <w:rFonts w:ascii="Arial" w:cs="Arial" w:eastAsia="Arial" w:hAnsi="Arial"/>
          <w:sz w:val="17"/>
          <w:szCs w:val="17"/>
          <w:color w:val="auto"/>
        </w:rPr>
        <w:t xml:space="preserve"> Key elements of our strategy include the following:</w:t>
      </w:r>
    </w:p>
    <w:p>
      <w:pPr>
        <w:spacing w:after="0" w:line="69" w:lineRule="exact"/>
        <w:rPr>
          <w:sz w:val="20"/>
          <w:szCs w:val="20"/>
          <w:color w:val="auto"/>
        </w:rPr>
      </w:pPr>
    </w:p>
    <w:p>
      <w:pPr>
        <w:ind w:left="1020" w:right="80" w:hanging="503"/>
        <w:spacing w:after="0" w:line="248"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late-stage development of, and seek regulatory approval for, our product candidate, CAN-2409, in newly diagnosed, localized prostate cancer. </w:t>
      </w:r>
      <w:r>
        <w:rPr>
          <w:rFonts w:ascii="Arial" w:cs="Arial" w:eastAsia="Arial" w:hAnsi="Arial"/>
          <w:sz w:val="17"/>
          <w:szCs w:val="17"/>
          <w:color w:val="auto"/>
        </w:rPr>
        <w:t>We have recently reported positive topline data on a potentially registrational phase 3 clinical trial in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localized, intermediate- and high-risk prostate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 w:name="page12"/>
    <w:bookmarkEnd w:id="11"/>
    <w:p>
      <w:pPr>
        <w:ind w:left="1020" w:right="300"/>
        <w:spacing w:after="0" w:line="267" w:lineRule="auto"/>
        <w:rPr>
          <w:sz w:val="20"/>
          <w:szCs w:val="20"/>
          <w:color w:val="auto"/>
        </w:rPr>
      </w:pPr>
      <w:r>
        <w:rPr>
          <w:rFonts w:ascii="Arial" w:cs="Arial" w:eastAsia="Arial" w:hAnsi="Arial"/>
          <w:sz w:val="17"/>
          <w:szCs w:val="17"/>
          <w:color w:val="auto"/>
        </w:rPr>
        <w:t>cancer in combination with SoC radiotherapy. If approved, we believe CAN-2409 could be a first-in-class drug for localized prostate cancer patients.</w:t>
      </w:r>
    </w:p>
    <w:p>
      <w:pPr>
        <w:spacing w:after="0" w:line="53" w:lineRule="exact"/>
        <w:rPr>
          <w:sz w:val="20"/>
          <w:szCs w:val="20"/>
          <w:color w:val="auto"/>
        </w:rPr>
      </w:pPr>
    </w:p>
    <w:p>
      <w:pPr>
        <w:ind w:left="1020" w:right="80" w:hanging="503"/>
        <w:spacing w:after="0" w:line="248"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development of CAN-2409 in stage III/IV NSCLC patients with inadequate responses to SoC immune checkpoint inhibitors (ICI). </w:t>
      </w:r>
      <w:r>
        <w:rPr>
          <w:rFonts w:ascii="Arial" w:cs="Arial" w:eastAsia="Arial" w:hAnsi="Arial"/>
          <w:sz w:val="17"/>
          <w:szCs w:val="17"/>
          <w:color w:val="auto"/>
        </w:rPr>
        <w:t>A phase 2 clinical trial that evaluates CAN-2409 in combination with ICI is currently underway in NSCLC. Our aim is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mOS compared to optimal SoC.</w:t>
      </w:r>
    </w:p>
    <w:p>
      <w:pPr>
        <w:spacing w:after="0" w:line="66"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development of CAN-2409 in pancreatic cancer. </w:t>
      </w:r>
      <w:r>
        <w:rPr>
          <w:rFonts w:ascii="Arial" w:cs="Arial" w:eastAsia="Arial" w:hAnsi="Arial"/>
          <w:sz w:val="17"/>
          <w:szCs w:val="17"/>
          <w:color w:val="auto"/>
        </w:rPr>
        <w:t>We conducted a randomized controlled phase 2 clinical trial in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borderline resectable pancreatic adenocarcinoma. Our aim is to improve mOS compared to SoC.</w:t>
      </w:r>
    </w:p>
    <w:p>
      <w:pPr>
        <w:spacing w:after="0" w:line="51" w:lineRule="exact"/>
        <w:rPr>
          <w:rFonts w:ascii="Times New Roman" w:cs="Times New Roman" w:eastAsia="Times New Roman" w:hAnsi="Times New Roman"/>
          <w:sz w:val="17"/>
          <w:szCs w:val="17"/>
          <w:color w:val="auto"/>
        </w:rPr>
      </w:pPr>
    </w:p>
    <w:p>
      <w:pPr>
        <w:ind w:left="1020" w:right="160" w:hanging="503"/>
        <w:spacing w:after="0" w:line="243"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clinical development of CAN-3110 from our HSV platform with tumor-specific enhanced replication potency. </w:t>
      </w:r>
      <w:r>
        <w:rPr>
          <w:rFonts w:ascii="Arial" w:cs="Arial" w:eastAsia="Arial" w:hAnsi="Arial"/>
          <w:sz w:val="17"/>
          <w:szCs w:val="17"/>
          <w:color w:val="auto"/>
        </w:rPr>
        <w:t>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investigator-sponsored phase 1b clinical trial is ongoing in recurrent HGG. This trial is evaluating the activity of CAN-3110 in therapy-resistant disease, where we believe a replicating virus may present therapeutic advantages. Our aim is to improve mOS compared to optimal SoC.</w:t>
      </w:r>
    </w:p>
    <w:p>
      <w:pPr>
        <w:spacing w:after="0" w:line="73" w:lineRule="exact"/>
        <w:rPr>
          <w:rFonts w:ascii="Times New Roman" w:cs="Times New Roman" w:eastAsia="Times New Roman" w:hAnsi="Times New Roman"/>
          <w:sz w:val="17"/>
          <w:szCs w:val="17"/>
          <w:color w:val="auto"/>
        </w:rPr>
      </w:pPr>
    </w:p>
    <w:p>
      <w:pPr>
        <w:ind w:left="1020" w:right="340" w:hanging="503"/>
        <w:spacing w:after="0" w:line="264"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Advance the development of CAN-3110 in a phase 2 clinical trial in rHGG to identify the optimal dosing regimen and improve mOS compared to SoC.</w:t>
      </w:r>
    </w:p>
    <w:p>
      <w:pPr>
        <w:spacing w:after="0" w:line="53"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Initiate IND-enabling work for CAN-3110 in a second indication characterized by Nestin expression. </w:t>
      </w:r>
      <w:r>
        <w:rPr>
          <w:rFonts w:ascii="Arial" w:cs="Arial" w:eastAsia="Arial" w:hAnsi="Arial"/>
          <w:sz w:val="17"/>
          <w:szCs w:val="17"/>
          <w:color w:val="auto"/>
        </w:rPr>
        <w:t>We intend to discuss a new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trial designed to explore safety, tolerability and preliminary efficacy in a second indication, for example triple negative breast cancer or melanoma, with the FDA.</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Leverage our HSV viral immunotherapy platform to develop additional HSV-based product candidates. </w:t>
      </w:r>
      <w:r>
        <w:rPr>
          <w:rFonts w:ascii="Arial" w:cs="Arial" w:eastAsia="Arial" w:hAnsi="Arial"/>
          <w:sz w:val="17"/>
          <w:szCs w:val="17"/>
          <w:color w:val="auto"/>
        </w:rPr>
        <w:t>Our enLIGHTEN™ Discovery</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enables rapid vector engineering to generate a range of new candidates in a data driven and indication specific manner, using computational biology and artificial intelligence. We utilize a key attribute of HSV, a high capacity for genetic cargo, to enable targeted modifications and deploy indication specific genes to the tumor microenvironment. Our platform is designed to generate both replication-defective and replication-competent agents depending on the demands of a particular application.</w:t>
      </w:r>
    </w:p>
    <w:p>
      <w:pPr>
        <w:spacing w:after="0" w:line="74" w:lineRule="exact"/>
        <w:rPr>
          <w:rFonts w:ascii="Times New Roman" w:cs="Times New Roman" w:eastAsia="Times New Roman" w:hAnsi="Times New Roman"/>
          <w:sz w:val="17"/>
          <w:szCs w:val="17"/>
          <w:color w:val="auto"/>
        </w:rPr>
      </w:pPr>
    </w:p>
    <w:p>
      <w:pPr>
        <w:ind w:left="1020" w:hanging="503"/>
        <w:spacing w:after="0" w:line="239"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Establish strategic partnerships to maximize the value of our current and future product candidates. </w:t>
      </w:r>
      <w:r>
        <w:rPr>
          <w:rFonts w:ascii="Arial" w:cs="Arial" w:eastAsia="Arial" w:hAnsi="Arial"/>
          <w:sz w:val="17"/>
          <w:szCs w:val="17"/>
          <w:color w:val="auto"/>
        </w:rPr>
        <w:t>In order to advance 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for a large number of patients, we may partner with other companies with complementary resources to maximize the value of our current and future product candidates. Such partnerships may allow us to pair CAN-2409, CAN-3110, and our future product candidates with other novel agents owned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73" w:lineRule="exact"/>
        <w:rPr>
          <w:rFonts w:ascii="Times New Roman" w:cs="Times New Roman" w:eastAsia="Times New Roman" w:hAnsi="Times New Roman"/>
          <w:sz w:val="17"/>
          <w:szCs w:val="17"/>
          <w:color w:val="auto"/>
        </w:rPr>
      </w:pPr>
    </w:p>
    <w:p>
      <w:pPr>
        <w:ind w:left="1020" w:right="80" w:hanging="503"/>
        <w:spacing w:after="0" w:line="238"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Ensure commercial-scale manufacturing of our product candidates</w:t>
      </w:r>
      <w:r>
        <w:rPr>
          <w:rFonts w:ascii="Arial" w:cs="Arial" w:eastAsia="Arial" w:hAnsi="Arial"/>
          <w:sz w:val="17"/>
          <w:szCs w:val="17"/>
          <w:color w:val="auto"/>
        </w:rPr>
        <w:t>. We will rely on third party contract manufacturers for commercial-scale manufacturing of both product candidates, CAN-2409 and CAN-3110. For CAN-2409, we have worked with our contract manufacturer (CDMO) to tech transfer, scale up and lock the manufacturing process by performing small scale development runs and a large-scale confirmation run and engineering run. The CDMO will manufacture a clinical batch which will be used to supply clinical trials after completing an analytical (in vitro) comparability study, and manufacture validation batches to lock the commercial process and enable filing of the biologics license application. We expect that our cost-of-goods will be substantially lower than that for cell- and antibody-based therapies because of our high-yield manufacturing process.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Conventional cancer therapies (chemotherapy, radiotherapy and surgery) often do not eradicate 100% of the tumor cells, which often leads to tumor progression or recurrence. Deep and durable responses, therefore, are still elusive for many cancer patients. Traditionally, surgery and/or radiotherapy are used for local tumor debulking, whereas chemotherapeutic agents target systemic eradication of tumor cells. These treatment modalities, however, are often limited by toxicity.</w:t>
      </w:r>
    </w:p>
    <w:p>
      <w:pPr>
        <w:spacing w:after="0" w:line="69"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Immunotherapy is a relatively new treatment modality that has expanded the anti-cancer treatment paradigm. FDA-approved immunotherapies include cytokines, cell therapies and antibodies, including ICIs. Much focus has been placed on harnessing the effector T cell arm of the immune system for tumor specific immunity. Adoptive T cell therapy has shown some positive results but with limited activity in solid tumors and is not scalable for widespread use. Vaccine approaches range in complexity from peptide or mRNA encoded antigens to autologous or allogeneic tumor cell products. The advantage of the single antigen approaches is that they can be easily manufactured and produced. However, they have the fundamental disadvantage of being potentially irrelevant for a patient’s specific tumor or immune system or easily bypassed by resistant clones. Cellular vaccines are not easily scalable and allogeneic</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 w:name="page13"/>
    <w:bookmarkEnd w:id="12"/>
    <w:p>
      <w:pPr>
        <w:jc w:val="both"/>
        <w:ind w:right="220"/>
        <w:spacing w:after="0" w:line="249" w:lineRule="auto"/>
        <w:rPr>
          <w:sz w:val="20"/>
          <w:szCs w:val="20"/>
          <w:color w:val="auto"/>
        </w:rPr>
      </w:pPr>
      <w:r>
        <w:rPr>
          <w:rFonts w:ascii="Arial" w:cs="Arial" w:eastAsia="Arial" w:hAnsi="Arial"/>
          <w:sz w:val="17"/>
          <w:szCs w:val="17"/>
          <w:color w:val="auto"/>
        </w:rPr>
        <w:t>vaccines may not bear the relevant antigens expressed by a patient’s tumor. ICIs such as anti-PD-1 and anti-PD-L1 antibodies, have transformed the treatment paradigm for different cancer indications. However, they do not induce a specific immune response and only approximately 15% to 40% of overall patients respond to such treatment.</w:t>
      </w:r>
    </w:p>
    <w:p>
      <w:pPr>
        <w:spacing w:after="0" w:line="6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are focused on the development of viral immunotherapy approaches, which are based on an extensive history of research. Originally, the mechanism of action of agents in this class was believed to be merely based on the ability of the virus to induce cancer cell lysis and to resolve tumors. Later, it was demonstrated that viral immunotherapy may induce immunogenic cell death. This effect may be enhanced by the pro-inflammatory effects of the viral capsid proteins. With the dramatic emergence of ICIs and immunotherapy as a core treatment modality, the importance of the immunostimulatory aspect of viral-mediated approaches became more widely evident. The currently understood generalized mechanism of action of viral immunotherapies like CAN-2409 and CAN-3110 is unique in combining both an anti-tumor cytotoxic component and an immune-stimulatory component. Together, these assets lead to an “in-situ vaccination” effect against the injected tumor followed by an effect on uninjected distant metastases.</w:t>
      </w:r>
    </w:p>
    <w:p>
      <w:pPr>
        <w:spacing w:after="0" w:line="76"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Pairing this therapeutic approach with ICI treatment or with radiotherapy is based on a strong mechanistic rationale and has shown promise in experimental models of cancer. It has been observed that tumors that are least responsive to ICI are commonly characterized by low levels of lymphocytic infiltration and low or no PD-L1 expression levels; they are referred to as “cold” tumors. One of our areas of focus is the conversion of immunologically suppressed “cold” tumors into immunologically active “hot” tumors, thereby increasing their responsiveness to ICI or other therapies, such as radiotherapy.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Mechanism of Action of Candel's Viral Immunotherapy:</w:t>
      </w:r>
    </w:p>
    <w:p>
      <w:pPr>
        <w:spacing w:after="0" w:line="102" w:lineRule="exact"/>
        <w:rPr>
          <w:sz w:val="20"/>
          <w:szCs w:val="20"/>
          <w:color w:val="auto"/>
        </w:rPr>
      </w:pPr>
    </w:p>
    <w:p>
      <w:pPr>
        <w:ind w:left="760" w:right="60" w:hanging="378"/>
        <w:spacing w:after="0" w:line="249" w:lineRule="auto"/>
        <w:tabs>
          <w:tab w:leader="none" w:pos="7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Direct anti-tumor cytotoxic activity. </w:t>
      </w:r>
      <w:r>
        <w:rPr>
          <w:rFonts w:ascii="Arial" w:cs="Arial" w:eastAsia="Arial" w:hAnsi="Arial"/>
          <w:sz w:val="17"/>
          <w:szCs w:val="17"/>
          <w:color w:val="auto"/>
        </w:rPr>
        <w:t>Tumor-specific viral-mediated oncolysis is achieved by both precise delivery of the engineered virus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tumor as well as the virus’ ability to selectively replicate within a cancer cell. Various approaches have been applied in different programs to increase the specificity and potency of viral toxicity aimed at tumor cells, including genetic modifications and use of prodrugs.</w:t>
      </w:r>
    </w:p>
    <w:p>
      <w:pPr>
        <w:spacing w:after="0" w:line="65" w:lineRule="exact"/>
        <w:rPr>
          <w:rFonts w:ascii="Times New Roman" w:cs="Times New Roman" w:eastAsia="Times New Roman" w:hAnsi="Times New Roman"/>
          <w:sz w:val="17"/>
          <w:szCs w:val="17"/>
          <w:color w:val="auto"/>
        </w:rPr>
      </w:pPr>
    </w:p>
    <w:p>
      <w:pPr>
        <w:ind w:left="760" w:right="140" w:hanging="378"/>
        <w:spacing w:after="0" w:line="243" w:lineRule="auto"/>
        <w:tabs>
          <w:tab w:leader="none" w:pos="7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Broad stimulation of anti-tumor immunity. </w:t>
      </w:r>
      <w:r>
        <w:rPr>
          <w:rFonts w:ascii="Arial" w:cs="Arial" w:eastAsia="Arial" w:hAnsi="Arial"/>
          <w:sz w:val="17"/>
          <w:szCs w:val="17"/>
          <w:color w:val="auto"/>
        </w:rPr>
        <w:t>The immunogenic cell death driven by oncolysis results in a potent local and systemic immune</w:t>
      </w:r>
      <w:r>
        <w:rPr>
          <w:rFonts w:ascii="Arial" w:cs="Arial" w:eastAsia="Arial" w:hAnsi="Arial"/>
          <w:sz w:val="17"/>
          <w:szCs w:val="17"/>
          <w:i w:val="1"/>
          <w:iCs w:val="1"/>
          <w:color w:val="auto"/>
        </w:rPr>
        <w:t xml:space="preserve"> </w:t>
      </w:r>
      <w:r>
        <w:rPr>
          <w:rFonts w:ascii="Arial" w:cs="Arial" w:eastAsia="Arial" w:hAnsi="Arial"/>
          <w:sz w:val="17"/>
          <w:szCs w:val="17"/>
          <w:color w:val="auto"/>
        </w:rPr>
        <w:t>stimulation, while adenoviral or HSV viral particles induce increased expression of proinflammatory cytokines, chemokines and adhesion molecules. Together this promotes the activation of both the innate and adaptive arms of the immune system. This broad response commonly includes recruitment and activation of antigen-presenting cells and effector immune cells to the site of the tumor.</w:t>
      </w:r>
    </w:p>
    <w:p>
      <w:pPr>
        <w:spacing w:after="0" w:line="71" w:lineRule="exact"/>
        <w:rPr>
          <w:rFonts w:ascii="Times New Roman" w:cs="Times New Roman" w:eastAsia="Times New Roman" w:hAnsi="Times New Roman"/>
          <w:sz w:val="17"/>
          <w:szCs w:val="17"/>
          <w:color w:val="auto"/>
        </w:rPr>
      </w:pPr>
    </w:p>
    <w:p>
      <w:pPr>
        <w:jc w:val="both"/>
        <w:ind w:left="760" w:right="540" w:hanging="378"/>
        <w:spacing w:after="0" w:line="249" w:lineRule="auto"/>
        <w:tabs>
          <w:tab w:leader="none" w:pos="7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Priming of the immune system against tumor antigens. </w:t>
      </w:r>
      <w:r>
        <w:rPr>
          <w:rFonts w:ascii="Arial" w:cs="Arial" w:eastAsia="Arial" w:hAnsi="Arial"/>
          <w:sz w:val="17"/>
          <w:szCs w:val="17"/>
          <w:color w:val="auto"/>
        </w:rPr>
        <w:t>The lysis of cancer cells leads to the exposure of tumor-specific antigens to</w:t>
      </w:r>
      <w:r>
        <w:rPr>
          <w:rFonts w:ascii="Arial" w:cs="Arial" w:eastAsia="Arial" w:hAnsi="Arial"/>
          <w:sz w:val="17"/>
          <w:szCs w:val="17"/>
          <w:i w:val="1"/>
          <w:iCs w:val="1"/>
          <w:color w:val="auto"/>
        </w:rPr>
        <w:t xml:space="preserve"> </w:t>
      </w:r>
      <w:r>
        <w:rPr>
          <w:rFonts w:ascii="Arial" w:cs="Arial" w:eastAsia="Arial" w:hAnsi="Arial"/>
          <w:sz w:val="17"/>
          <w:szCs w:val="17"/>
          <w:color w:val="auto"/>
        </w:rPr>
        <w:t>immune cells. This early effect, combined with intratumoral immune cell infiltration and activation, leads to antigen presentation and initiation of a local adaptive immune response targeted against a set of tumor antigens expressed by the patient’s cancer cells.</w:t>
      </w:r>
    </w:p>
    <w:p>
      <w:pPr>
        <w:spacing w:after="0" w:line="119" w:lineRule="exact"/>
        <w:rPr>
          <w:rFonts w:ascii="Times New Roman" w:cs="Times New Roman" w:eastAsia="Times New Roman" w:hAnsi="Times New Roman"/>
          <w:sz w:val="17"/>
          <w:szCs w:val="17"/>
          <w:color w:val="auto"/>
        </w:rPr>
      </w:pPr>
    </w:p>
    <w:p>
      <w:pPr>
        <w:ind w:left="760" w:right="100" w:hanging="378"/>
        <w:spacing w:after="0" w:line="243" w:lineRule="auto"/>
        <w:tabs>
          <w:tab w:leader="none" w:pos="7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Development of a systemic immune memory response. </w:t>
      </w:r>
      <w:r>
        <w:rPr>
          <w:rFonts w:ascii="Arial" w:cs="Arial" w:eastAsia="Arial" w:hAnsi="Arial"/>
          <w:sz w:val="17"/>
          <w:szCs w:val="17"/>
          <w:color w:val="auto"/>
        </w:rPr>
        <w:t>Viral immunotherapy induces the development of a long-lasting systemic immune</w:t>
      </w:r>
      <w:r>
        <w:rPr>
          <w:rFonts w:ascii="Arial" w:cs="Arial" w:eastAsia="Arial" w:hAnsi="Arial"/>
          <w:sz w:val="17"/>
          <w:szCs w:val="17"/>
          <w:i w:val="1"/>
          <w:iCs w:val="1"/>
          <w:color w:val="auto"/>
        </w:rPr>
        <w:t xml:space="preserve"> </w:t>
      </w:r>
      <w:r>
        <w:rPr>
          <w:rFonts w:ascii="Arial" w:cs="Arial" w:eastAsia="Arial" w:hAnsi="Arial"/>
          <w:sz w:val="17"/>
          <w:szCs w:val="17"/>
          <w:color w:val="auto"/>
        </w:rPr>
        <w:t>surveillance against the multitude of antigens associated with the injected tumor, and consequently, tumor antigens expressed at metastatic sites. This leads to a systemic cytotoxic immune response against the injected tumor and distant metastases; the latter is known as an abscopal effect.</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 xml:space="preserve">Desirable Clinical Properties. </w:t>
      </w:r>
      <w:r>
        <w:rPr>
          <w:rFonts w:ascii="Arial" w:cs="Arial" w:eastAsia="Arial" w:hAnsi="Arial"/>
          <w:sz w:val="17"/>
          <w:szCs w:val="17"/>
          <w:color w:val="auto"/>
        </w:rPr>
        <w:t>Candel's viral immunotherapy has attributes that are important for cancer therapeutics. The agents are off-the-shelf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they have been shown to stimulate local and systemic immune responses in most patients, leading to an individualized anti-tumor immune response. In contrast, individualized cellular immunotherapies require specific manufacturing processes for each individual patient. The first viral immunotherapy was approved by the FDA in 2015, providing support that new agents in this class may have similar or better potential. Furthermore, safety data shown in several clinical trials of various viral immunotherapies supports the ability to combine viral immunotherapy with other therapeutic strategies.</w:t>
      </w:r>
    </w:p>
    <w:p>
      <w:pPr>
        <w:spacing w:after="0" w:line="74" w:lineRule="exact"/>
        <w:rPr>
          <w:sz w:val="20"/>
          <w:szCs w:val="20"/>
          <w:color w:val="auto"/>
        </w:rPr>
      </w:pPr>
    </w:p>
    <w:p>
      <w:pPr>
        <w:ind w:right="860"/>
        <w:spacing w:after="0" w:line="267" w:lineRule="auto"/>
        <w:rPr>
          <w:sz w:val="20"/>
          <w:szCs w:val="20"/>
          <w:color w:val="auto"/>
        </w:rPr>
      </w:pPr>
      <w:r>
        <w:rPr>
          <w:rFonts w:ascii="Arial" w:cs="Arial" w:eastAsia="Arial" w:hAnsi="Arial"/>
          <w:sz w:val="17"/>
          <w:szCs w:val="17"/>
          <w:b w:val="1"/>
          <w:bCs w:val="1"/>
          <w:i w:val="1"/>
          <w:iCs w:val="1"/>
          <w:color w:val="auto"/>
        </w:rPr>
        <w:t xml:space="preserve">Our Immunotherapy Platforms. </w:t>
      </w:r>
      <w:r>
        <w:rPr>
          <w:rFonts w:ascii="Arial" w:cs="Arial" w:eastAsia="Arial" w:hAnsi="Arial"/>
          <w:sz w:val="17"/>
          <w:szCs w:val="17"/>
          <w:color w:val="auto"/>
        </w:rPr>
        <w:t>Our two clinical platforms, one based on adenovirus and the other based on HSV, provide different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complementary sets of attributes, which allows us to utilize the product candidate that is best suited for a particular clinical application.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across our viral immunotherapy platforms include:</w:t>
      </w:r>
    </w:p>
    <w:p>
      <w:pPr>
        <w:spacing w:after="0" w:line="102" w:lineRule="exact"/>
        <w:rPr>
          <w:sz w:val="20"/>
          <w:szCs w:val="20"/>
          <w:color w:val="auto"/>
        </w:rPr>
      </w:pPr>
    </w:p>
    <w:p>
      <w:pPr>
        <w:ind w:left="1020" w:hanging="368"/>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Targeting a Wide Range of Cell Types. </w:t>
      </w:r>
      <w:r>
        <w:rPr>
          <w:rFonts w:ascii="Arial" w:cs="Arial" w:eastAsia="Arial" w:hAnsi="Arial"/>
          <w:sz w:val="17"/>
          <w:szCs w:val="17"/>
          <w:color w:val="auto"/>
        </w:rPr>
        <w:t>Product candidates from both the HSV and adenoviral platforms can transduce a diverse range</w:t>
      </w:r>
      <w:r>
        <w:rPr>
          <w:rFonts w:ascii="Arial" w:cs="Arial" w:eastAsia="Arial" w:hAnsi="Arial"/>
          <w:sz w:val="17"/>
          <w:szCs w:val="17"/>
          <w:i w:val="1"/>
          <w:iCs w:val="1"/>
          <w:color w:val="auto"/>
        </w:rPr>
        <w:t xml:space="preserve"> </w:t>
      </w:r>
      <w:r>
        <w:rPr>
          <w:rFonts w:ascii="Arial" w:cs="Arial" w:eastAsia="Arial" w:hAnsi="Arial"/>
          <w:sz w:val="17"/>
          <w:szCs w:val="17"/>
          <w:color w:val="auto"/>
        </w:rPr>
        <w:t>of cell types, which we believe will allow us to address many different forms of cancer.</w:t>
      </w:r>
    </w:p>
    <w:p>
      <w:pPr>
        <w:spacing w:after="0" w:line="51" w:lineRule="exact"/>
        <w:rPr>
          <w:rFonts w:ascii="Times New Roman" w:cs="Times New Roman" w:eastAsia="Times New Roman" w:hAnsi="Times New Roman"/>
          <w:sz w:val="17"/>
          <w:szCs w:val="17"/>
          <w:color w:val="auto"/>
        </w:rPr>
      </w:pPr>
    </w:p>
    <w:p>
      <w:pPr>
        <w:ind w:left="1020" w:right="700" w:hanging="368"/>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Off-the-Shelf Product. </w:t>
      </w:r>
      <w:r>
        <w:rPr>
          <w:rFonts w:ascii="Arial" w:cs="Arial" w:eastAsia="Arial" w:hAnsi="Arial"/>
          <w:sz w:val="17"/>
          <w:szCs w:val="17"/>
          <w:color w:val="auto"/>
        </w:rPr>
        <w:t>A standard product intended to be available as needed via prescription supports straightforward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simplified manufacturing and supply chain management.</w:t>
      </w:r>
    </w:p>
    <w:p>
      <w:pPr>
        <w:spacing w:after="0" w:line="51" w:lineRule="exact"/>
        <w:rPr>
          <w:rFonts w:ascii="Times New Roman" w:cs="Times New Roman" w:eastAsia="Times New Roman" w:hAnsi="Times New Roman"/>
          <w:sz w:val="17"/>
          <w:szCs w:val="17"/>
          <w:color w:val="auto"/>
        </w:rPr>
      </w:pPr>
    </w:p>
    <w:p>
      <w:pPr>
        <w:ind w:left="1020" w:right="120" w:hanging="368"/>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Intratumoral Route of Administration. </w:t>
      </w:r>
      <w:r>
        <w:rPr>
          <w:rFonts w:ascii="Arial" w:cs="Arial" w:eastAsia="Arial" w:hAnsi="Arial"/>
          <w:sz w:val="17"/>
          <w:szCs w:val="17"/>
          <w:color w:val="auto"/>
        </w:rPr>
        <w:t>Both of our product candidates are administered by direct injection into the tumor site,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shown to result in a systemic immune response. This approach aims to</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3" w:name="page14"/>
    <w:bookmarkEnd w:id="13"/>
    <w:p>
      <w:pPr>
        <w:ind w:left="1020" w:right="120"/>
        <w:spacing w:after="0" w:line="236" w:lineRule="auto"/>
        <w:rPr>
          <w:sz w:val="20"/>
          <w:szCs w:val="20"/>
          <w:color w:val="auto"/>
        </w:rPr>
      </w:pPr>
      <w:r>
        <w:rPr>
          <w:rFonts w:ascii="Arial" w:cs="Arial" w:eastAsia="Arial" w:hAnsi="Arial"/>
          <w:sz w:val="17"/>
          <w:szCs w:val="17"/>
          <w:color w:val="auto"/>
        </w:rPr>
        <w:t>maximize immune stimulation and minimize systemic toxicity, factors that are believed to be suboptimal with intravenous administration. We believe that directly injecting these viral immunotherapies into a patient’s cancerous tissue helps to optimize the benefit/risk for these agents to be highly immunostimulatory at the site of the tumor, whereas systemically administered agents would need to avoid detection by the body’s immune surveillance mechanisms to avoid rapid destruction before getting to the target tumor. Intra-tissue administration is the standard approach in vaccination. While our product candidates are administered directly into the tumor, we observed a systemic anti-tumor immune response in our preclinical studies and clinical trials, resulting in improvement of both injected and uninjected tumors, also known as an “abscopal” effect. For the indications that we selected, intratumoral administration is a straightforward procedure that is aligned with normal clinical practice, leveraging routine SoC medical procedures, such as intra-prostate injection, endoscopy, and bronchoscopy for CAN-2409, or stereotactic injection for CAN-3110.</w:t>
      </w:r>
    </w:p>
    <w:p>
      <w:pPr>
        <w:spacing w:after="0" w:line="79" w:lineRule="exact"/>
        <w:rPr>
          <w:sz w:val="20"/>
          <w:szCs w:val="20"/>
          <w:color w:val="auto"/>
        </w:rPr>
      </w:pPr>
    </w:p>
    <w:p>
      <w:pPr>
        <w:ind w:left="1020" w:right="120" w:hanging="368"/>
        <w:spacing w:after="0" w:line="266"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Cost-efficient Manufacturing. </w:t>
      </w:r>
      <w:r>
        <w:rPr>
          <w:rFonts w:ascii="Arial" w:cs="Arial" w:eastAsia="Arial" w:hAnsi="Arial"/>
          <w:sz w:val="17"/>
          <w:szCs w:val="17"/>
          <w:color w:val="auto"/>
        </w:rPr>
        <w:t>Both product candidates are relatively inexpensive to manufacture, particularly when compared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 or cellular therapy treatments.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our Adenoviral platform include:</w:t>
      </w:r>
    </w:p>
    <w:p>
      <w:pPr>
        <w:spacing w:after="0" w:line="102" w:lineRule="exact"/>
        <w:rPr>
          <w:sz w:val="20"/>
          <w:szCs w:val="20"/>
          <w:color w:val="auto"/>
        </w:rPr>
      </w:pPr>
    </w:p>
    <w:p>
      <w:pPr>
        <w:ind w:left="1020" w:hanging="368"/>
        <w:spacing w:after="0" w:line="25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Targeting a Wide Range of Cell Types. </w:t>
      </w:r>
      <w:r>
        <w:rPr>
          <w:rFonts w:ascii="Arial" w:cs="Arial" w:eastAsia="Arial" w:hAnsi="Arial"/>
          <w:sz w:val="17"/>
          <w:szCs w:val="17"/>
          <w:color w:val="auto"/>
        </w:rPr>
        <w:t>Adenoviruses can efficiently transduce cells from different lineages. This allows us to apply this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to many different tumor types.</w:t>
      </w:r>
    </w:p>
    <w:p>
      <w:pPr>
        <w:ind w:left="1020" w:right="420" w:hanging="368"/>
        <w:spacing w:after="0" w:line="253"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Pro-inflammatory Virus Particle. </w:t>
      </w:r>
      <w:r>
        <w:rPr>
          <w:rFonts w:ascii="Arial" w:cs="Arial" w:eastAsia="Arial" w:hAnsi="Arial"/>
          <w:sz w:val="17"/>
          <w:szCs w:val="17"/>
          <w:color w:val="auto"/>
        </w:rPr>
        <w:t>The adenoviral virus particles are strong simulators of the innate immune system, a property that</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contributes to immune activation at the site of administration.</w:t>
      </w:r>
    </w:p>
    <w:p>
      <w:pPr>
        <w:ind w:left="1020" w:right="420" w:hanging="368"/>
        <w:spacing w:after="0" w:line="251"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High-Titer Formulation. </w:t>
      </w:r>
      <w:r>
        <w:rPr>
          <w:rFonts w:ascii="Arial" w:cs="Arial" w:eastAsia="Arial" w:hAnsi="Arial"/>
          <w:sz w:val="17"/>
          <w:szCs w:val="17"/>
          <w:color w:val="auto"/>
        </w:rPr>
        <w:t>Adenovirus can be formulated at high titers, facilitating the administration of low volume doses sufficiently</w:t>
      </w:r>
      <w:r>
        <w:rPr>
          <w:rFonts w:ascii="Arial" w:cs="Arial" w:eastAsia="Arial" w:hAnsi="Arial"/>
          <w:sz w:val="17"/>
          <w:szCs w:val="17"/>
          <w:i w:val="1"/>
          <w:iCs w:val="1"/>
          <w:color w:val="auto"/>
        </w:rPr>
        <w:t xml:space="preserve"> </w:t>
      </w:r>
      <w:r>
        <w:rPr>
          <w:rFonts w:ascii="Arial" w:cs="Arial" w:eastAsia="Arial" w:hAnsi="Arial"/>
          <w:sz w:val="17"/>
          <w:szCs w:val="17"/>
          <w:color w:val="auto"/>
        </w:rPr>
        <w:t>potent to induce strong activity.</w:t>
      </w:r>
    </w:p>
    <w:p>
      <w:pPr>
        <w:ind w:left="1020" w:right="480" w:hanging="368"/>
        <w:spacing w:after="0" w:line="25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Product Stability. </w:t>
      </w:r>
      <w:r>
        <w:rPr>
          <w:rFonts w:ascii="Arial" w:cs="Arial" w:eastAsia="Arial" w:hAnsi="Arial"/>
          <w:sz w:val="17"/>
          <w:szCs w:val="17"/>
          <w:color w:val="auto"/>
        </w:rPr>
        <w:t>The formulation deployed in clinical trials has stability at refrigerator temperatures (4°C), supporting use at less</w:t>
      </w:r>
      <w:r>
        <w:rPr>
          <w:rFonts w:ascii="Arial" w:cs="Arial" w:eastAsia="Arial" w:hAnsi="Arial"/>
          <w:sz w:val="17"/>
          <w:szCs w:val="17"/>
          <w:i w:val="1"/>
          <w:iCs w:val="1"/>
          <w:color w:val="auto"/>
        </w:rPr>
        <w:t xml:space="preserve"> </w:t>
      </w:r>
      <w:r>
        <w:rPr>
          <w:rFonts w:ascii="Arial" w:cs="Arial" w:eastAsia="Arial" w:hAnsi="Arial"/>
          <w:sz w:val="17"/>
          <w:szCs w:val="17"/>
          <w:color w:val="auto"/>
        </w:rPr>
        <w:t>specialized and therefore widely accessible sites such as community-based private clinics.</w:t>
      </w:r>
    </w:p>
    <w:p>
      <w:pPr>
        <w:ind w:left="1020" w:right="140" w:hanging="368"/>
        <w:spacing w:after="0" w:line="249"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Non-Replicating Design</w:t>
      </w:r>
      <w:r>
        <w:rPr>
          <w:rFonts w:ascii="Arial" w:cs="Arial" w:eastAsia="Arial" w:hAnsi="Arial"/>
          <w:sz w:val="17"/>
          <w:szCs w:val="17"/>
          <w:color w:val="auto"/>
        </w:rPr>
        <w:t>. Engineering the adenovirus to remove the replication ability reduces the potential for viral shedding,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something which is particularly important in clinical applications such as prostate cancer. There is no need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amplification as the viral gene construct combined with prodrug is highly immunogenic and can be administered at high titers.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our CAN-3110 platform include:</w:t>
      </w:r>
    </w:p>
    <w:p>
      <w:pPr>
        <w:spacing w:after="0" w:line="102" w:lineRule="exact"/>
        <w:rPr>
          <w:sz w:val="20"/>
          <w:szCs w:val="20"/>
          <w:color w:val="auto"/>
        </w:rPr>
      </w:pPr>
    </w:p>
    <w:p>
      <w:pPr>
        <w:ind w:left="1020" w:right="240" w:hanging="368"/>
        <w:spacing w:after="0" w:line="238"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Capacity for selective replication in the tumor. </w:t>
      </w:r>
      <w:r>
        <w:rPr>
          <w:rFonts w:ascii="Arial" w:cs="Arial" w:eastAsia="Arial" w:hAnsi="Arial"/>
          <w:sz w:val="17"/>
          <w:szCs w:val="17"/>
          <w:color w:val="auto"/>
        </w:rPr>
        <w:t>There is a strong rationale for use of a replication-competent virus that is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potent oncolysis and viral amplification in tumors characterized by high volume or located in less anatomically accessible areas, such as recurrent HGG. We have engineered CAN-3110 to selectively replicate only within tumors. This tumor specific replication ability of CAN-3110 is regulated by the expression of ICP34.5, a gene encoding for a protein that permits viral replication even in the presence of the interferon response that is normally able to quell viral infection. In the CAN-3110 construct, ICP34.5 expression is driven by the expression of Nestin, a protein largely expressed in certain tumors, like HGG, but not in healthy brain tissue, thereby enabling replication specifically in the context of HGG and in other tumors expressing Nestin.</w:t>
      </w:r>
    </w:p>
    <w:p>
      <w:pPr>
        <w:spacing w:after="0" w:line="73" w:lineRule="exact"/>
        <w:rPr>
          <w:rFonts w:ascii="Times New Roman" w:cs="Times New Roman" w:eastAsia="Times New Roman" w:hAnsi="Times New Roman"/>
          <w:sz w:val="17"/>
          <w:szCs w:val="17"/>
          <w:color w:val="auto"/>
        </w:rPr>
      </w:pPr>
    </w:p>
    <w:p>
      <w:pPr>
        <w:ind w:left="1020" w:right="80" w:hanging="368"/>
        <w:spacing w:after="0" w:line="249"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Oncolytic activity combined with immunostimulatory properties. </w:t>
      </w:r>
      <w:r>
        <w:rPr>
          <w:rFonts w:ascii="Arial" w:cs="Arial" w:eastAsia="Arial" w:hAnsi="Arial"/>
          <w:sz w:val="17"/>
          <w:szCs w:val="17"/>
          <w:color w:val="auto"/>
        </w:rPr>
        <w:t>CAN-3110 is designed to persist and replicate at the site of the tumor.</w:t>
      </w:r>
      <w:r>
        <w:rPr>
          <w:rFonts w:ascii="Arial" w:cs="Arial" w:eastAsia="Arial" w:hAnsi="Arial"/>
          <w:sz w:val="17"/>
          <w:szCs w:val="17"/>
          <w:i w:val="1"/>
          <w:iCs w:val="1"/>
          <w:color w:val="auto"/>
        </w:rPr>
        <w:t xml:space="preserve"> </w:t>
      </w:r>
      <w:r>
        <w:rPr>
          <w:rFonts w:ascii="Arial" w:cs="Arial" w:eastAsia="Arial" w:hAnsi="Arial"/>
          <w:sz w:val="17"/>
          <w:szCs w:val="17"/>
          <w:color w:val="auto"/>
        </w:rPr>
        <w:t>Viral replication is accompanied by tumor oncolysis, with release of tumor antigens in the microenvironment and activation of a local and systemic immune response.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the enLIGHTEN™ Discovery Platform include:</w:t>
      </w:r>
    </w:p>
    <w:p>
      <w:pPr>
        <w:spacing w:after="0" w:line="104" w:lineRule="exact"/>
        <w:rPr>
          <w:sz w:val="20"/>
          <w:szCs w:val="20"/>
          <w:color w:val="auto"/>
        </w:rPr>
      </w:pPr>
    </w:p>
    <w:p>
      <w:pPr>
        <w:ind w:left="1020" w:hanging="368"/>
        <w:spacing w:after="0"/>
        <w:tabs>
          <w:tab w:leader="none" w:pos="1020" w:val="left"/>
        </w:tabs>
        <w:numPr>
          <w:ilvl w:val="1"/>
          <w:numId w:val="2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Strong focus on human biology, including deep phenotyping of human tumors, to increase probability of success</w:t>
      </w:r>
    </w:p>
    <w:p>
      <w:pPr>
        <w:spacing w:after="0" w:line="112" w:lineRule="exact"/>
        <w:rPr>
          <w:rFonts w:ascii="Times New Roman" w:cs="Times New Roman" w:eastAsia="Times New Roman" w:hAnsi="Times New Roman"/>
          <w:sz w:val="17"/>
          <w:szCs w:val="17"/>
          <w:color w:val="auto"/>
        </w:rPr>
      </w:pPr>
    </w:p>
    <w:p>
      <w:pPr>
        <w:ind w:left="1020" w:right="460" w:hanging="368"/>
        <w:spacing w:after="0" w:line="249" w:lineRule="auto"/>
        <w:tabs>
          <w:tab w:leader="none" w:pos="1020" w:val="left"/>
        </w:tabs>
        <w:numPr>
          <w:ilvl w:val="1"/>
          <w:numId w:val="2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Data driven selection of the payload. </w:t>
      </w:r>
      <w:r>
        <w:rPr>
          <w:rFonts w:ascii="Arial" w:cs="Arial" w:eastAsia="Arial" w:hAnsi="Arial"/>
          <w:sz w:val="17"/>
          <w:szCs w:val="17"/>
          <w:color w:val="auto"/>
        </w:rPr>
        <w:t>The use of computational biology and artificial intelligence on proprietary as well as publicly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datasets enables us to select what we believe is the best payload for combinatory strategy in each specific indication, rationalizing our payload selection, de-risking development and maximizing our probability of success</w:t>
      </w:r>
      <w:r>
        <w:rPr>
          <w:rFonts w:ascii="Arial" w:cs="Arial" w:eastAsia="Arial" w:hAnsi="Arial"/>
          <w:sz w:val="17"/>
          <w:szCs w:val="17"/>
          <w:i w:val="1"/>
          <w:iCs w:val="1"/>
          <w:color w:val="auto"/>
        </w:rPr>
        <w:t>.</w:t>
      </w:r>
    </w:p>
    <w:p>
      <w:pPr>
        <w:spacing w:after="0" w:line="65" w:lineRule="exact"/>
        <w:rPr>
          <w:rFonts w:ascii="Times New Roman" w:cs="Times New Roman" w:eastAsia="Times New Roman" w:hAnsi="Times New Roman"/>
          <w:sz w:val="17"/>
          <w:szCs w:val="17"/>
          <w:color w:val="auto"/>
        </w:rPr>
      </w:pPr>
    </w:p>
    <w:p>
      <w:pPr>
        <w:ind w:left="1020" w:right="320" w:hanging="368"/>
        <w:spacing w:after="0" w:line="266" w:lineRule="auto"/>
        <w:tabs>
          <w:tab w:leader="none" w:pos="1020" w:val="left"/>
        </w:tabs>
        <w:numPr>
          <w:ilvl w:val="1"/>
          <w:numId w:val="2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Use of HSV based on its high capacity for genetic cargos</w:t>
      </w:r>
      <w:r>
        <w:rPr>
          <w:rFonts w:ascii="Arial" w:cs="Arial" w:eastAsia="Arial" w:hAnsi="Arial"/>
          <w:sz w:val="17"/>
          <w:szCs w:val="17"/>
          <w:color w:val="auto"/>
        </w:rPr>
        <w:t>. Our HSV-based platform allows the introduction of large genetic cargos,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multiple immunomodulatory genes that may further enhance the anti-tumor immune response.</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Amenable to engineered modifications. </w:t>
      </w:r>
      <w:r>
        <w:rPr>
          <w:rFonts w:ascii="Arial" w:cs="Arial" w:eastAsia="Arial" w:hAnsi="Arial"/>
          <w:sz w:val="17"/>
          <w:szCs w:val="17"/>
          <w:color w:val="auto"/>
        </w:rPr>
        <w:t>Our knowledge of virus biology allows us to make modifications, such as those already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in CAN-3110 to target certain tumor types. Leveraging these modifications, we can select the best viral vector to deliver the selected payload in a specific indication.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Our Pipeline</w:t>
      </w:r>
    </w:p>
    <w:p>
      <w:pPr>
        <w:spacing w:after="0" w:line="39"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We have an advanced pipeline of late-stage and early-stage assets with our two most advanced product candidates, CAN-2409 and CAN-3110 as well as a preclinical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760720" cy="2391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CAN-2409, formerly known as gene mediated cytotoxic immunotherapy (GMCI), is our most advanced product candidate. It is a replication defective adenovirus that has been genetically modified to express the gene encoding the HSV-thymidine kinase enzyme. This enzyme activates the prodrug, valacyclovir, a widely available, generally well-tolerated antiviral at the site of the tumor, generating a powerful patient-specific anti-tumor immune response. We believe there are three key aspects of the mechanism of action. First, the direct, cellular killing activity is based on the transformation of valacyclovir into a toxic nucleotide analogue that disrupts DNA synthesis and repair. This phenomenon occurs preferentially in actively dividing cancer cells and cells exhibiting DNA damage, thereby providing tumor specificity. This DNA repair inhibition is also hypothesized to be the mechanistic explanation behind the encouraging pre-clinical and clinical activity of CAN-2409 in combination with radiotherapy, a treatment known to cause DNA breaks requiring repair for continued cellular survival. Second, adenoviral capsid proteins themselves also directly trigger an immuno-inflammatory response through the establishment of a proinflammatory tumor microenvironment, resulting in the expression of proinflammatory cytokines, chemokines, and adhesion molecules that contribute to the optimal conditions to immunize against the tumor antigens that are released in the tumor microenvironment as a direct result of the formed toxic nucleotide analogues. Together, this results in the recruitment, activation and proliferation of anti-tumor effector cells, in particular CD8+ cytotoxic T cells. Consequently, the localized death of tumor cells releases numerous antigens that can be recognized by the patient’s own immune system, thereby training the immune system to recognize, target and destroy cancer cells bearing the same antigens that have spread to other sites in the body.</w:t>
      </w:r>
    </w:p>
    <w:p>
      <w:pPr>
        <w:spacing w:after="0" w:line="7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To date, CAN-2409 has been administered to over 1000 patients with cancer. In total, we have conducted more than 10 clinical trials with CAN-2409 in a range of solid tumor indications. We have seen encouraging clinical activity and a favorable tolerability profile with CAN-2409 in both monotherapy and combination settings with radiotherapy, ICI therapy, ADT, chemotherapy and surgery. Based on the totality of our clinical data generated to date, we are currently pursuing indications in lung, pancreatic, and prostate cancer, which we believe all have great potential to address the unmet need.</w:t>
      </w:r>
    </w:p>
    <w:p>
      <w:pPr>
        <w:spacing w:after="0" w:line="7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have successfully completed a phase 3 clinical trial of CAN-2409 under agreement with the FDA through the SPA process in newly diagnosed localized prostate cancer in intermediate- and certain high-risk patients in combination with the SoC that comprises radiotherapy and optional ADT. Our SPA provides FDA concurrence that our key endpoints and specific critical elements of our trial design are adequate to support a potential future marketing application. The clinical trial is randomized, triple-blinded and placebo-controlled. It targeted enrollment of approximately 700 patients and was fully enrolled with 745 patients randomized (711 of which received at least one study drug injection) in September 2021. We recently reported positive topline data on this trial, demonstrating that CAN-2409 in combination with SoC radiation+/- short course ADT is able to significantly improve DFS in early prostate cancer compared with SoC radiation+/- short course of ADT alone, with a reduction in cancer recurrence or death of 30% (hazard ratio 0.7). We have received fast track designation by the FDA for the development of CAN-2409 for the treatment of localized, primary prostate cancer in combination with radiotherapy to improve the local control rate, decrease recurrence and improve disease-free survival. We expect that if we obtain FDA approval on the basis of the results presented in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5" w:name="page16"/>
    <w:bookmarkEnd w:id="15"/>
    <w:p>
      <w:pPr>
        <w:ind w:right="680"/>
        <w:spacing w:after="0" w:line="267" w:lineRule="auto"/>
        <w:rPr>
          <w:sz w:val="20"/>
          <w:szCs w:val="20"/>
          <w:color w:val="auto"/>
        </w:rPr>
      </w:pPr>
      <w:r>
        <w:rPr>
          <w:rFonts w:ascii="Arial" w:cs="Arial" w:eastAsia="Arial" w:hAnsi="Arial"/>
          <w:sz w:val="17"/>
          <w:szCs w:val="17"/>
          <w:color w:val="auto"/>
        </w:rPr>
        <w:t>December 2024, CAN-2409 could be the first new FDA approved pharmacologic treatment available in over 20 years as a potential first-line therapeutic for the over 100,000 patients who are newly diagnosed with localized prostate cancer each year in the United States.</w:t>
      </w:r>
    </w:p>
    <w:p>
      <w:pPr>
        <w:spacing w:after="0" w:line="5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NSCLC, we previously observed monotherapy activity of CAN-2409 in a phase 1b biomarker focused, proof of mechanism clinical trial. In 2020, we initiated a phase 2a clinical trial evaluating CAN-2409 in combination with PD-(L)1 checkpoint inhibitors for patients with inadequate response to PD-(L)1 ICI. This open-label clinical trial was previously amended to target enrollment of approximately 80 patients with stage III/IV NSCLC in two separate cohorts. The cohorts are defined based on response to ICI at the time of enrollment. Cohort 1 addresses patients with stable disease at enrollment. Cohort 2 enrolls patients with progressive disease after at least 18 weeks of ICI treatment. Patients continue treatment with their initial ICI and two administrations of CAN-2409 are added to the therapeutic regimen. The original primary efficacy endpoints for this trial are tumor response as measured by RECIST criteria including overall response rate (ORR) and/or disease control rate (DCR), but – consistent with SITC guidelines - there has been an increasing focus on the gold standard endpoint in this population, which is overall survival. We reported initial data from this trial at the ASCO Annual Meeting in June 2022 and during our Research and Development Day in December 2022. These data were further supported in an update announced in September 2023, based on a data cutoff of August 1, 2023. In this September 2023 announcement, we presented updated data which showed evidence of local and systemic anti-tumor activity; a DCR of 77% (20/26) in patients entering the trial with disease progression (cohort 2; 90% of these patients had stage IV disease);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a favorable safety/tolerability data with most treatment-related adverse events being grade 1/2. In December 2023, the recruitment of this study was paused as we completed target enrollment for cohort 2, which is the key target population as they have the largest unmet need. We received FDA fast track designation for CAN-2409 plus valacyclovir in combination with pembrolizumab in order to improve survival or delay progression in patients with stage III/stage IV in NSCLC who are resistant to first line PD-(L)1 inhibitor therapy and who do not have activating molecular driver mutations or have progressed on directed molecular therapy in April 2023. In May 2024, we announced topline data, showing markedly prolonged overall survival in patients who had received two injections of CAN-2409 compared to historical controls. mOS of 20.6 months was observed following two administrations of CAN-2409 plus valacyclovir in NSCLC patients with progressive disease despite ICI therapy, compared to published results of mOS of 11.6 months observed with SoC docetaxel-based chemotherapy in a similar patient population (Reckamp K et al. J Clin Onc 2022;40:2295-2306). Improved mOS was observed in both PD-L1 negative and PD-L1 positive tumors in patients with progressive disease (N=37 patients in cohort 2 for whom PD-L1 status at baseline was available). mOS of 22.0 months was observed across all patients in cohorts 1 and 2 (n=46), who had an inadequate response to ICI and who received two administrations of CAN-2409. We confirmed that treatment with CAN-2409 resulted in systemic activation of the immune response, including increased numbers of effector and cytotoxic T cells as well as elevated levels of soluble mediators of inflammation. Activation of the systemic immune response was associated with shrinkage of uninjected lesions (abscopal response). 71.4% of patients with metastatic disease and at least one uninjected tumor (n=35) experienced a beneficial effect from CAN-2409 treatment on both injected and uninjected tumors. When using a threshold of &gt;5% decrease, more than 60% of patients still showed an abscopal response. We also confirmed that treatment with CAN-2409 in NSCLC continued to exhibit a generally favorable safety and tolerability profile as of the cut-off date. We anticipate presenting updated overall survival data in the first quarter of 2025.</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 previous phase 1b trial, patients with pancreatic cancer treated with CAN-2409 in addition to SoC demonstrated a greater survival duration over the expected survival of the patients treated with the existing SoC alone in a comparison to historical clinical trial results. Furthermore, in the group of patients where pre- and post-treatment tumor biopsies were available, a statistically significant increase in the number of CD8+ tumor infiltrating lymphocytes was observed. Next, we have initiated a randomized controlled phase 2aclinical trial evaluating CAN-2409 in borderline-resectable pancreatic adenocarcinoma. In March 2023, in connection with our cost management and dynamic portfolio management initiatives, we elected to pause new enrollment in this randomized phase 2a clinical trial and first evaluate survival in the patients already enrolled in the clinical trial. Despite the pause in patient enrollment, we presented initial clinical data in the fourth quarter of 2023. The initial data showed prolonged and sustained survival in patients treated with CAN-2409 but not in the control arm. We observed a separation of the survival curves with an estimated survival rate of 71.4% in the treatment arm at 24 months and 47.6% at 36 months, compared to 16.7% in the control arm at both 24 and 36 months after treatment. We received FDA fast track designation for CAN-2409 plus prodrug (valacyclovir) for the treatment of patients with PDAC to improve overall survival in December 2023. In April 2024, we announced that the FDA has granted orphan drug designation for CAN-2409 for the treatment of pancreatic cancer. In April 2024, we also reported topline survival data for the population of patients with borderline resectable PDAC with CAN-2409. Estimated mOS was 28.8 months in the CAN-2409 group versus only 12.5 months in the control group. Importantly, 4 out of 7</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6" w:name="page17"/>
    <w:bookmarkEnd w:id="16"/>
    <w:p>
      <w:pPr>
        <w:ind w:right="180"/>
        <w:spacing w:after="0" w:line="244" w:lineRule="auto"/>
        <w:rPr>
          <w:sz w:val="20"/>
          <w:szCs w:val="20"/>
          <w:color w:val="auto"/>
        </w:rPr>
      </w:pPr>
      <w:r>
        <w:rPr>
          <w:rFonts w:ascii="Arial" w:cs="Arial" w:eastAsia="Arial" w:hAnsi="Arial"/>
          <w:sz w:val="17"/>
          <w:szCs w:val="17"/>
          <w:color w:val="auto"/>
        </w:rPr>
        <w:t>patients who received CAN-2409 were still alive at the time of data cutoff, with 2 patients surviving more than 50.0 months from enrollment. Only 1 out of 6 patients, randomized to control SoC chemotherapy alone, remained alive at data cutoff (alive at 50.6 months). Biomarker data analysis demonstrated consistent and robust activation of immune response after dosing with CAN-2409. Addition of CAN-2409 regimen to SoC was generally well tolerated, with no dose-limiting toxicities, including no cases of pancreatitis</w:t>
      </w:r>
    </w:p>
    <w:p>
      <w:pPr>
        <w:spacing w:after="0" w:line="9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February 2025, we presented final data from this randomized clinical trial. Prolonged and sustained survival was observed after experimental treatment with CAN-2409 compared to the control group in patients with borderline resectable PDAC (n=13): estimated median overall survival after enrollment was 31.4 months in the CAN-2409 group versus only 12.5 months in the control group. Median survival post-progression was 21.2 months in patients who received CAN-2409 compared to 7.2 months in the control arm. Importantly, 3 out of 7 patients who received CAN-2409 were still alive at the time of data cut-off with a survival of 66.0, 63.6, and 35.8 months, respectively, after enrollment; survival from the time of diagnosis for these patients was 73.5, 68.8, and 41.3 months, respectively. Of these, the first patient had stage IV metastatic disease detected during surgery, the second had residual tumor present at the resection margin, and the third had adenocarcinoma with negative resection margins. In contrast, only one out of 6 patients randomized to SoC chemotherapy arm remained alive at the data cutoff (61.2 months from enrollment and</w:t>
      </w:r>
    </w:p>
    <w:p>
      <w:pPr>
        <w:spacing w:after="0" w:line="3"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65.5 months from diagnosis); histologic analysis at resection showed intraepithelial neoplasia without evidence of residual adenocarcinoma in this patient, which is associated with improved prognosis. Based on these promising findings, the Company has decided to prepare for a larger, late-stage, randomized controlled clinical trial of CAN-2409 in PDAC.</w:t>
      </w:r>
    </w:p>
    <w:p>
      <w:pPr>
        <w:spacing w:after="0" w:line="11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second viral immunotherapy platform is based on a novel, next generation, genetically modified HSV that induces tumor specific oncolysis. The HSV-based platform enables the generation of both replication-competent and replication-defective viral product candidates as well as the capacity to clone up to five transgenes into the vector that will allow us to optimize the profile of the viral gene construct for different tumor settings. CAN-3110, our first HSV-based product candidate, has been engineered for enhanced specificity and tumor cell killing, while minimizing toxicity on healthy tissue. CAN-3110 was formerly known as rQNestin34.5v.2. An investigator-sponsored phase 1b clinical trial is ongoing with CAN-3110 in our initial target indication of recurrent HGG and we reported biomarker results in November 2021. During our Research and Development Day in December 2022, we presented updated data, demonstrating that the treatment was well tolerated with no observed dose-limiting toxicity. During an oral presentation at the ASGCT Annual Meeting in May of 2023, we reported mOS of 11.8 months in arm A and 12.0 months in arm B with a single dose, based on a data cutoff date of April 20, 2023, which is markedly longer than data in historical controls in the same patient population with mOS</w:t>
      </w:r>
    </w:p>
    <w:p>
      <w:pPr>
        <w:spacing w:after="0" w:line="2" w:lineRule="exact"/>
        <w:rPr>
          <w:sz w:val="20"/>
          <w:szCs w:val="20"/>
          <w:color w:val="auto"/>
        </w:rPr>
      </w:pPr>
    </w:p>
    <w:p>
      <w:pPr>
        <w:ind w:right="100" w:firstLine="8"/>
        <w:spacing w:after="0" w:line="234" w:lineRule="auto"/>
        <w:tabs>
          <w:tab w:leader="none" w:pos="147"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6-9 months. Additionally, the data showed evidence of immune activation​and persistent HSV-1 antigen expression and HSV-1 replication consistent with the mechanism of action. Clinical and biomarker data for the first 41 patients treated with a single injection of CAN-3110 were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in October 2023. The FDA has granted fast track designation to CAN-3110 for the treatment of patients with recurrent HGG to improve overall survival in February 2024. In May 2024, the FDA awarded Orphan Drug designation to CAN-3110, recognizing its potential in treating HGG. We are currently evaluating the effects of multiple doses of CAN-3110 in recurrent HGG supported by the Break Through Cancer foundation. In October 2024, during the 16th Annual IOVC, we presented clinical activity and biomarker data for arm C. The principal investigator of the study reported ongoing improved survival compared to historical controls in patients treated with multiple injections of CAN-3110, with 3 out of 6 patients with recurrent HGG still alive more than one year (12.2, 13.0, and 18.7 months, respectively) after initiation of experimental treatment with CAN-3110. We expect to present initial median overall survival data after repeat dosing of CAN-3110 in the fourth quarter of 2025.</w:t>
      </w:r>
    </w:p>
    <w:p>
      <w:pPr>
        <w:spacing w:after="0" w:line="118"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Based on the molecular mechanism of CAN-3110, we believe that it could be evaluated in an expanded range of indications in the future, such as other neurologic tumors, melanoma, sarcoma, gastrointestinal stromal tumors, thyroid tumors, and breast cancer. In November 2024, during the SITC 2024 Annual Meeting, we presented data demonstrating the antitumor activity of CAN-3110 in preclinical models of melanoma, further supporting the rationale to expand the evaluation of CAN-3110 into tumors beyond rHGG.</w:t>
      </w:r>
    </w:p>
    <w:p>
      <w:pPr>
        <w:spacing w:after="0" w:line="6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addition, we are pursuing novel discovery programs based on our enLIGHTEN™ Discovery Platform. In November 2023, during the SITC 2023 Annual Meeting, we presented two posters describing the key elements of the platform and the development of the first experimental agent from the enLIGHTEN™ Discovery Platform. This first agent, Alpha-201 Macro1, is an investigational viral immunotherapy designed to interfere with the CD47/SIRPα pathway and activate innate immune surveillance. Results demonstrated monotherapy activity following local administration in a preclinical model of lung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10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In October 2024, during the 16th Annual IOVC, we presented data on a third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7" w:name="page18"/>
    <w:bookmarkEnd w:id="17"/>
    <w:p>
      <w:pPr>
        <w:ind w:right="220"/>
        <w:spacing w:after="0" w:line="226" w:lineRule="auto"/>
        <w:rPr>
          <w:sz w:val="20"/>
          <w:szCs w:val="20"/>
          <w:color w:val="auto"/>
        </w:rPr>
      </w:pPr>
      <w:r>
        <w:rPr>
          <w:rFonts w:ascii="Arial" w:cs="Arial" w:eastAsia="Arial" w:hAnsi="Arial"/>
          <w:sz w:val="17"/>
          <w:szCs w:val="17"/>
          <w:color w:val="auto"/>
        </w:rPr>
        <w:t>preclinical candidate, a novel multimodal viral therapeutic from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encoding IL-12 and IL-15, demonstrating its ability to induce tumor regression in two different tumor models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Opportunity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four indications where we have the most advanced clinical trials are localized prostate cancer, NSCLC, pancreatic cancer, and recurrent HGG.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These types of cancer present substantial market opportunities and are also enabling indications for future expansion into other solid tumors.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Localized Prostate Cancer</w:t>
      </w:r>
    </w:p>
    <w:p>
      <w:pPr>
        <w:spacing w:after="0" w:line="102"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Prostate cancer is the second most common cause of cancer in men in the United States and many other parts of the world, representing a high level of medical burden and unmet need. The prostate cancer therapy market is estimated to grow to over $16.1 billion by 2026. Approximately 200,000 men in the United States are diagnosed with prostate cancer annually, with more than 30,000 deaths each year. Roughly 150,000 men in the United States are diagnosed with early, localized prostate cancer each year, of which roughly 105,000 are considered to have intermediate- or high-risk of progression</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For these intermediate- and high-risk patients, the SoC is radical prostatectomy or radiotherapy, often in conjunction with androgen deprivation therapy or chemical castration, with a curative intent. Still, with current SoC there will be disease recurrence in about ~30% of the patients over time. Therefore, there is a significant unmet need for a novel treatment able to help prevent recurrence of the disease after radical treatment, avoiding the need for additional androgen deprivation therapy, additional radiotherapy, PSMA-targeted therapy, chemotherapy, or salvage radical prostatectomy (in patients who failed radiotherapy).</w:t>
      </w:r>
    </w:p>
    <w:p>
      <w:pPr>
        <w:spacing w:after="0" w:line="7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These treatments for recurrent prostate cancer after radical therapy may have severe side effects. For example, androgen deprivation therapy may result in impotence, hot flashes, mood changes, depression, and impaired impact on quality of life.</w:t>
      </w:r>
    </w:p>
    <w:p>
      <w:pPr>
        <w:spacing w:after="0" w:line="51" w:lineRule="exact"/>
        <w:rPr>
          <w:sz w:val="20"/>
          <w:szCs w:val="20"/>
          <w:color w:val="auto"/>
        </w:rPr>
      </w:pPr>
    </w:p>
    <w:p>
      <w:pPr>
        <w:jc w:val="both"/>
        <w:ind w:right="420"/>
        <w:spacing w:after="0" w:line="249" w:lineRule="auto"/>
        <w:rPr>
          <w:sz w:val="20"/>
          <w:szCs w:val="20"/>
          <w:color w:val="auto"/>
        </w:rPr>
      </w:pPr>
      <w:r>
        <w:rPr>
          <w:rFonts w:ascii="Arial" w:cs="Arial" w:eastAsia="Arial" w:hAnsi="Arial"/>
          <w:sz w:val="17"/>
          <w:szCs w:val="17"/>
          <w:color w:val="auto"/>
        </w:rPr>
        <w:t>We believe CAN-2409 could provide a significant commercial opportunity for therapeutic use in the newly diagnosed, localized prostate cancer patient population, with the goal of preventing recurrence of disease without significant toxicities and with a product that can be administered at outpatient facilities.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Non-Small Cell Lung Cancer</w:t>
      </w:r>
    </w:p>
    <w:p>
      <w:pPr>
        <w:spacing w:after="0" w:line="10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recent years ICI, specifically PD-1 directed agents, have transformed the treatment paradigm of NSCLC and become a backbone therapy for this indication. Over a half dozen ICI products have been approved in various cancer indications, and there are numerous other related drug candidates in preclinical and clinical development. Global sales for ICIs in 2019 were approximately $23 billion with NSCLC accounting for 50% to 55% of overall sales. The commercial opportunity in NSCLC is significant. Drug treated patient populations in the US for 2020 are estimated at 75,160; 47,920 and 21,990 in first-, second- and third-line treatment, respectively. ICI use in NSCLC has become SoC with approximately 49% of first-line patients in the United States being treated with an ICI alone or in combination with other agents. Nonetheless, 60% of these patients will have an inadequate response after one year of ICI treatment, and 80% after three years.</w:t>
      </w:r>
    </w:p>
    <w:p>
      <w:pPr>
        <w:spacing w:after="0" w:line="7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believe CAN-2409 could provide a significant commercial opportunity for therapeutic use in NSCLC patients with an inadequate response to ICI, if we are able to demonstrate overall survival of more than 12 months after treatment.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Pancreatic Cancer</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American Cancer Society estimated that approximately 64,050 people in the United States (33,130 men and 30,920 women) were diagnosed with pancreatic cancer in 2023; about 50,550 people (26,620 men and 23,930 women) will die of pancreatic cancer the same year. Treatment is with surgery in cases where tumors are resectable, followed by adjuvant chemoradiation; there is increasing use of neoadjuvant chemoradiation in borderline resectable or even resectable disease in order to better reduce the risk of recurrence. For resected patients, while surgery and adjuvant approaches (e.g. FOLFORINOX) have improved mOS, 5-year survival rates remain disappointing (20-30%) and most tumors will recur (median recurrence free survival ~1.5 years). While there is a high level of clinical research and development activity across pancreatic cancer settings (over 150 investigational products in phase 2 or later development), the majority are targeting metastatic disease. Physicians have identified a continued unmet need for more effective treatment options across the pancreatic cancer setting, in particular a need for improving survival. There are an estimated 12,340 patients with borderline resectable disease in the US/EU5.</w:t>
      </w:r>
    </w:p>
    <w:p>
      <w:pPr>
        <w:spacing w:after="0" w:line="79"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believe CAN-2409 could provide a significant commercial opportunity for therapeutic use in borderline resectable pancreatic cancer patients, if we are able to confirm the improvement in overall survival two years after initiation of treatment in patients who received CAN-2409 combined with SoC compared to SoC alone.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High-Grade Glioma</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4" w:right="379" w:bottom="1440" w:gutter="0" w:footer="0" w:header="0"/>
        </w:sectPr>
      </w:pPr>
    </w:p>
    <w:bookmarkStart w:id="18" w:name="page19"/>
    <w:bookmarkEnd w:id="18"/>
    <w:p>
      <w:pPr>
        <w:ind w:right="320"/>
        <w:spacing w:after="0" w:line="249" w:lineRule="auto"/>
        <w:rPr>
          <w:sz w:val="20"/>
          <w:szCs w:val="20"/>
          <w:color w:val="auto"/>
        </w:rPr>
      </w:pPr>
      <w:r>
        <w:rPr>
          <w:rFonts w:ascii="Arial" w:cs="Arial" w:eastAsia="Arial" w:hAnsi="Arial"/>
          <w:sz w:val="17"/>
          <w:szCs w:val="17"/>
          <w:color w:val="auto"/>
        </w:rPr>
        <w:t>Glioblastoma, the most common form of HGG, is a relatively rare cancer with first-line drug treated prevalent population in the United States of approximately 16,113 patients. Treatment in the upfront setting is surgical resection, if possible, coupled with temozolomide and/or radiotherapy; however, virtually all patients eventually develop recurrent disease.</w:t>
      </w:r>
    </w:p>
    <w:p>
      <w:pPr>
        <w:spacing w:after="0" w:line="67"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The prognosis for glioblastoma that has recurred is dire; mOS with second line chemotherapy such as lomustine is associated with mOS of &lt;6-9 months. Few pharmaceutical treatment options exist for patients with recurrent HGG, with the last significant FDA approval over a decade ago. Avastin was approved in 2009, specifically for patients with recurrent glioblastoma, and approval was granted despite the absence of a survival benefit in the registrational studies. New agents to treat patients with recurrent HGG are urgently needed.</w:t>
      </w:r>
    </w:p>
    <w:p>
      <w:pPr>
        <w:spacing w:after="0" w:line="69"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 xml:space="preserve">We believe CAN-3110 provides a significant opportunity for therapeutic use in recurrent HGG based on the results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in October 2023, showing nearly doubling of the expected mOS after just a single injection of CAN-3110.</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Candidates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Product Candidate - CAN-2409</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adenovirus-based CAN-2409 has advantageous properties that differentiate from other viral immunotherapies. Namely, CAN-2409:</w:t>
      </w:r>
    </w:p>
    <w:p>
      <w:pPr>
        <w:spacing w:after="0" w:line="104" w:lineRule="exact"/>
        <w:rPr>
          <w:sz w:val="20"/>
          <w:szCs w:val="20"/>
          <w:color w:val="auto"/>
        </w:rPr>
      </w:pPr>
    </w:p>
    <w:p>
      <w:pPr>
        <w:ind w:left="1020" w:right="20" w:hanging="368"/>
        <w:spacing w:after="0" w:line="264"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consistently shown activity in clinical trials across a range of solid tumor types, including a positive randomized, placebo-controlled phase 3 clinical trial in localized prostate cancer.</w:t>
      </w:r>
    </w:p>
    <w:p>
      <w:pPr>
        <w:spacing w:after="0" w:line="55"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been dosed in more than a thousand patients and has generated favorable tolerability and safety data.</w:t>
      </w:r>
    </w:p>
    <w:p>
      <w:pPr>
        <w:spacing w:after="0" w:line="114" w:lineRule="exact"/>
        <w:rPr>
          <w:rFonts w:ascii="Times New Roman" w:cs="Times New Roman" w:eastAsia="Times New Roman" w:hAnsi="Times New Roman"/>
          <w:sz w:val="17"/>
          <w:szCs w:val="17"/>
          <w:color w:val="auto"/>
        </w:rPr>
      </w:pPr>
    </w:p>
    <w:p>
      <w:pPr>
        <w:ind w:left="1020" w:right="80" w:hanging="368"/>
        <w:spacing w:after="0" w:line="264"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engineered to be potently immunogenic but non-replicating with the goal of eliciting a systemic anti-tumor immune response against the tumor, while minimizing the risk for local and systemic toxicity.</w:t>
      </w:r>
    </w:p>
    <w:p>
      <w:pPr>
        <w:spacing w:after="0" w:line="55" w:lineRule="exact"/>
        <w:rPr>
          <w:rFonts w:ascii="Times New Roman" w:cs="Times New Roman" w:eastAsia="Times New Roman" w:hAnsi="Times New Roman"/>
          <w:sz w:val="17"/>
          <w:szCs w:val="17"/>
          <w:color w:val="auto"/>
        </w:rPr>
      </w:pPr>
    </w:p>
    <w:p>
      <w:pPr>
        <w:ind w:left="1020" w:right="120" w:hanging="368"/>
        <w:spacing w:after="0" w:line="264"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Can be stored at 4°C, facilitating the use of CAN-2409 in out-patient clinics. This aspect is particularly favorable in indications such as prostate cancer, where patients are often monitored in individual private practices.</w:t>
      </w:r>
    </w:p>
    <w:p>
      <w:pPr>
        <w:spacing w:after="0" w:line="5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CAN-2409 (international non-proprietary name: aglatimagene besadenovec) is an adenovirus-based replication-defective engineered gene construct encoding the thymidine kinase gene derived from the herpes simplex virus. It is injected directly into a tumor or target tissue. Localized injection is intended to minimize systemic toxicities associated with systemic intravenous administration, eliminating the requirement for complex immune evasion or tumor-specific targeting mechanisms, and reprograms the immune response against the injected tumor, while activating the desired systemic anti-tumoral immune response against the injected tumor and uninjected metastases. The adenoviral vector is used to transport the HSV-thymidine kinase gene into the tumor cells at the site of injection. HSV-thymidine kinase converts generic, FDA-approved anti-herpes drugs, such as ganciclovir, acyclovir and valacyclovir, which we use as prodrugs, into a toxic nucleotide analogue. These agents are widely available, inexpensive and are generally well-tolerated. Cells transduced with the HSV-thymidine kinase gene as well as neighboring cells that are replicating or exhibit DNA damage undergo immunogenic cell death after exposure to these systemically administered prodrugs that are converted in the tumor microenvironment into toxic metabolites.</w:t>
      </w:r>
    </w:p>
    <w:p>
      <w:pPr>
        <w:spacing w:after="0" w:line="76"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prodrug-derived cytotoxic nucleotide analogs are designed to inhibit DNA replication and repair, leading to the death of multiplying tumor cells, and in particular of cells undergoing repair from radiation or chemotherapy damage. This form of cell death is immunogenic and exposes tumor antigens that can elicit a further tumor-specific immune response. Additionally, the adenoviral serotype 5 capsid protein itself stimulates a marked immuno-inflammatory response. Key pro-inflammatory cytokines as well as chemokines, adhesion molecules and costimulatory molecules are locally upregulated, resulting in an inflamed (hot) tumor microenvironment, able to further enhance CD8+ cytotoxic tumor infiltrating lymphocyte cell activation and in situ immunization against a multitude of released tumor antigens.</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This local effect provides a strong mechanistic rationale for the combination of viral immunotherapy with ICIs, such as PD-1 or PD-L1 targeting antibodies. ICI agents work by unmasking the inhibitory signals provided by PD-L1 ligands on tumor cells when bound to PD-1 receptors on T cells. By blocking this suppressive signal pharmacologically, it has been demonstrated that T cells can be unleashed to attack cancer cells, and that profound clinical benefit can be achieved, but only in a minority of patients. It has been hypothesized that treatment results can be significantly improved by optimizing recognition of the specific tumor antigens by the patient’s adaptive immune system using viral immunotherapy combined with the non-specific stimulation of T cells induced by ICI treatment. CAN-2409 has not only been shown to induce a specific anti-tumor immune response, but it may also upregulate PD-1 and PD-L1, which could convert non-responders to ICI into responders.</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immune system is highly dynamic, with continuous trafficking of different populations of immune cells throughout the body. One outcome of this is that when T cells are locally activated and reprogrammed to recognize tumor-specific antigens, they can act systemically to drive an efficient immune response at sites distant from the original tumor. This abscopal effect may explain the significant effects observed at distant, uninjected sites demonstrated in experimental</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9" w:name="page20"/>
    <w:bookmarkEnd w:id="19"/>
    <w:p>
      <w:pPr>
        <w:ind w:right="40"/>
        <w:spacing w:after="0" w:line="236" w:lineRule="auto"/>
        <w:rPr>
          <w:sz w:val="20"/>
          <w:szCs w:val="20"/>
          <w:color w:val="auto"/>
        </w:rPr>
      </w:pPr>
      <w:r>
        <w:rPr>
          <w:rFonts w:ascii="Arial" w:cs="Arial" w:eastAsia="Arial" w:hAnsi="Arial"/>
          <w:sz w:val="17"/>
          <w:szCs w:val="17"/>
          <w:color w:val="auto"/>
        </w:rPr>
        <w:t>models of cancers. For example, an abscopal effect has been shown for CAN-2409 in a mouse model of prostate cancer. The model employed RM-1, a syngeneic prostate cell line, that was implanted both in the flanks of the mice as well as systemic, via a tail vein injection to mimic metastatic disease, resulting in the emergence of lung tumor nodules. After intratumor treatment of the flank tumor masses with either CAN-2409 plus prodrug, alone or in combination with radiotherapy, we observed a beneficial response in both injected and uninjected metastatic tumors. Use of CAN-2409 resulted in a 38% mean reduction in tumor volume at the site of injection and, in the combination arm, a reduction of 61% in tumor volume. Notably, the average number of uninjected lung nodules was reduced from 20.5 in the control arm and 22.4 in the mice that received radiotherapy to 13.0 in the CAN-2409 arm, and to 6.6 when CAN-2409 was combined with radiotherapy, showing both an abscopal (systemic) effect and synergy between CAN-2409 treatment and radiotherapy in a mouse model of prostate cancer. We have confirmed the abscopal response (systemic anti-tumor immune response) after experimental treatment with CAN-2409 plus prodrug in patients with NSCLC. We observed regression of uninjected lesions in about two-thirds of evaluable patients presenting with multiple lesions.</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activity of CAN-2409 treatment has been shown to be dependent on CD8+ T cell involvement in studies in mouse models that evaluated permutations of CAN-2409 treatment and T cell depletion. Furthermore, T cells from mice that were successfully treated with CAN-2409 and prodrug were shown to be sufficient to inhibit tumor growth when mixed with AKR tumor model cells and implanted subcutaneously in mouse flanks. This activity was not observed with T cells from untreated mice, from mice that were treated with a control vector that lacked the thymidine kinase gene, or when the AKR tumor cells were xenografted alone. Together, data in experimental mouse models of cancer support a T cell dependent mechanism of action for CAN-2409 and provide evidence for in situ vaccination against the tumor, largely based on a CD8+ T cell mediated mechanism. Accordingly, we have shown the induction of CD8+ T cell infiltration at the site of the tumor in patients with prostate cancer, pancreatic cancer, and NSCLC.</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Product Candidate - CAN-3110</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CAN-3110 is a modified HSV with specific properties that can be leveraged in diverse clinical indications. Namely, CAN-3110:</w:t>
      </w:r>
    </w:p>
    <w:p>
      <w:pPr>
        <w:spacing w:after="0" w:line="104" w:lineRule="exact"/>
        <w:rPr>
          <w:sz w:val="20"/>
          <w:szCs w:val="20"/>
          <w:color w:val="auto"/>
        </w:rPr>
      </w:pPr>
    </w:p>
    <w:p>
      <w:pPr>
        <w:ind w:left="1020" w:hanging="368"/>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engineered to provide oncolysis through replication specifically in Nestin expressing cancer cells.</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demonstrated statistically significant survival benefit in preclinical models of brain cancer.</w:t>
      </w:r>
    </w:p>
    <w:p>
      <w:pPr>
        <w:spacing w:after="0" w:line="114" w:lineRule="exact"/>
        <w:rPr>
          <w:rFonts w:ascii="Times New Roman" w:cs="Times New Roman" w:eastAsia="Times New Roman" w:hAnsi="Times New Roman"/>
          <w:sz w:val="17"/>
          <w:szCs w:val="17"/>
          <w:color w:val="auto"/>
        </w:rPr>
      </w:pPr>
    </w:p>
    <w:p>
      <w:pPr>
        <w:ind w:left="1020" w:right="600" w:hanging="368"/>
        <w:spacing w:after="0" w:line="264"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generated favorable tolerability and safety data, not reaching a dose limiting toxicity in the dose range tested in an ongoing investigator-sponsored phase 1b trial.</w:t>
      </w:r>
    </w:p>
    <w:p>
      <w:pPr>
        <w:spacing w:after="0" w:line="55" w:lineRule="exact"/>
        <w:rPr>
          <w:rFonts w:ascii="Times New Roman" w:cs="Times New Roman" w:eastAsia="Times New Roman" w:hAnsi="Times New Roman"/>
          <w:sz w:val="17"/>
          <w:szCs w:val="17"/>
          <w:color w:val="auto"/>
        </w:rPr>
      </w:pPr>
    </w:p>
    <w:p>
      <w:pPr>
        <w:ind w:left="1020" w:right="740" w:hanging="368"/>
        <w:spacing w:after="0" w:line="264"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shown a clinical signal in a very difficult to treat brain cancer population, critically defined by a highly immunosuppressive environment.</w:t>
      </w:r>
    </w:p>
    <w:p>
      <w:pPr>
        <w:spacing w:after="0" w:line="55"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been engineered to replicate in a range of other indications characterized by Nestin expression.</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derived from our HSV-based platform that also provides the potential to support expansion of our pipeline with novel agents.</w:t>
      </w:r>
    </w:p>
    <w:p>
      <w:pPr>
        <w:spacing w:after="0" w:line="11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CAN-3110 is an engineered HSV where the expression of ICP34.5, the gene responsible for viral replication, has been placed under the control of a tumor-specific Nestin promoter. Nestin is a cytoskeletal protein that is overexpressed in glioma cells, but it is absent in the healthy adult brain. In CAN-3110, ICP34.5 expression is controlled by the Nestin promotor enabling viral replication selectively in tumor cells. This replication-competent HSV construct provides tumor-specific cytolytic activity, while sparing healthy cells that do not express Nestin.</w:t>
      </w:r>
    </w:p>
    <w:p>
      <w:pPr>
        <w:spacing w:after="0" w:line="6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This modification of the viral genome of CAN-3110 enables us to maintain the function of ICP34.5, an HSV protein that allows virus replication even in the presence of a suppressive interferon response, under strict control and only in tumor cells.</w:t>
      </w:r>
    </w:p>
    <w:p>
      <w:pPr>
        <w:spacing w:after="0" w:line="5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ICP34.5 is deleted in other HSV oncolytic viruses that may be less tumor selective with an intent of achieving a favorable safety profile, which may result in viruses characterized by poor replication ability and a limited ability to generate an effective anti-tumor immune response.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Clinical Trials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CAN-2409 for Prostate Cancer</w:t>
      </w:r>
    </w:p>
    <w:p>
      <w:pPr>
        <w:spacing w:after="0" w:line="102" w:lineRule="exact"/>
        <w:rPr>
          <w:sz w:val="20"/>
          <w:szCs w:val="20"/>
          <w:color w:val="auto"/>
        </w:rPr>
      </w:pPr>
    </w:p>
    <w:p>
      <w:pPr>
        <w:jc w:val="both"/>
        <w:ind w:right="640"/>
        <w:spacing w:after="0" w:line="249" w:lineRule="auto"/>
        <w:rPr>
          <w:sz w:val="20"/>
          <w:szCs w:val="20"/>
          <w:color w:val="auto"/>
        </w:rPr>
      </w:pPr>
      <w:r>
        <w:rPr>
          <w:rFonts w:ascii="Arial" w:cs="Arial" w:eastAsia="Arial" w:hAnsi="Arial"/>
          <w:sz w:val="17"/>
          <w:szCs w:val="17"/>
          <w:color w:val="auto"/>
        </w:rPr>
        <w:t>We have completed multiple phase 1b and phase 2 clinical trials in non-metastatic prostate cancer using CAN-2409 as monotherapy and in combination with SoC. These trials generated favorable tolerability and safety data and also provide evidence to support CAN-2409 immune activation, dosing levels and schedules. We have administered CAN-2409 to more than 700 patients with localized prostate cancer to date.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Monotherapy Activity</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0" w:name="page21"/>
    <w:bookmarkEnd w:id="20"/>
    <w:p>
      <w:pPr>
        <w:ind w:right="180"/>
        <w:spacing w:after="0" w:line="249" w:lineRule="auto"/>
        <w:rPr>
          <w:sz w:val="20"/>
          <w:szCs w:val="20"/>
          <w:color w:val="auto"/>
        </w:rPr>
      </w:pPr>
      <w:r>
        <w:rPr>
          <w:rFonts w:ascii="Arial" w:cs="Arial" w:eastAsia="Arial" w:hAnsi="Arial"/>
          <w:sz w:val="17"/>
          <w:szCs w:val="17"/>
          <w:color w:val="auto"/>
        </w:rPr>
        <w:t>We have observed what we believe to be a clinical response with CAN-2409 as monotherapy in our phase 1b and phase 2a clinical trials. These responses have been consistently observed in patients with prostate cancer, including patients with newly diagnosed, localized disease, as well as those whose cancer was progressing even after radiotherapy.</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newly diagnosed patients with localized prostate cancer, analysis of biopsies following monotherapy CAN-2409 treatment revealed a change in glandular architecture, necrosis and increased immune cell infiltration as compared to baseline biopsy. We observed in treated samples a 4-fold increase in the number of CD8+ T cells and a 3-fold increase in the number of CD68+ macrophages, demonstrating an immune response after CAN-2409 administration.</w:t>
      </w:r>
    </w:p>
    <w:p>
      <w:pPr>
        <w:spacing w:after="0" w:line="69" w:lineRule="exact"/>
        <w:rPr>
          <w:sz w:val="20"/>
          <w:szCs w:val="20"/>
          <w:color w:val="auto"/>
        </w:rPr>
      </w:pPr>
    </w:p>
    <w:p>
      <w:pPr>
        <w:ind w:right="260"/>
        <w:spacing w:after="0" w:line="237" w:lineRule="auto"/>
        <w:rPr>
          <w:sz w:val="20"/>
          <w:szCs w:val="20"/>
          <w:color w:val="auto"/>
        </w:rPr>
      </w:pPr>
      <w:r>
        <w:rPr>
          <w:rFonts w:ascii="Arial" w:cs="Arial" w:eastAsia="Arial" w:hAnsi="Arial"/>
          <w:sz w:val="17"/>
          <w:szCs w:val="17"/>
          <w:color w:val="auto"/>
        </w:rPr>
        <w:t>In another phase 1b/2a clinical trial, patients whose prostate cancer had progressed following radiotherapy and who presented with a persistently rising PSA level, were treated with CAN-2409 as monotherapy using six dose levels, ranging from 1x108–1x1011 viral particles. In 27 of the 36 patients recruited a decrease in PSA levels was observed following a single cycle of CAN-2409, as measured by the best PSA decrease in serial assessments within the first 3 months after treatment. PSA is widely employed for patient management in conjunction with biopsy, as rising PSA levels, and in particular PSA doubling time are associated with disease progression. In that same clinical trial, we observed that the PSA doubling time improved significantly (p=0.0271) from 15.9 months at baseline to 42.5 months after a single cycle of CAN-2409 administration in this treatment-resistant patient population. A subset of the patients in this trial also received second or third injection courses of CAN-2409. In most of these patients, another decrease from pre-administration PSA levels was observed upon repeated injection.</w:t>
      </w:r>
    </w:p>
    <w:p>
      <w:pPr>
        <w:spacing w:after="0" w:line="7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recently completed a phase 2b randomized, double blind, placebo-controlled clinical trial in the United States evaluating the effects of CAN-2409 monotherapy in patients with low-to-intermediate risk, localized prostate cancer undergoing active surveillance. We randomized 190 patients: 127 to the CAN-2409 arm who received 2 doses of CAN-2409 plus valacyclovir and 63 patients who received PBO plus valacyclovir. Enrollment of this trial was completed in May 2019. In December 2024, we reported data showing numerical improvement in time to radical treatment and the percentage of patients achieving negative (prostate cancer-free) biopsies at 1-year post-treatment. However, these differences did not reach statistical significance. CAN-2409 was generally well tolerated; AEs were consistent with prior studies. The study may have been underpowered for the primary endpoint of progression-free survival. The Company has decided to deprioritize the development in the active surveillance population.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Combination Therapy</w:t>
      </w:r>
    </w:p>
    <w:p>
      <w:pPr>
        <w:spacing w:after="0" w:line="10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Because of the increasing prevalence of combination therapy for cancer patients, the ability to combine novel agents with SoC treatments without overlapping toxicity is of increasing importance. We believe that the favorable tolerability and safety data generated for CAN-2409 in our clinical trials is encouraging for our current and future development plans, in combination with other agents where indicated. In clinical trials to date, CAN-2409 has been generally well tolerated. Our previous phase 2a clinical trial data informed our agreement with the FDA under the SPA for our phase 3 clinical trial. Previously, we observed that intermediate-risk patients who received CAN-2409 in combination with radiotherapy had failure rates that were 75% lower than those reported in four other contemporaneous trials of similar patient populations. Where these other clinical trials reported freedom from failure rates of between 75%-79%, corresponding to cumulative recurrence rates of 21%-25%, CAN-2409 resulted in a 5% recurrence rate in patients with intermediate-risk prostate cancer. The median follow-up of patients who received CAN-2409 in this phase 2a clinical trial was 5.7 years. Similarly, results in this clinical trial also demonstrated reduced recurrence rates in the low- and high-risk patients enrolled when compared to these other trials. Furthermore, a pathological complete response (pCR) was observed in 93% of the biopsies available at 2yrs</w:t>
      </w:r>
    </w:p>
    <w:p>
      <w:pPr>
        <w:ind w:right="400"/>
        <w:spacing w:after="0" w:line="244" w:lineRule="auto"/>
        <w:rPr>
          <w:sz w:val="20"/>
          <w:szCs w:val="20"/>
          <w:color w:val="auto"/>
        </w:rPr>
      </w:pPr>
      <w:r>
        <w:rPr>
          <w:rFonts w:ascii="Arial" w:cs="Arial" w:eastAsia="Arial" w:hAnsi="Arial"/>
          <w:sz w:val="17"/>
          <w:szCs w:val="17"/>
          <w:color w:val="auto"/>
        </w:rPr>
        <w:t>(37%-73% in control populations). In this trial, low-risk patients achieved a PSA of &lt; 2ng/ml in 77% of CAN-2409 treated patients versus 58% in control populations.</w:t>
      </w:r>
    </w:p>
    <w:p>
      <w:pPr>
        <w:ind w:right="80"/>
        <w:spacing w:after="0" w:line="238" w:lineRule="auto"/>
        <w:rPr>
          <w:sz w:val="20"/>
          <w:szCs w:val="20"/>
          <w:color w:val="auto"/>
        </w:rPr>
      </w:pPr>
      <w:r>
        <w:rPr>
          <w:rFonts w:ascii="Arial" w:cs="Arial" w:eastAsia="Arial" w:hAnsi="Arial"/>
          <w:sz w:val="17"/>
          <w:szCs w:val="17"/>
          <w:color w:val="auto"/>
        </w:rPr>
        <w:t>The endpoint used in our phase 2b trial was freedom from failure (FFF), defined by the period of time between treatment and the occurrence of a clinical or biochemical failure. Under the SPA agreement, we have selected disease-free survival (DFS) as the endpoint for our phase 3 clinical trial. The DFS definition requires an objective detection of tumor progression. This largely overlaps with FFF as it is often triggered by detection of increased PSA levels (i.e., biochemical failure). We have also reanalyzed our previous phase 2a data using DFS parameters, supporting the implementation of DFS as endpoint in our phase 3 trial.</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Potentially Registrational Phase 3 Clinical Trial for Localized Prostate Cancer</w:t>
      </w:r>
    </w:p>
    <w:p>
      <w:pPr>
        <w:spacing w:after="0" w:line="10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We are developing CAN-2409 as a potential therapeutic option that avoids the long-term severe side effects of hormone therapy or surgical interventions. Based on the data from our clinical trials to date, we believe that CAN-2409 has the potential, if approved, to be the first new first-line product candidate approved for patients with localized prostate cancer in over 20 years. We recently reported successful topline data in a potentially registrational phase 3 trial for CAN-2409, under an SPA with the FDA, in newly diagnosed localized prostate cancer in intermediate and high-risk patients in combination with the SoC, radiotherapy.</w:t>
      </w:r>
    </w:p>
    <w:p>
      <w:pPr>
        <w:spacing w:after="0" w:line="72"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This phase 3 clinical trial enrolled 745 patients (711 of which received at least one intraprostatic injection of CAN-2409 or PBO), randomized 2:1 to study drug and placebo, respectively. Patients received three investigational treatment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1" w:name="page22"/>
    <w:bookmarkEnd w:id="21"/>
    <w:p>
      <w:pPr>
        <w:ind w:right="40"/>
        <w:spacing w:after="0" w:line="241" w:lineRule="auto"/>
        <w:rPr>
          <w:sz w:val="20"/>
          <w:szCs w:val="20"/>
          <w:color w:val="auto"/>
        </w:rPr>
      </w:pPr>
      <w:r>
        <w:rPr>
          <w:rFonts w:ascii="Arial" w:cs="Arial" w:eastAsia="Arial" w:hAnsi="Arial"/>
          <w:sz w:val="17"/>
          <w:szCs w:val="17"/>
          <w:color w:val="auto"/>
        </w:rPr>
        <w:t>courses of CAN-2409, each consisting of four concurrent injections of transrectal or transperineal ultrasound guided administration of CAN-2409 followed by a course of oral valacyclovir. The first injection course was given at least 15 days but not more than 8 weeks before starting radiation. The second injection course was given 0-3 days prior to radiotherapy. The third and final injection course was delivered 15-22 days after the second injections. A fixed dose of valacyclovir was given for 14 days after each CAN-2409 administration. SoC external beam radiotherapy was administered to patients throughout the course of the trial with a short course (&lt;6 months) ADT as determined by the treating physician.</w:t>
      </w:r>
    </w:p>
    <w:p>
      <w:pPr>
        <w:spacing w:after="0" w:line="7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Trial inclusion criteria were based on patients with localized prostate cancer meeting the NCCN criteria of intermediate-risk or patients presenting only one NCCN high-risk feature. NCCN intermediate-risk is defined as having at least one of the following: prostate serum antigen (PSA) of 10-20 ng/ml, Gleason Score of 7, and is staged T2b-T2c via the TNM staging system. Patients may also have exhibited one high-risk characteristic that may consist of a PSA of 20+ ng/ml, a Gleason Score of 8-10, or a cancer that is up to stage T3a, but not more than one of these high-risk factors.</w:t>
      </w:r>
    </w:p>
    <w:p>
      <w:pPr>
        <w:spacing w:after="0" w:line="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SPA specifically defines agreement with the FDA on the statistical design and power of the phase 3 trial as well as the primary endpoint definition. The SPA states that the trial is adequately designed to provide the necessary data that, depending on the outcome, could support a Biologics License Application (BLA) submission. The SPA does note a general condition for all SPAs, that BLA acceptance and approvability are review issues and that a BLA approval will depend on the quality of actual clinical trial data, the robustness of the effect on the stated primary endpoint, the impact on the secondary endpoints, a favorable assessment of the study conduct, and analysis of safety information and other supportive data. We utilized approximately 50 clinical sites for this clinical trial and completed enrollment in September 2021 with 745 patients enrolled. For the primary endpoint of DFS in the ITT population, with a randomization ratio of 2:1, approximately 98 events would provide 90% power to detect a hazard ratio (HR) of 0.5 for prostate cancer recurrence using stratified log-rank test at an alpha level of 0.05. At study design, it was estimated that randomization of approximately 711 patients would be sufficient to provide the required number of DFS events.</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In December 2024, we announced positive topline data from this phase 3 clinical trial after median follow-up time of 50.3 months. The study met its primary endpoint, demonstrating a statistically significant improvement in disease-free survival compared to the control arm. </w:t>
      </w:r>
      <w:r>
        <w:rPr>
          <w:rFonts w:ascii="Arial" w:cs="Arial" w:eastAsia="Arial" w:hAnsi="Arial"/>
          <w:sz w:val="17"/>
          <w:szCs w:val="17"/>
          <w:color w:val="212529"/>
        </w:rPr>
        <w:t xml:space="preserve">Treatment with CAN-2409 reduced the risk of prostate cancer recurrence or death by 30% (p=0.0155, HR 0.7, 95% CI 0.52 to 0.94). Median DFS was not reached for the CAN-2409 treatment arm vs. 86.1 months in the PBO arm. Prostate cancer specific DFS (exclusion of non-prostate cancer related deaths) demonstrated a greater effect with a 38% decreased risk in the CAN-2409 arm vs. PBO (p=0.0046; HR 0.62, 95% CI 0.44 to 0.87). DFS improvement was observed both in patients receiving short-term ADT and in patients not receiving ADT. A significant increase in the proportion of patients achieving a prostate-specific antigen (PSA) nadir (&lt;0.2 ng/ml) was observed in the treatment arm compared to the placebo control arm (67.1% vs. 58.6%, respectively; p=0.0164). CAN-2409 induced 80.4% pathological complete responses in the 2-year post-treatment biopsies compared to 63.6% observed in the control arm (p=0.0015). </w:t>
      </w:r>
      <w:r>
        <w:rPr>
          <w:rFonts w:ascii="Arial" w:cs="Arial" w:eastAsia="Arial" w:hAnsi="Arial"/>
          <w:sz w:val="17"/>
          <w:szCs w:val="17"/>
          <w:color w:val="000000"/>
        </w:rPr>
        <w:t>CAN-2409 was generally well tolerated; the most common CAN-2409-related adverse</w:t>
      </w:r>
      <w:r>
        <w:rPr>
          <w:rFonts w:ascii="Arial" w:cs="Arial" w:eastAsia="Arial" w:hAnsi="Arial"/>
          <w:sz w:val="17"/>
          <w:szCs w:val="17"/>
          <w:color w:val="212529"/>
        </w:rPr>
        <w:t xml:space="preserve"> </w:t>
      </w:r>
      <w:r>
        <w:rPr>
          <w:rFonts w:ascii="Arial" w:cs="Arial" w:eastAsia="Arial" w:hAnsi="Arial"/>
          <w:sz w:val="17"/>
          <w:szCs w:val="17"/>
          <w:color w:val="000000"/>
        </w:rPr>
        <w:t>events were flu-like symptoms, fever and chills, which were generally mild to moderate in severity and self-limited.</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CAN-2409 for Non-Small Cell Lung Cancer (NSCLC)</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To assess the potential for CAN-2409 to trigger local and systemic immune activation and produce a “hot” tumor phenotype, we designed and completed a clinical trial in patients with surgically resectable lung cancer. In this proof of mechanism phase 1 clinical trial, dose escalation of intratumoral neoadjuvant CAN-2409 was followed by tumor resection three weeks later. The specific goal was to obtain biological data to better understand the impact of CAN-2409 on the tumor microenvironment, with a specific focus on intratumoral CD8+ tumor infiltrating lymphocyte cell activation and function while also assessing the effects on the systemic immune response. The effects of CAN-2409 were evaluated by comparing post-injection specimens to an internal control consisting of each patient’s own pre-treatment needle biopsy and blood samples, and an external cohort of matched patients who underwent standard surgical resection without CAN-2409. The results showed evidence of significant intratumoral and systemic immune activation after experimental CAN-2409 monotherapy treatment. Analysis of peripheral blood mononuclear cells, both before and after CAN-2409 administration, demonstrated a significant increase in expression of proliferation and activation markers including HLA-DR, CD38 and Ki67 three weeks after CAN-2409 initiation. Other relevant findings in this clinical trial included an increase in markers of T cell activation such as PD-1 and CTLA-4, which are targets of ICI that have been approved for use in NSCLC.</w:t>
      </w:r>
    </w:p>
    <w:p>
      <w:pPr>
        <w:spacing w:after="0" w:line="7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In this NSCLC phase 1 clinical trial, two patients experienced grade 3 dehydration with renal insufficiency, two patients presented grade 3 urinary retention and six patients were observed to have a grade 4 low lymphocyte count. Of significant interest, one patient, a 70 year-old male with a 14.8 cm stage IIIA sarcomatoid carcinoma, exhibited a nearly 50% decrease in tumor volume at 3 weeks after CAN-2409 monotherapy treatment. Collectively, these results lead us to believe that CAN-2409 could provide an opportunity to improve ICI response rates in patients with NSCLC by eliciting additional immune activation in lung cancer patients.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CAN-2409 and Checkpoint Combination Phase 2 Clinical Trial for NSCLC in Patients with Inadequate Response to ICI</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2020, we initiated a phase 2 clinical trial of CAN-2409 in NSCLC patients with inadequate response to ICI that has enrolled patients receiving SoC ICI (plus chemotherapy if indicated) in combination with two courses of CAN-2409 plus continued ICI. This open label clinical trial, as amended, targeted enrollment of approximately 80 patients with stage III/IV NSCLC in two separate cohorts. The cohorts are defined based on response to ICIs at the time of enrollment. Cohort 1 addresses patients with stable disease and Cohort 2 enrolled patients with progressive disease after at least 18 weeks of ICI treatment. Patients continue treatment with their initial ICI and CAN-2409 was added to their regimen. The primary efficacy endpoints for this trial were response rate measured by RECIST and/or Disease Control Rate, with overall survival as a key study endpoint; there has been an increasing focus on the gold standard endpoint in this disease, overall survival, consistent with SITC guidelines.</w:t>
      </w:r>
    </w:p>
    <w:p>
      <w:pPr>
        <w:spacing w:after="0" w:line="7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reported initial data from this trial at the ASCO Annual Meeting in June 2022. During our Research and Development Day in December 2022. These data were further supported in an update announced in September 2023, based on a data cutoff of August 1, 2023, where we presented updated data demonstrating evidence of local and systemic anti-tumor activity; a disease control rate of 77% (20/26) in patients entering trial with disease progression (cohort 2);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favorable safety/tolerability data with most treatment-related adverse events being grade 1/2. In May 2024, we announced topline data that showed prolonged overall survival. mOS of 20.6 months was observed following two administrations of CAN-2409 plus valacyclovir in NSCLC patients with progressive disease despite ICI therapy, compared to published results of mOS of 11.6 months observed with standard of care docetaxel-based chemotherapy in a similar patient population (Reckamp K et al. J Clin Onc 2022;40:2295-2306). Ninety percent of these patients had stage IV disease at inclusion. Improved mOS was observed in both PD-L1 negative and PD-L1 positive tumors in patients with progressive disease (N=37 patients in cohort 2 for which PD-L1 status at baseline was available). mOS of 22.0 months was observed across all patients (n=46) who had an inadequate response to ICI and who received two administrations of CAN-2409. We confirmed that treatment with CAN-2409 resulted in systemic activation of the immune response, including increased numbers of effector and cytotoxic T cells as well as elevated levels of soluble mediators of inflammation. Activation of the systemic immune response was associated with shrinkage of uninjected lesions (abscopal response). 71.4% of patients with metastatic disease and at least one uninjected tumor (n=35) experienced a beneficial effect from CAN-2409 treatment on both injected and uninjected tumors. When using a threshold of &gt;5% decrease, more than 60% of patients still showed an abscopal response. We also confirmed that treatment with CAN-2409 in NSCLC continued to exhibit a favorable safety and tolerability profile.</w:t>
      </w:r>
    </w:p>
    <w:p>
      <w:pPr>
        <w:spacing w:after="0" w:line="76" w:lineRule="exact"/>
        <w:rPr>
          <w:sz w:val="20"/>
          <w:szCs w:val="20"/>
          <w:color w:val="auto"/>
        </w:rPr>
      </w:pPr>
    </w:p>
    <w:p>
      <w:pPr>
        <w:ind w:right="2100"/>
        <w:spacing w:after="0" w:line="364" w:lineRule="auto"/>
        <w:rPr>
          <w:sz w:val="20"/>
          <w:szCs w:val="20"/>
          <w:color w:val="auto"/>
        </w:rPr>
      </w:pPr>
      <w:r>
        <w:rPr>
          <w:rFonts w:ascii="Arial" w:cs="Arial" w:eastAsia="Arial" w:hAnsi="Arial"/>
          <w:sz w:val="17"/>
          <w:szCs w:val="17"/>
          <w:color w:val="auto"/>
        </w:rPr>
        <w:t xml:space="preserve">We anticipate presenting updated overall survival data from this ongoing phase 2a clinical trial in the first quarter of 2025. </w:t>
      </w:r>
      <w:r>
        <w:rPr>
          <w:rFonts w:ascii="Arial" w:cs="Arial" w:eastAsia="Arial" w:hAnsi="Arial"/>
          <w:sz w:val="17"/>
          <w:szCs w:val="17"/>
          <w:b w:val="1"/>
          <w:bCs w:val="1"/>
          <w:color w:val="auto"/>
        </w:rPr>
        <w:t>CAN-2409 for Pancreatic Cancer</w:t>
      </w:r>
    </w:p>
    <w:p>
      <w:pPr>
        <w:spacing w:after="0" w:line="1"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In a previous phase 1b clinical trial, patients with pancreatic cancer treated with CAN-2409 in addition to SoC demonstrated a greater survival duration over the expected survival of the patients treated with the existing SoC alone in a comparison to historical trial results. Furthermore, in the subset of patients where pre- and post-treatment tumor biopsies were available, a statistically significant increase in the number of CD8+ tumor infiltrating lymphocytes was observed. In addition, the study demonstrated that CAN-2409 was generally well-tolerated in combination with SoC.</w:t>
      </w:r>
    </w:p>
    <w:p>
      <w:pPr>
        <w:spacing w:after="0" w:line="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currently conducting a randomized phase 2 clinical trial of CAN-2409 in borderline resectable pancreatic cancer. In March 2023, in connection with our cost management and dynamic portfolio management initiatives, we elected to pause new enrollment in this randomized phase 2a clinical trial and decided to first evaluate survival in the enrolled patients. We presented initial clinical data in the fourth quarter of 2023, based on a data cutoff date of August 21, 2023. The initial data showed prolonged and sustained survival in patients who were treated with CAN-2409 and there was a separation of the survival rates in the treatment and placebo arms. Estimated survival was 71.4% when 2-3 CAN-2409 courses were added to standard neoadjuvant chemoradiotherapy followed by attempted surgical resection compared to 16.7% with standard neoadjuvant chemoradiotherapy followed by attempted surgical resection alone at both 24 and 36 months after treatment. In April 2024, we announced that the FDA has granted orphan drug designation for CAN-2409 for the treatment of pancreatic cancer. In April 2024, we also reported topline survival data for the population of patients with borderline resectable PDAC with CAN-2409. Estimated mOS was 28.8 months in the CAN-2409 group versus 12.5 months in the control group. Importantly, 4 out of 7 patients who received CAN-2409 were still alive at the time of data cutoff, with 2 patients surviving more than 50.0 months from enrollment. Only 1 out of 6 patients, randomized to control SoC chemotherapy alone, remained alive at data cutoff (alive at 50.6 months). Biomarker data analysis demonstrated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3" w:name="page24"/>
    <w:bookmarkEnd w:id="23"/>
    <w:p>
      <w:pPr>
        <w:ind w:right="680"/>
        <w:spacing w:after="0" w:line="267" w:lineRule="auto"/>
        <w:rPr>
          <w:sz w:val="20"/>
          <w:szCs w:val="20"/>
          <w:color w:val="auto"/>
        </w:rPr>
      </w:pPr>
      <w:r>
        <w:rPr>
          <w:rFonts w:ascii="Arial" w:cs="Arial" w:eastAsia="Arial" w:hAnsi="Arial"/>
          <w:sz w:val="17"/>
          <w:szCs w:val="17"/>
          <w:color w:val="auto"/>
        </w:rPr>
        <w:t>consistent and robust activation of immune response after dosing with CAN-2409. Addition of CAN-2409 regimen to SoC was generally well tolerated, with no dose-limiting toxicities, including no cases of pancreatitis.</w:t>
      </w:r>
    </w:p>
    <w:p>
      <w:pPr>
        <w:spacing w:after="0" w:line="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February 2025, we presented final data from this randomized clinical trial. Prolonged and sustained survival was observed after experimental treatment with CAN-2409 compared to the control group in patients with borderline resectable PDAC (n=13): estimated median overall survival after enrollment was 31.4 months in the CAN-2409 group versus only 12.5 months in the control group. Median survival post-progression was 21.2 months in patients who received CAN-2409 compared to 7.2 months in the control arm. Importantly, 3 out of 7 patients who received CAN-2409 were still alive at the time of data cut-off (February 20, 2025) with a survival of 66.0, 63.6, and 35.8 months, respectively, after enrollment; survival from the time of diagnosis for these patients was 73.5, 68.8, and 41.3 months, respectively. Of these, the first patient had stage IV metastatic disease detected during surgery, the second had residual tumor present at the resection margin, and the third had adenocarcinoma with negative resection margins. In contrast, only one out of 6 patients randomized to SoC chemotherapy arm remained alive at the data cutoff (61.2 months from enrollment and 65.5 months from diagnosis); histologic analysis at resection showed intraepithelial neoplasia without evidence of residual adenocarcinoma in this patient, which is associated with improved prognosis. Based on these promising findings, the Company has decided to prepare for a larger, late-stage, randomized controlled clinical trial of CAN-2409 in PDAC.</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Opportunities for CAN-2409 in Other Cancer Indications</w:t>
      </w:r>
    </w:p>
    <w:p>
      <w:pPr>
        <w:spacing w:after="0" w:line="102"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In addition to patients with prostate, lung, pancreatic, and brain cancer, CAN-2409 has been dosed in small early-stage exploratory clinical trials in patients with ovarian cancer, malignant pleural effusion, pediatric brain cancer and retinoblastoma, supporting the tolerability and safety profile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CAN-3110 for Recurrent High-grade Glioma</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Our first HSV-based product candidate, CAN-3110, is in an ongoing investigator-sponsored phase 1b clinical trial in recurrent HGG. This is an open-label, dose-escalation clinical trial in patients who have failed SoC. The primary objective of this clinical trial is to analyze the safety of CAN-3110</w:t>
      </w:r>
    </w:p>
    <w:p>
      <w:pPr>
        <w:spacing w:after="0" w:line="195" w:lineRule="auto"/>
        <w:rPr>
          <w:sz w:val="20"/>
          <w:szCs w:val="20"/>
          <w:color w:val="auto"/>
        </w:rPr>
      </w:pPr>
      <w:r>
        <w:rPr>
          <w:rFonts w:ascii="Arial" w:cs="Arial" w:eastAsia="Arial" w:hAnsi="Arial"/>
          <w:sz w:val="17"/>
          <w:szCs w:val="17"/>
          <w:color w:val="auto"/>
        </w:rPr>
        <w:t>use in patients with recurrent HGG. No dose-limiting toxicities were observed in doses ranging from 1x10</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to 1x10</w:t>
      </w:r>
      <w:r>
        <w:rPr>
          <w:rFonts w:ascii="Arial" w:cs="Arial" w:eastAsia="Arial" w:hAnsi="Arial"/>
          <w:sz w:val="22"/>
          <w:szCs w:val="22"/>
          <w:color w:val="auto"/>
          <w:vertAlign w:val="superscript"/>
        </w:rPr>
        <w:t>10</w:t>
      </w:r>
      <w:r>
        <w:rPr>
          <w:rFonts w:ascii="Arial" w:cs="Arial" w:eastAsia="Arial" w:hAnsi="Arial"/>
          <w:sz w:val="17"/>
          <w:szCs w:val="17"/>
          <w:color w:val="auto"/>
        </w:rPr>
        <w:t xml:space="preserve"> PFU in half-log increments.</w:t>
      </w:r>
    </w:p>
    <w:p>
      <w:pPr>
        <w:spacing w:after="0"/>
        <w:rPr>
          <w:sz w:val="20"/>
          <w:szCs w:val="20"/>
          <w:color w:val="auto"/>
        </w:rPr>
      </w:pPr>
      <w:r>
        <w:rPr>
          <w:rFonts w:ascii="Arial" w:cs="Arial" w:eastAsia="Arial" w:hAnsi="Arial"/>
          <w:sz w:val="17"/>
          <w:szCs w:val="17"/>
          <w:color w:val="auto"/>
        </w:rPr>
        <w:t>More than 55 patients have been treated.</w:t>
      </w:r>
    </w:p>
    <w:p>
      <w:pPr>
        <w:spacing w:after="0" w:line="86" w:lineRule="exact"/>
        <w:rPr>
          <w:sz w:val="20"/>
          <w:szCs w:val="20"/>
          <w:color w:val="auto"/>
        </w:rPr>
      </w:pPr>
    </w:p>
    <w:p>
      <w:pPr>
        <w:ind w:right="780"/>
        <w:spacing w:after="0" w:line="267" w:lineRule="auto"/>
        <w:rPr>
          <w:sz w:val="20"/>
          <w:szCs w:val="20"/>
          <w:color w:val="auto"/>
        </w:rPr>
      </w:pPr>
      <w:r>
        <w:rPr>
          <w:rFonts w:ascii="Arial" w:cs="Arial" w:eastAsia="Arial" w:hAnsi="Arial"/>
          <w:sz w:val="17"/>
          <w:szCs w:val="17"/>
          <w:color w:val="auto"/>
        </w:rPr>
        <w:t>Immunohistology studies showed persistent presence of HSV antigen and infiltration by CD8+ cytotoxic tumor infiltrating lymphocytes post treatment, providing support for the expected mechanism of action of CAN-3110.</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We are particularly encouraged by the clinical course of a few patients who received a single injection with CAN-3110 as monotherapy upon recurrence of glioblastoma. One patient, originally diagnosed with multicentric glioblastoma and initially treated with SoC surgical resection followed by temozolomide and radiotherapy has been treated with CAN-3110 monotherapy, upon recurrency with development of two lesions visualized on MRI. One lesion, in the frontal region, had developed at the site of the initially resected mass. The second, larger mass was a new lesion. The patient received CAN-3110 via stereotactic administration into the injected lesion. At day 56 post-injection, there was a visible decrease in the volume of both masses. By day 112 post-injection, the volume of both masses was further reduced and the patient was able to go back to work. The patient eventually developed a third lesion, experienced a stroke secondary to a diagnostic procedure, and refused further treatment, dying approximately 15 months after entering the trial. A second patient initially diagnosed with methylated grade IV HGG located in the temporal lobe underwent 2 consecutive resections and treatment with chemoradiation for rapid progressive disease. The patient was injected with CAN-3110 (10E8 pfus), at the site of the original lesion. An MRI scan performed at day 91 showed increased enhancement at the site of injection. The patient underwent an additional resection, but, importantly, histological report showed mainly inflammatory tissue with high density of tumor infiltrating lymphocytes. The patient did not have detectable disease, in absence of any additional treatment for more than 2 years and passed away as passenger of a motor vehicle accident on day 717 post CAN-3110 treatment. Another patient, originally diagnosed with grade IV astrocytoma, was treated with CAN-3110 for a recurrence following first-line therapy with subtotal resection, chemoradiation and adjuvant temozolomide. At time of recurrence, a mass was evident in the left frontal lobe. The patient was enrolled in arm B of the phase 1b clinical trial which includes treatment with Cytoxan (24 mg/kg one dose day -2) prior to CAN-3110 injection. Post-treatment scan demonstrated progressive reduction in enhancement with cavitary necrosis at the site of injection. The patient remains clinically stable as of February 2024 and has not required additional therapies in the two years post CAN-3110 treatment. We find these case reports to be encouraging because of the unusually favorable disease course experienced by these patients with recurrent HGG who had previously failed SoC treatment, in absence of concurrent therapies. Additionally, we have observed a mOS of 11.8 months in the phase 1b trial in the first 41 patients as of the cutoff date of April 20, 2023. This data was confirmed in an independent cohort of 9 patients (cohort B; mOS 12.0 months). Prolonged survival after CAN-3110 treatment was associated with HSV-1 seropositivity as well as with changes in T cell fractions and TCRβ diversity. Given the mOS of less than 6-9 months in historical clinical trials of other investigational agents in patients with recurrent HGG, who have failed SoC treatment we believe this is encouraging evidence of clinical activity. In May 2024, we announced that the FDA granted orphan drug designation for CAN-3110 for the treatment of recurrent HGG. In October 2024, during the 16th Annual IOVC, we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4" w:name="page25"/>
    <w:bookmarkEnd w:id="24"/>
    <w:p>
      <w:pPr>
        <w:ind w:right="180"/>
        <w:spacing w:after="0" w:line="244" w:lineRule="auto"/>
        <w:rPr>
          <w:sz w:val="20"/>
          <w:szCs w:val="20"/>
          <w:color w:val="auto"/>
        </w:rPr>
      </w:pPr>
      <w:r>
        <w:rPr>
          <w:rFonts w:ascii="Arial" w:cs="Arial" w:eastAsia="Arial" w:hAnsi="Arial"/>
          <w:sz w:val="17"/>
          <w:szCs w:val="17"/>
          <w:color w:val="auto"/>
        </w:rPr>
        <w:t>announced clinical activity and biomarker data for arm C. The principal investigator of the study reported ongoing improved survival compared to historical controls in patients treated with multiple injections of CAN-3110, with 3 out of 6 patients with recurrent HGG still alive more than one year (12.2, 13.0, and 18.7 months, respectively) after initiation of experimental treatment with CAN-3110. We expect to report initial median overall survival data from the multiple injection cohort of CAN-3110, from the ongoing phase 1b clinical trial in the fourth quarter of 2025.</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and Other Transactions</w:t>
      </w:r>
    </w:p>
    <w:p>
      <w:pPr>
        <w:spacing w:after="0" w:line="10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are a party to various license and collaboration agreements under which we license patents, patent applications and other intellectual property to and from third parties. These licenses impose various diligence and financial payment obligations on us. We expect to continue to enter into these types of license agreements in the future. We consider the following license and collaboration agreements to be material to our business:</w:t>
      </w:r>
    </w:p>
    <w:p>
      <w:pPr>
        <w:spacing w:after="0" w:line="67"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 xml:space="preserve">Periphagen.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as well as certain physical property and equipment.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79"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In addition, pursuant to the Periphagen Agreements, we undertook certain commitments and obligations, including the assumption of Periphagen’s outstanding loan in the principal amount of $1,000,000 with Diamyd Medical, AB. The promissory note has a contractual interest rate of 2% compounded annually, with the outstanding balance and accrued interest due upon maturity in November 2027, with no interim installments.</w:t>
      </w:r>
    </w:p>
    <w:p>
      <w:pPr>
        <w:spacing w:after="0" w:line="67"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In consideration for the licenses under the Periphagen Agreements, we paid Periphagen $811,000 upon signing and agreed to make the following royalty and other payments:</w:t>
      </w:r>
    </w:p>
    <w:p>
      <w:pPr>
        <w:spacing w:after="0" w:line="51" w:lineRule="exact"/>
        <w:rPr>
          <w:sz w:val="20"/>
          <w:szCs w:val="20"/>
          <w:color w:val="auto"/>
        </w:rPr>
      </w:pPr>
    </w:p>
    <w:p>
      <w:pPr>
        <w:ind w:left="760" w:right="20" w:hanging="378"/>
        <w:spacing w:after="0" w:line="249" w:lineRule="auto"/>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NT-3 Assets: a single digit percentage of net sales of NT-3 Assets, or, if applicable, a percentage of royalties received by us in the event of a license, sublicense, assignment or other transfer to a third party for commercialization (but no greater than the original royalty percentage we would be required to pay in the event we did not license, sublicense, assign or transfer NT-3 Assets);</w:t>
      </w:r>
    </w:p>
    <w:p>
      <w:pPr>
        <w:spacing w:after="0" w:line="65" w:lineRule="exact"/>
        <w:rPr>
          <w:rFonts w:ascii="Times New Roman" w:cs="Times New Roman" w:eastAsia="Times New Roman" w:hAnsi="Times New Roman"/>
          <w:sz w:val="17"/>
          <w:szCs w:val="17"/>
          <w:color w:val="auto"/>
        </w:rPr>
      </w:pPr>
    </w:p>
    <w:p>
      <w:pPr>
        <w:ind w:left="760" w:right="280" w:hanging="378"/>
        <w:spacing w:after="0" w:line="243" w:lineRule="auto"/>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Gene Transfer Neuro-Assets: a single digit percentage of net sales of Gene Transfer Neuro-Assets, or, if applicable, a percentage of royalties received by us in the event of a license, sublicense, assignment or other transfer to a third party for commercialization to treat certain conditions and diseases (but no greater than the original royalty percentage we would be required to pay in the event we did not license, sublicense, assign or transfer Gene Transfer Neuro-Assets);</w:t>
      </w:r>
    </w:p>
    <w:p>
      <w:pPr>
        <w:spacing w:after="0" w:line="71" w:lineRule="exact"/>
        <w:rPr>
          <w:rFonts w:ascii="Times New Roman" w:cs="Times New Roman" w:eastAsia="Times New Roman" w:hAnsi="Times New Roman"/>
          <w:sz w:val="17"/>
          <w:szCs w:val="17"/>
          <w:color w:val="auto"/>
        </w:rPr>
      </w:pPr>
    </w:p>
    <w:p>
      <w:pPr>
        <w:ind w:left="760" w:right="180" w:hanging="378"/>
        <w:spacing w:after="0" w:line="266" w:lineRule="auto"/>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Combination Products: a certain percentage (based on the weighted average sale price of NT-3 Assets, or Gene Transfer Neuro-Assets, as applicable) of net sales of combination products; and</w:t>
      </w:r>
    </w:p>
    <w:p>
      <w:pPr>
        <w:spacing w:after="0" w:line="51" w:lineRule="exact"/>
        <w:rPr>
          <w:rFonts w:ascii="Times New Roman" w:cs="Times New Roman" w:eastAsia="Times New Roman" w:hAnsi="Times New Roman"/>
          <w:sz w:val="17"/>
          <w:szCs w:val="17"/>
          <w:color w:val="auto"/>
        </w:rPr>
      </w:pPr>
    </w:p>
    <w:p>
      <w:pPr>
        <w:ind w:left="760" w:right="220" w:hanging="378"/>
        <w:spacing w:after="0"/>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Disposition Income: (i) a single digit royalty rate of certain consideration we receive for the grant of a license, assignment or other intellectual property rights related to the NT-3 Assets and (ii) if we consummate a strategic collaboration with certain specified parties to treat non-oncologic neurological conditions and diseases, either 2nd decile (if consummated within 18 months) or mid-2nd decile to mid-3rd decile (if consummated thereafter) royalty rates of certain consideration we receive for the grant of a license, assignment or other intellectual property rights related to the Gene Transfer Neuro-Assets.</w:t>
      </w:r>
    </w:p>
    <w:p>
      <w:pPr>
        <w:spacing w:after="0" w:line="75"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we are required to pay royalties to a third party on any product covered under the Periphagen Agreements, we may credit such royalty payments against the royalties owed to Periphagen in the applicable country, up to a percentage reduction in the mid-2nd decile.</w:t>
      </w:r>
    </w:p>
    <w:p>
      <w:pPr>
        <w:spacing w:after="0" w:line="51"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The exclusive license agreement with Periphagen (the Periphagen License Agreement) requires us to use commercially reasonable efforts to complete a human proof of concept clinical trial of an NT-3 Asset, which includes certain specified clinical milestones. If we fail to use such efforts, subject to dispute and escalation provisions in the Periphagen License Agreement, then we may submit a specified payment in lieu of satisfying such obligations. If we fail to do so, Periphagen may terminate the Periphagen License Agreement for material breach.</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On June 7, 2023, the parties entered into an amendment to the Periphagen License Agreement.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ind w:right="60"/>
        <w:spacing w:after="0" w:line="241" w:lineRule="auto"/>
        <w:rPr>
          <w:sz w:val="20"/>
          <w:szCs w:val="20"/>
          <w:color w:val="auto"/>
        </w:rPr>
      </w:pPr>
      <w:r>
        <w:rPr>
          <w:rFonts w:ascii="Arial" w:cs="Arial" w:eastAsia="Arial" w:hAnsi="Arial"/>
          <w:sz w:val="17"/>
          <w:szCs w:val="17"/>
          <w:color w:val="auto"/>
        </w:rPr>
        <w:t>The Periphagen License Agreement expires on the later of December 9, 2069 or the end of the Royalty Term. Upon expiration, we will have a fully paid-up, non-exclusive license to make, use, sell, offer for sale and import any products that incorporate the Licensed IP Rights. The Royalty Term means, on a product-by-product and country-by-country basis, the period starting on the first commercial sale of such product in such country and concluding on the later of (i) expiration of patent coverage under the Licensed IP Rights or regulatory exclusivity for such product in such country; or (ii) the date that a certain amount of generic competition exists in such country, provided that no Royalty Term shall exceed 30 years.</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Periphagen License Agreement may be terminated (i) by us for convenience upon 90 days’ prior written notice to Periphagen, (ii) by Periphagen if we remain in breach of the Periphagen Agreement following a cure period to remedy the breach or (iii) by Periphagen if we become bankrupt, file for bankruptcy or otherwise become insolvent or are placed in receivership.</w:t>
      </w:r>
    </w:p>
    <w:p>
      <w:pPr>
        <w:spacing w:after="0" w:line="67"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 xml:space="preserve">Mass General Brigham (MGB). </w:t>
      </w:r>
      <w:r>
        <w:rPr>
          <w:rFonts w:ascii="Arial" w:cs="Arial" w:eastAsia="Arial" w:hAnsi="Arial"/>
          <w:sz w:val="17"/>
          <w:szCs w:val="17"/>
          <w:color w:val="auto"/>
        </w:rPr>
        <w:t>On January 20, 2018, we entered into an exclusive option agreement (the Option Agreement) with MGB.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7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up to $750,000 for the performance of a specified phase 1 clinical trial by MGB pursuant to a protocol summary contained in the Option Agreement.</w:t>
      </w:r>
    </w:p>
    <w:p>
      <w:pPr>
        <w:spacing w:after="0" w:line="6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of $100,000. We also agreed to reimburse MGB for all reasonable fees and expenses MGB had incurred and will incur for the preparation, filing, prosecution and maintenance of the licensed patent rights, in an amount equal to $141,268.</w:t>
      </w:r>
    </w:p>
    <w:p>
      <w:pPr>
        <w:spacing w:after="0" w:line="76"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Under the MGB License Agreement, we are required to use commercially reasonable efforts to develop and make available to the public Licensed Products in the Licensed Field, which efforts include certain milestones detailed in the MGB License Agreement.</w:t>
      </w:r>
    </w:p>
    <w:p>
      <w:pPr>
        <w:spacing w:after="0" w:line="51"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color w:val="auto"/>
        </w:rPr>
        <w:t>Under the MGB License Agreement, prior to the first commercial sale of the Licensed Products, we are required to pay MGB an annual license fee beginning on the fourth anniversary of the effective date. Following the first commercial sale of the Licensed Products, we are required to pay MGB an annual minimum royalty, which amount may be credited against earned royalties starting in the fourth year following the first commercial sale.</w:t>
      </w:r>
    </w:p>
    <w:p>
      <w:pPr>
        <w:spacing w:after="0" w:line="67"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addition to such annual license fee and royalty obligations, the MGB License Agreement contains cumulative milestone payments for up to a maximum amount of $39,000,000, upon the achievement of various clinical, commercial and sales milestones of clinical and commercial development and sales, certain of which milestones apply to development and sale of any Licensed Product as a monotherapy and certain of which milestones apply to development and sale of any Licensed Product in combination with another therapy modality for the treatment of solid tumors.</w:t>
      </w:r>
    </w:p>
    <w:p>
      <w:pPr>
        <w:spacing w:after="0" w:line="6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are required to pay royalties to MGB upon first commercial sale of the Licensed Products, which are paid at an increasing rate as net sales increase, ranging from low single digits to high single digits. We also agreed to pay a single digit royalty rate on net sales of any products developed using certain MGB know-how but which is not covered by the licensed patent rights, or derived products.</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may reduce our royalty obligations to MGB on any product (but not derived products) by an agreed-upon percentage if we are required to pay a royalty to a third party to avoid patent infringement claims in respect of our development and commercialization of Licensed Products. The royalty rate paid to MGB may not fall below a pre-specified percentage for the sale of any product and another percentage for the sale of any derived product.</w:t>
      </w:r>
    </w:p>
    <w:p>
      <w:pPr>
        <w:spacing w:after="0" w:line="69"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Our obligation to pay royalties to MGB expires on a country-by-country basis on the latest of (i) the date upon which there ceases to be a valid claim of patent rights as further detailed in the MGB License Agreement in such country, (ii) expiration of statutory or regulatory exclusivity in such country and (iii) 10 years after the first commercial sale.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6" w:name="page27"/>
    <w:bookmarkEnd w:id="26"/>
    <w:p>
      <w:pPr>
        <w:ind w:right="120"/>
        <w:spacing w:after="0" w:line="241" w:lineRule="auto"/>
        <w:rPr>
          <w:sz w:val="20"/>
          <w:szCs w:val="20"/>
          <w:color w:val="auto"/>
        </w:rPr>
      </w:pPr>
      <w:r>
        <w:rPr>
          <w:rFonts w:ascii="Arial" w:cs="Arial" w:eastAsia="Arial" w:hAnsi="Arial"/>
          <w:sz w:val="17"/>
          <w:szCs w:val="17"/>
          <w:color w:val="auto"/>
        </w:rPr>
        <w:t>The MGB License Agreement also requires us to pay a percentage of any non-royalty income attributable to the sublicense, including (i) 2nd decile rates if such sublicense occurs prior to dosing the first patient in a phase 2 trial, (ii) 1st decile rates if such sublicense occurs after dosing the first patient in a phase 2 trial but before approval of a BLA by the FDA (or the equivalent approval and regulatory body in another major market country) and (iii) single digit rates if such sublicense occurs after approval of a BLA by the FDA (or the equivalent approval and regulatory body in another major market country).</w:t>
      </w:r>
    </w:p>
    <w:p>
      <w:pPr>
        <w:spacing w:after="0" w:line="7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MGB License Agreement expires on the latest of (i) the 10th anniversary of the first commercial sale in the last country which has a commercial sale, (ii) the date on which all relevant issued patents and filed patent applications have expired or been abandoned and (iii) upon the expiration of market exclusivity on the applicable product.</w:t>
      </w:r>
    </w:p>
    <w:p>
      <w:pPr>
        <w:spacing w:after="0" w:line="67"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MGB License Agreement may be terminated by MGB (i) if we fail to pay any amounts owed under the terms of the agreement within a specified cure period, (ii) if we fail to maintain insurance in accordance with the MGB License Agreement, (iii) if we file for bankruptcy, or (iv) if we remain in default of the MGB License Agreement for non-financial reasons following a specified cure period to remedy the breach. The MGB License Agreement may be terminated by us for convenience upon 90 days’ prior written notice.</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Ventagen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LLC (Ventagen).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sublicenses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(or the Territory).</w:t>
      </w:r>
    </w:p>
    <w:p>
      <w:pPr>
        <w:spacing w:after="0" w:line="7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Under the Ventagen Agreement, Ventagen agreed to use commercially reasonable efforts to develop and commercialize Licensed Products in the Territory in the Field of Use.</w:t>
      </w:r>
    </w:p>
    <w:p>
      <w:pPr>
        <w:spacing w:after="0" w:line="51"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Ventagen agreed to pay us $1,000,000 for research and development, which we received in 2014 and 2015, and agreed to pay us a fixed future milestone payment of $2,500,000 upon Ventagen’s achievement of a specified amount of sales of a Licensed Product, which is subject to certain reductions for our direct cost over a specified threshold.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Ventagen also agreed to purchase all of its clinical and commercial supply of Licensed Products from us required for clinical or commercial purposes at a price of cost plus a specified increase of the wholesale price of the Licensed Products, subject to a minimum and maximum price, through the end of the Royalty Term, which is defined as the period commencing on the effective date of the Ventagen Agreement and ending on a country-by-country basis on the later of (i) the last expiration date of the patent rights covering a Licensed Product, (ii) twelve years from the receipt of marketing authorization of the Licensed Product in the applicable country, or (iii) the date a generic version of a Licensed Product that is manufactured, owned or controlled by a third party is granted a market authorization. If we are unable or unwilling to manufacture supply under the terms of the Ventagen Agreement, Ventagen has the right to manufacture its own supply and will be required to pay to us a fixed fee per dose sold by Ventagen, its affiliates, agents, sublicensee or end users. We have also agreed to provide certain services to Ventagen related to Ventagen’s development plan.</w:t>
      </w:r>
    </w:p>
    <w:p>
      <w:pPr>
        <w:spacing w:after="0" w:line="24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Ventagen Agreement expires on the date of the expiration of the final Royalty Term in all countries in the Territory. The Ventagen Agreement may be terminated (i) by Ventagen at will upon 30 days’ prior written notice to us, (ii) by us subject to a specified notice period if Ventagen files for bankruptcy or becomes insolvent or (iii) by us if Ventagen remains in material breach of the Ventagen Agreement following notice and a cure period to remedy the breach. Ventagen retains an irrevocable, perpetual, paid up, royalty-free license, with rights of sublicense to use, have used, lease, import and export, offer to sell, sell, have sold, product, distribute and market Licensed Products in each country in the Territory after the expiration of the Royalty Term in such country.</w:t>
      </w:r>
    </w:p>
    <w:p>
      <w:pPr>
        <w:spacing w:after="0" w:line="7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Certain of our current stockholders own 49.5% of the voting stock of Ventagen, but we do not hold any management position or run the day-to-day operations of Ventagen. See “Certain Relationships and Related Person Transactions.”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7" w:name="page28"/>
    <w:bookmarkEnd w:id="27"/>
    <w:p>
      <w:pPr>
        <w:ind w:right="400"/>
        <w:spacing w:after="0" w:line="267" w:lineRule="auto"/>
        <w:rPr>
          <w:sz w:val="20"/>
          <w:szCs w:val="20"/>
          <w:color w:val="auto"/>
        </w:rPr>
      </w:pPr>
      <w:r>
        <w:rPr>
          <w:rFonts w:ascii="Arial" w:cs="Arial" w:eastAsia="Arial" w:hAnsi="Arial"/>
          <w:sz w:val="17"/>
          <w:szCs w:val="17"/>
          <w:color w:val="auto"/>
        </w:rPr>
        <w:t>developing immuno-oncology treatments for cancer include AstraZeneca, Bristol-Myers Squibb, Gilead Sciences, Merck &amp; Co., Novartis, Pfizer, Genentech, and Johnson &amp; Johnson.</w:t>
      </w:r>
    </w:p>
    <w:p>
      <w:pPr>
        <w:spacing w:after="0" w:line="5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Group, Inc., Amgen Inc., Astellas Pharma, Inc, Istari Oncology Inc, Orca Therapeutics, B.V., CG Oncology, Inc, ImmVira Co., Ltd., IconOVir Bio, Inc., and FerGene, Inc.,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the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4"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Commercialization</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utilize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and partnering opportunities may all influence or alter our commercialization plans.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have established an operations leadership team with extensive experience in manufacturing biologics based on viruses, including viral immunotherapy products and gene therapy products, and in the construction, validation, approval and operation of facilities designed to manufacture biologics. We have secured a third-party contract manufacturing organization for clinical and commercial-scale manufacturing of our CAN-2409 and CAN-3110 product candidates.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0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With regard to patent exclusivities, we have or are pursuing patent protection for our CAN-2409 and CAN-3110 product candidates and our enLIGHTEN™ Discovery Platform. With regard to our CAN-2409 product candidate, we own a U.S. patent and one pending U.S. patent application that relate to methods of decreasing tumor burden and micrometastases using CAN-2409 in combination with an immune checkpoint inhibitor. The issued patent and pending application, if issued, are expected to expire in 2034. We also own one International patent application filed under the Patent Cooperation Treaty that relates to methods of treating non-squamous non-small cell lung cancer and non-resectable, non-small cell lung cancer using CAN-2409 and one pending U.S. provisional patent application that relates to methods of treating prostate cancer using CAN-2409. Patents claiming priority to the International and provisional patent applications, if issued, are expected to expire in 2044 and 2045, respectively. We also own a pending U.S. provisional patent application that relates to formulations and methods of manufacture of CAN-2409. Patents claiming priority to this provisional application, if issued, are expected to expire in 2045.</w:t>
      </w:r>
    </w:p>
    <w:p>
      <w:pPr>
        <w:spacing w:after="0" w:line="160" w:lineRule="exact"/>
        <w:rPr>
          <w:sz w:val="20"/>
          <w:szCs w:val="20"/>
          <w:color w:val="auto"/>
        </w:rPr>
      </w:pPr>
    </w:p>
    <w:p>
      <w:pPr>
        <w:jc w:val="both"/>
        <w:ind w:right="140"/>
        <w:spacing w:after="0" w:line="244" w:lineRule="auto"/>
        <w:rPr>
          <w:sz w:val="20"/>
          <w:szCs w:val="20"/>
          <w:color w:val="auto"/>
        </w:rPr>
      </w:pPr>
      <w:r>
        <w:rPr>
          <w:rFonts w:ascii="Arial" w:cs="Arial" w:eastAsia="Arial" w:hAnsi="Arial"/>
          <w:sz w:val="17"/>
          <w:szCs w:val="17"/>
          <w:color w:val="auto"/>
        </w:rPr>
        <w:t>With regard to our CAN-3110 product candidate, we have exclusively licensed from MGB a patent family that includes issued patents in the United States, Australia, Canada, China, Europe, Japan and Korea, and patent applications pending in Australia and Europe that relate to the composition of matter of the vector used in our CAN-3110 product candidate. The issued patents and the pending applications, if issued, are expected to expire in 2036. In addition, we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p>
      <w:pPr>
        <w:ind w:right="420"/>
        <w:spacing w:after="0" w:line="267" w:lineRule="auto"/>
        <w:rPr>
          <w:sz w:val="20"/>
          <w:szCs w:val="20"/>
          <w:color w:val="auto"/>
        </w:rPr>
      </w:pPr>
      <w:r>
        <w:rPr>
          <w:rFonts w:ascii="Arial" w:cs="Arial" w:eastAsia="Arial" w:hAnsi="Arial"/>
          <w:sz w:val="17"/>
          <w:szCs w:val="17"/>
          <w:color w:val="auto"/>
        </w:rPr>
        <w:t>own a pending U.S. provisional patent application that relates to methods of treating melanoma with CAN-3110. Patents claiming priority to this provisional patent application, if issued, are expected to expire in 2045.</w:t>
      </w:r>
    </w:p>
    <w:p>
      <w:pPr>
        <w:spacing w:after="0" w:line="13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With regard to our enLIGHTEN™ Discovery Platform, we have exclusively in-licensed from Periphagen a patent family that includes issued patents in the United States, China, and Europe and patent applications pending in the United States and China that relate to the composition of matter of the HSV vector used in our enLIGHTEN™ Discovery Platform. The issued patents and the pending applications, if issued, are expected to expire in 2037. In addition, we own a patent family that includes pending patent applications in the United States, Australia, Brazil, Canada, China, Europe, Israel, India, Japan, Korea, Mexico, and Singapore that relate to the HSV vector containing candidate payloads used in our enLIGHTEN™ Discovery Platform and methods of use. The pending patent applications, if issued, are expected to expire in 2043. We also own a pending International patent application filed under the Patent Cooperation Treaty that relates to methods of treating cancer in immune checkpoint inhibitor-refractory patients using our HSV vector. Patents claiming priority to the International patent application, if issued, are expected to expire in 2044.</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0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the United States, biological products are subject to regulation under the Federal Food, Drug, and Cosmetic Act (FD&amp;C Act) and licensure under the Public Health Service Act (PHS Act), and other federal, state, local and foreign statutes and regulations. The FD&amp;C Act and corresponding regulations govern, among other things, the research, development, clinical trial, testing, manufacturing, quality control, approval, safety, efficacy, labeling, packaging, storage, record keeping, distribution, reporting, marketing, promotion, export and import, advertising, post-approval monitoring, and post-approval reporting involving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7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 are required to invest significant time and financial resources in policies, procedures, processes, and systems to ensure compliance with these 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Biological Products Development Process</w:t>
      </w:r>
    </w:p>
    <w:p>
      <w:pPr>
        <w:spacing w:after="0" w:line="102"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The process required by the FDA before a biological product candidate may be licensed for marketing in the United States generally involves the following:</w:t>
      </w:r>
    </w:p>
    <w:p>
      <w:pPr>
        <w:spacing w:after="0" w:line="51" w:lineRule="exact"/>
        <w:rPr>
          <w:sz w:val="20"/>
          <w:szCs w:val="20"/>
          <w:color w:val="auto"/>
        </w:rPr>
      </w:pPr>
    </w:p>
    <w:p>
      <w:pPr>
        <w:ind w:left="760" w:right="56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completion of nonclinical laboratory tests and animal studies performed in accordance with FDA’s good laboratory practices (GLPs) requirements and applicable requirements for the humane use of laboratory animals or other applicable regulations;</w:t>
      </w:r>
    </w:p>
    <w:p>
      <w:pPr>
        <w:spacing w:after="0" w:line="51" w:lineRule="exact"/>
        <w:rPr>
          <w:rFonts w:ascii="Times New Roman" w:cs="Times New Roman" w:eastAsia="Times New Roman" w:hAnsi="Times New Roman"/>
          <w:sz w:val="17"/>
          <w:szCs w:val="17"/>
          <w:color w:val="auto"/>
        </w:rPr>
      </w:pPr>
    </w:p>
    <w:p>
      <w:pPr>
        <w:ind w:left="760" w:right="42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submission to the FDA of an application for an investigational new drug application (IND) which must become effective before human clinical trials may begin;</w:t>
      </w:r>
    </w:p>
    <w:p>
      <w:pPr>
        <w:spacing w:after="0" w:line="51" w:lineRule="exact"/>
        <w:rPr>
          <w:rFonts w:ascii="Times New Roman" w:cs="Times New Roman" w:eastAsia="Times New Roman" w:hAnsi="Times New Roman"/>
          <w:sz w:val="17"/>
          <w:szCs w:val="17"/>
          <w:color w:val="auto"/>
        </w:rPr>
      </w:pPr>
    </w:p>
    <w:p>
      <w:pPr>
        <w:ind w:left="760" w:right="60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approval of the protocol and related documentation by an IRB or ethics committee at each clinical trial site before each trial may be initiated;</w:t>
      </w:r>
    </w:p>
    <w:p>
      <w:pPr>
        <w:spacing w:after="0" w:line="51" w:lineRule="exact"/>
        <w:rPr>
          <w:rFonts w:ascii="Times New Roman" w:cs="Times New Roman" w:eastAsia="Times New Roman" w:hAnsi="Times New Roman"/>
          <w:sz w:val="17"/>
          <w:szCs w:val="17"/>
          <w:color w:val="auto"/>
        </w:rPr>
      </w:pPr>
    </w:p>
    <w:p>
      <w:pPr>
        <w:ind w:left="760" w:right="200" w:hanging="378"/>
        <w:spacing w:after="0" w:line="249"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performance of adequate and well-controlled human clinical trials according to good clinical practices (GCPs) requirements and any additional requirements for the protection of human research subjects and their health information, to establish the safety and efficacy of the proposed biological product candidate for its intended use;</w:t>
      </w:r>
    </w:p>
    <w:p>
      <w:pPr>
        <w:spacing w:after="0" w:line="65" w:lineRule="exact"/>
        <w:rPr>
          <w:rFonts w:ascii="Times New Roman" w:cs="Times New Roman" w:eastAsia="Times New Roman" w:hAnsi="Times New Roman"/>
          <w:sz w:val="17"/>
          <w:szCs w:val="17"/>
          <w:color w:val="auto"/>
        </w:rPr>
      </w:pPr>
    </w:p>
    <w:p>
      <w:pPr>
        <w:ind w:left="760" w:right="280" w:hanging="378"/>
        <w:spacing w:after="0" w:line="249"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a determination by the FDA within 60 days of its receipt of a BLA to accept and file the application;</w:t>
      </w:r>
    </w:p>
    <w:p>
      <w:pPr>
        <w:spacing w:after="0" w:line="114" w:lineRule="exact"/>
        <w:rPr>
          <w:rFonts w:ascii="Times New Roman" w:cs="Times New Roman" w:eastAsia="Times New Roman" w:hAnsi="Times New Roman"/>
          <w:sz w:val="17"/>
          <w:szCs w:val="17"/>
          <w:color w:val="auto"/>
        </w:rPr>
      </w:pPr>
    </w:p>
    <w:p>
      <w:pPr>
        <w:ind w:left="760" w:right="12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an FDA pre-license inspection of the manufacturing facility or facilities where the biological product is produced to assess compliance with current good manufacturing practices (cGMPs) to</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9" w:name="page30"/>
    <w:bookmarkEnd w:id="29"/>
    <w:p>
      <w:pPr>
        <w:ind w:left="760"/>
        <w:spacing w:after="0"/>
        <w:rPr>
          <w:sz w:val="20"/>
          <w:szCs w:val="20"/>
          <w:color w:val="auto"/>
        </w:rPr>
      </w:pPr>
      <w:r>
        <w:rPr>
          <w:rFonts w:ascii="Arial" w:cs="Arial" w:eastAsia="Arial" w:hAnsi="Arial"/>
          <w:sz w:val="17"/>
          <w:szCs w:val="17"/>
          <w:color w:val="auto"/>
        </w:rPr>
        <w:t>assure that the facilities, methods and controls are adequate to preserve the biological product’s identity, strength, quality and purity;</w:t>
      </w:r>
    </w:p>
    <w:p>
      <w:pPr>
        <w:spacing w:after="0" w:line="102"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an FDA advisory committee review, if applicable;</w:t>
      </w:r>
    </w:p>
    <w:p>
      <w:pPr>
        <w:spacing w:after="0" w:line="114" w:lineRule="exact"/>
        <w:rPr>
          <w:rFonts w:ascii="Times New Roman" w:cs="Times New Roman" w:eastAsia="Times New Roman" w:hAnsi="Times New Roman"/>
          <w:sz w:val="17"/>
          <w:szCs w:val="17"/>
          <w:color w:val="auto"/>
        </w:rPr>
      </w:pPr>
    </w:p>
    <w:p>
      <w:pPr>
        <w:ind w:left="760" w:right="380" w:hanging="378"/>
        <w:spacing w:after="0" w:line="266"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FDA audit of the nonclinical study and clinical trial sites that generated the data in support of the BLA in accordance with any applicable expedited programs or designations;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payment of user fees for FDA review of the BLA (unless a fee waiver applies); and</w:t>
      </w:r>
    </w:p>
    <w:p>
      <w:pPr>
        <w:spacing w:after="0" w:line="114" w:lineRule="exact"/>
        <w:rPr>
          <w:rFonts w:ascii="Times New Roman" w:cs="Times New Roman" w:eastAsia="Times New Roman" w:hAnsi="Times New Roman"/>
          <w:sz w:val="17"/>
          <w:szCs w:val="17"/>
          <w:color w:val="auto"/>
        </w:rPr>
      </w:pPr>
    </w:p>
    <w:p>
      <w:pPr>
        <w:ind w:left="760" w:right="400" w:hanging="378"/>
        <w:spacing w:after="0" w:line="266"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FDA review and approval, or licensure, of the BLA to permit commercial marketing of the product for specific indications for use in the United States.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Pre-clinical Studies and the IND Process</w:t>
      </w:r>
    </w:p>
    <w:p>
      <w:pPr>
        <w:spacing w:after="0" w:line="1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Before testing any biological product candidate in humans, the product candidate enters the preclinical testing stage. Preclinical tests, also referred to as nonclinical studies, include laboratory evaluations of the product’s biological characteristics, chemistry, toxicity and formulation, as well as animal studies to assess the potential safety and activity of the product candidate. The conduct of the preclinical tests must comply with federal regulations and requirements including GLPs.</w:t>
      </w:r>
    </w:p>
    <w:p>
      <w:pPr>
        <w:spacing w:after="0" w:line="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Prior to commencing an initial clinical trial in humans with a product candidate in the United States,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Trials</w:t>
      </w:r>
    </w:p>
    <w:p>
      <w:pPr>
        <w:spacing w:after="0" w:line="10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generally physicians not employed by or under control of the trial sponsor. Clinical trials are conducted under protocols detailing, among other things, the objectives of the clinical trial, dosing procedures, subject selection and exclusion criteria, and the parameters and criteria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79"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69" w:lineRule="exact"/>
        <w:rPr>
          <w:sz w:val="20"/>
          <w:szCs w:val="20"/>
          <w:color w:val="auto"/>
        </w:rPr>
      </w:pPr>
    </w:p>
    <w:p>
      <w:pPr>
        <w:ind w:right="860"/>
        <w:spacing w:after="0" w:line="267" w:lineRule="auto"/>
        <w:rPr>
          <w:sz w:val="20"/>
          <w:szCs w:val="20"/>
          <w:color w:val="auto"/>
        </w:rPr>
      </w:pPr>
      <w:r>
        <w:rPr>
          <w:rFonts w:ascii="Arial" w:cs="Arial" w:eastAsia="Arial" w:hAnsi="Arial"/>
          <w:sz w:val="17"/>
          <w:szCs w:val="17"/>
          <w:color w:val="auto"/>
        </w:rPr>
        <w:t>Certain information about certain clinical trials must also be submitted within specific timeframes to the NIH for public dissemination on its ClinicalTrials.gov website.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typically are conducted in three sequential phases that may overlap or be combined:</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0" w:name="page31"/>
    <w:bookmarkEnd w:id="30"/>
    <w:p>
      <w:pPr>
        <w:ind w:left="760" w:right="14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Phase 1. The biological product candidate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These studies are designed to test the safety, dosage tolerance, absorption, metabolism and distribution of the biological product candidate in humans, the side effects associated with increasing doses, and, if possible, to gain early evidence of effectiveness.</w:t>
      </w:r>
    </w:p>
    <w:p>
      <w:pPr>
        <w:spacing w:after="0" w:line="74" w:lineRule="exact"/>
        <w:rPr>
          <w:rFonts w:ascii="Times New Roman" w:cs="Times New Roman" w:eastAsia="Times New Roman" w:hAnsi="Times New Roman"/>
          <w:sz w:val="17"/>
          <w:szCs w:val="17"/>
          <w:color w:val="auto"/>
        </w:rPr>
      </w:pPr>
    </w:p>
    <w:p>
      <w:pPr>
        <w:ind w:left="760" w:right="120" w:hanging="378"/>
        <w:spacing w:after="0" w:line="243" w:lineRule="auto"/>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Phase 2. The biological product candidate is evaluated in a limited patient population with a specific disease or condition to identify possible adverse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71" w:lineRule="exact"/>
        <w:rPr>
          <w:rFonts w:ascii="Times New Roman" w:cs="Times New Roman" w:eastAsia="Times New Roman" w:hAnsi="Times New Roman"/>
          <w:sz w:val="17"/>
          <w:szCs w:val="17"/>
          <w:color w:val="auto"/>
        </w:rPr>
      </w:pPr>
    </w:p>
    <w:p>
      <w:pPr>
        <w:ind w:left="760" w:right="140" w:hanging="378"/>
        <w:spacing w:after="0" w:line="249" w:lineRule="auto"/>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Phase 3. The biological product candidate is administered to an expanded patient population to further evaluate dosage, clinical efficacy, potency, and safety, generally at multiple geographically dispersed clinical trial sites. These clinical trials are intended to establish the overall risk/benefit ratio of the product candidate and provide an adequate basis for approval and product labeling.</w:t>
      </w:r>
    </w:p>
    <w:p>
      <w:pPr>
        <w:spacing w:after="0" w:line="66"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with regard to conducting required phase 4 clinical trials could result in withdrawal of approval for products.</w:t>
      </w:r>
    </w:p>
    <w:p>
      <w:pPr>
        <w:spacing w:after="0" w:line="69"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Concurrent with clinical trials, companies may complete additional animal studies and also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Public Health Service Act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Both the FDA and the EMA provide expedited pathways for the development of biological product candidates for the treatment of rare diseases, particularly life-threatening diseases with high unmet medical need. Such biological product candidates may be eligible to proceed to registration following an early phase single clinical trial in a limited patient population which may be deemed a pivotal or registrational trial following review of the trial’s design, primary endpoints and results by the applicable regulatory agencies. Determination of the requirements to be deemed a pivotal or registrational trial is subject to the applicable regulatory authority’s scientific judgement and these requirements may differ in the United States and the European Union (EU).</w:t>
      </w:r>
    </w:p>
    <w:p>
      <w:pPr>
        <w:spacing w:after="0" w:line="7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During all phases of clinical development, regulatory agencies require that a sponsor assure extensive monitoring and auditing of all clinical activities, clinical data, and clinical trial investigators. Annual progress reports detailing the results of the clinical trials, particularly the safety information, must be submitted to the FDA and other relevant agencies in Europe and the rest of the world. Written IND safety reports must be promptly submitted to the FDA and the investigators for serious and unexpected adverse events associated with the use of the study drug, and in some cases, any findings from other studies of the same drug,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7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Review and Approval Processes</w:t>
      </w:r>
    </w:p>
    <w:p>
      <w:pPr>
        <w:spacing w:after="0" w:line="10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results of product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1" w:name="page32"/>
    <w:bookmarkEnd w:id="31"/>
    <w:p>
      <w:pPr>
        <w:ind w:right="60"/>
        <w:spacing w:after="0" w:line="249" w:lineRule="auto"/>
        <w:rPr>
          <w:sz w:val="20"/>
          <w:szCs w:val="20"/>
          <w:color w:val="auto"/>
        </w:rPr>
      </w:pPr>
      <w:r>
        <w:rPr>
          <w:rFonts w:ascii="Arial" w:cs="Arial" w:eastAsia="Arial" w:hAnsi="Arial"/>
          <w:sz w:val="17"/>
          <w:szCs w:val="17"/>
          <w:color w:val="auto"/>
        </w:rPr>
        <w:t>development, laboratory and animal studies, human clinical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BLA review typically takes twelve months from the date the BLA is submitted to the FDA because the FDA has approximately two months to make a “filing” decision. Within 60 days following submission of the application, the FDA reviews the BLA submission to determine if it is substantially complete before the FDA accepts it for filing and full review. The FDA may refuse to file any BLA that it deems incomplete or not properly reviewable at the time of submission and may request additional information in a Complete Response letter. In this event, the BLA must be resubmitted with the additional information. The resubmitted application also is subject to review to determine if it is substantially complete before the FDA accepts it for filing. In most cases, the submission of a BLA is subject to a substantial application user fee, although the fee may be waived under certain circumstances. Under the performance goals and policies implemented by the FDA under the Prescription Drug User Fee Act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may be significantly extended by FDA requests for additional information or clarification and in some cases, convening of an Advisory Committee.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to ensure its continued safety, purity and purity. The FDA may refer applications for novel biological products or biological products that present difficult or novel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will also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7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Under the Pediatric Research Equity Act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79"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including to subpopulations of patients, which could restrict the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2" w:name="page33"/>
    <w:bookmarkEnd w:id="32"/>
    <w:p>
      <w:pPr>
        <w:spacing w:after="0" w:line="236" w:lineRule="auto"/>
        <w:rPr>
          <w:sz w:val="20"/>
          <w:szCs w:val="20"/>
          <w:color w:val="auto"/>
        </w:rPr>
      </w:pPr>
      <w:r>
        <w:rPr>
          <w:rFonts w:ascii="Arial" w:cs="Arial" w:eastAsia="Arial" w:hAnsi="Arial"/>
          <w:sz w:val="17"/>
          <w:szCs w:val="17"/>
          <w:color w:val="auto"/>
        </w:rPr>
        <w:t>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Orphan Product Designation</w:t>
      </w:r>
    </w:p>
    <w:p>
      <w:pPr>
        <w:spacing w:after="0" w:line="10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Under the Orphan Drug Act, the FDA may grant orphan designation to a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Orphan product designation entitles a party to financial incentives such as opportunities for grant funding towards clinical trial costs, tax advantages and user-fee waivers. If a product that has orphan product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product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a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Expedited Development and Review Programs</w:t>
      </w:r>
    </w:p>
    <w:p>
      <w:pPr>
        <w:spacing w:after="0" w:line="10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To be eligible for fast track designation, new drugs and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w:t>
      </w:r>
    </w:p>
    <w:p>
      <w:pPr>
        <w:spacing w:after="0" w:line="7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 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3" w:name="page34"/>
    <w:bookmarkEnd w:id="33"/>
    <w:p>
      <w:pPr>
        <w:spacing w:after="0" w:line="239" w:lineRule="auto"/>
        <w:rPr>
          <w:sz w:val="20"/>
          <w:szCs w:val="20"/>
          <w:color w:val="auto"/>
        </w:rPr>
      </w:pPr>
      <w:r>
        <w:rPr>
          <w:rFonts w:ascii="Arial" w:cs="Arial" w:eastAsia="Arial" w:hAnsi="Arial"/>
          <w:sz w:val="17"/>
          <w:szCs w:val="17"/>
          <w:color w:val="auto"/>
        </w:rPr>
        <w:t>A product candidate is eligible for priority review if it treats a serious or life-threatening disease or condition and, if approved,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spacing w:after="0" w:line="7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Additionally, 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which must be conducted with due diligence, to verify the clinical benefit in relationship to the surrogate endpoint or ultimate outcome in relationship to the clinical benefit and, under the Food and Drug Omnibus Reform Act of 2022 (FDORA), the FDA may require that such trials be underway prior to approval or within a specific time period after the date accelerated approval was granted. In addition, for products being considered for accelerated approval, the FDA generally requires, unless otherwise informed by the agency, that all advertising and promotional materials, intended for dissemination or publication be submitted to the agency for review. Under FDORA, the FDA has increased authority for expedited procedures to withdraw approval of a drug or indication approved under accelerated approval if, for example, the confirmatory trial fails to verify the predicted clinical benefit of the product.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Post-Approval Requirements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73"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34" w:name="page35"/>
    <w:bookmarkEnd w:id="34"/>
    <w:p>
      <w:pPr>
        <w:ind w:right="20"/>
        <w:spacing w:after="0" w:line="236" w:lineRule="auto"/>
        <w:rPr>
          <w:sz w:val="20"/>
          <w:szCs w:val="20"/>
          <w:color w:val="auto"/>
        </w:rPr>
      </w:pPr>
      <w:r>
        <w:rPr>
          <w:rFonts w:ascii="Arial" w:cs="Arial" w:eastAsia="Arial" w:hAnsi="Arial"/>
          <w:sz w:val="17"/>
          <w:szCs w:val="17"/>
          <w:color w:val="auto"/>
        </w:rPr>
        <w:t>periodic unannounced inspections by the FDA and certain state agencies for compliance with ongoing regulatory requirements, including cGMPs, which impose certain procedural and documentation requirements on sponsors and their contract development and manufacturing organizations (CDMOs).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79" w:lineRule="exact"/>
        <w:rPr>
          <w:sz w:val="20"/>
          <w:szCs w:val="20"/>
          <w:color w:val="auto"/>
        </w:rPr>
      </w:pPr>
    </w:p>
    <w:p>
      <w:pPr>
        <w:jc w:val="both"/>
        <w:ind w:right="140"/>
        <w:spacing w:after="0" w:line="244" w:lineRule="auto"/>
        <w:rPr>
          <w:sz w:val="20"/>
          <w:szCs w:val="20"/>
          <w:color w:val="auto"/>
        </w:rPr>
      </w:pPr>
      <w:r>
        <w:rPr>
          <w:rFonts w:ascii="Arial" w:cs="Arial" w:eastAsia="Arial" w:hAnsi="Arial"/>
          <w:sz w:val="17"/>
          <w:szCs w:val="17"/>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Patent Term Restoration and Marketing Exclusivity</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Depending upon the timing, duration and specifics of the FDA approval of a biological product, some of a sponsor’s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United States Patent and trademark Office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spacing w:after="0" w:line="7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 biological product can obtain pediatric market exclusivity in the U.S.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6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ACA includes a subtitle called the Biologics Price Competition and Innovation Act of 2009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The FDA may approve multiple “first” interchangeable products so long as they are all approved on the same first day of marketing.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5" w:name="page36"/>
    <w:bookmarkEnd w:id="35"/>
    <w:p>
      <w:pPr>
        <w:ind w:right="280"/>
        <w:spacing w:after="0" w:line="249" w:lineRule="auto"/>
        <w:rPr>
          <w:sz w:val="20"/>
          <w:szCs w:val="20"/>
          <w:color w:val="auto"/>
        </w:rPr>
      </w:pPr>
      <w:r>
        <w:rPr>
          <w:rFonts w:ascii="Arial" w:cs="Arial" w:eastAsia="Arial" w:hAnsi="Arial"/>
          <w:sz w:val="17"/>
          <w:szCs w:val="17"/>
          <w:color w:val="auto"/>
        </w:rPr>
        <w:t>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Regulation of Companion Diagnostics</w:t>
      </w:r>
    </w:p>
    <w:p>
      <w:pPr>
        <w:spacing w:after="0" w:line="10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Our product candidates may require use of an in vitro diagnostic to identify appropriate patient populations. These diagnostics, often referred to as companion diagnostics, are regulated as medical devices.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 approval).</w:t>
      </w:r>
    </w:p>
    <w:p>
      <w:pPr>
        <w:spacing w:after="0" w:line="74"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If use of companion diagnostic is essential to safe and effective use of a drug or biological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candidates such as our product candidates, a companion diagnostic device and its corresponding drug or biological candidate should be approved or cleared contemporaneously by FDA for the use indicated in the therapeutic product labeling. The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In July 2016, the FDA issued a draft guidance document intended to further assist sponsors of therapeutic products and sponsors of in vitro companion diagnostic devices on issues related to co-development of these products.</w:t>
      </w:r>
    </w:p>
    <w:p>
      <w:pPr>
        <w:spacing w:after="0" w:line="7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FDA generally requires companion diagnostics intended to select the patients who will respond to cancer treatment to obtain approval of a PMA for that diagnostic contemporaneously with approval of the therapeutic. The review of these in vitro companion diagnostics in conjunction with the review of therapeutic candidates such as those we are developing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(QSR) which imposes elaborate testing, control, documentation and other quality assurance requirements.</w:t>
      </w:r>
    </w:p>
    <w:p>
      <w:pPr>
        <w:spacing w:after="0" w:line="72"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If the FDA evaluations of both the PMA application and the manufacturing facilities are favorable, the FDA will either issue an approval letter or a not-approvable letter, which usually contains a number of conditions that must be met in order to secure the final approval of the PMA,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74"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If the FDA’s evaluation of the PMA or manufacturing facilities is not favorable, the FDA will issue an order denying approval of the PMA or issue a not approvable order.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6" w:name="page37"/>
    <w:bookmarkEnd w:id="36"/>
    <w:p>
      <w:pPr>
        <w:jc w:val="both"/>
        <w:ind w:right="420"/>
        <w:spacing w:after="0" w:line="244" w:lineRule="auto"/>
        <w:rPr>
          <w:sz w:val="20"/>
          <w:szCs w:val="20"/>
          <w:color w:val="auto"/>
        </w:rPr>
      </w:pPr>
      <w:r>
        <w:rPr>
          <w:rFonts w:ascii="Arial" w:cs="Arial" w:eastAsia="Arial" w:hAnsi="Arial"/>
          <w:sz w:val="17"/>
          <w:szCs w:val="17"/>
          <w:color w:val="auto"/>
        </w:rPr>
        <w:t>granted, PMA approval may be withdrawn by the FDA if compliance with post approval requirements, conditions of approval or other regulatory standards is not maintained or problems are identified following initial marketing. 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w:t>
      </w:r>
    </w:p>
    <w:p>
      <w:pPr>
        <w:spacing w:after="0" w:line="6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January 2024, the FDA announced its intention to initiate the reclassification process for most in vitro diagnostics, including companion diagnostics. Further, the FDA indicated that in addition to the reclassification process, the FDA will continue taking a risk-based approach in the initial classification of individual in vitro diagnostics to determine whether a new test may be classified into Class II through the de novo classification process. In so doing, the FDA indicated that it may regulate most future companion diagnostics as Class II devices, which would likely entail less onerous development, approval, and postmarket regulatory requirements than what is required for Class III medical devices and in vitro diagnostics that are subject to the PMA pathway.</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Regulation</w:t>
      </w:r>
    </w:p>
    <w:p>
      <w:pPr>
        <w:spacing w:after="0" w:line="10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Outside of The United States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Trials Regulation</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an application must be submitted for each clinical trial to each country’s national competent authority, and at least one independent ethics committee, much like the FDA and an IRB, respectively. Under the Clinical Trials Regulation (EU) No. 536/2014, which replaced the Clinical Trials Directive 2001/20/EC on January 31, 2022, a single application is now made through the Clinical Trials Information System (CTIS) for clinical trial authorization in up to 30 EU/EEA countries at the same time and with a single set of documentation.</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continues to be governed by the national law of the concerned EU Member State, however overall related timelines are defined by the Clinical Trials Regulation. The Clinical Trials Regulation also provides for simplified reporting procedures for clinical trial sponsors.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European Union Drug Review and Approval</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the EU, medicinal products can only be commercialized after obtaining a marketing authorization. To obtain regulatory approval of a medicinal product in the EU, we must submit a marketing authorization application (MAA). A centralized marketing authorization is issued by the European Commission through the centralized procedure, based on the opinion of the Committee for Medicinal Products for Human Use (CHMP) of the EMA, and is valid throughout the EU and the additional countries of the European Economic Area (Iceland, Liechtenstein and Norway) (the EEA). The centralized procedure is mandatory for certain types of products, such as biotechnology medicinal products, orphan medicinal products, advanced-therapy medicinal products (i.e. gene therapy, somatic cell 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79"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7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application used to submit a BLA in the United States is similar to that required in the EU for an MAA, although there may be certain specific requirements, for example those set out in Regulation (EC) No 1394/2007 on advanced therapy medicinal products, covering gene therapy, somatic cell therapy and tissue-engineered medicinal products.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and Market Exclusivity</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the EU, upon receiving a marketing authorization, innovative medicinal products approved on the basis of a complete and independent data package qualify for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MAA can be submitted and authorized, and the innovator’s data may be referenced, but no generic or biosimilar product can be placed on the EU market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may market another version of the product if such company obtained a marketing authorization based on an MAA with a complete and independent data package of pharmaceutical tests, preclinical tests and clinical trials.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Orphan Designation and Exclusivity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in the EU where an agreed pediatric investigation plan (PIP) for pediatric studies has been complied with. No extension to any supplementary protection certificate (SPC) can be granted on the basis of pediatric studies for orphan indications.</w:t>
      </w:r>
    </w:p>
    <w:p>
      <w:pPr>
        <w:spacing w:after="0" w:line="265"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criteria for designating an “orphan medicinal product” in the EU are similar in principle to those in the United States. Under Article 3 of Regulation (EC) 141/2000, a product may be designated as an orphan medicinal product if it meets the following criteria: (1) it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 there exists no</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ind w:right="20"/>
        <w:spacing w:after="0" w:line="238" w:lineRule="auto"/>
        <w:rPr>
          <w:sz w:val="20"/>
          <w:szCs w:val="20"/>
          <w:color w:val="auto"/>
        </w:rPr>
      </w:pPr>
      <w:r>
        <w:rPr>
          <w:rFonts w:ascii="Arial" w:cs="Arial" w:eastAsia="Arial" w:hAnsi="Arial"/>
          <w:sz w:val="17"/>
          <w:szCs w:val="17"/>
          <w:color w:val="auto"/>
        </w:rPr>
        <w:t>satisfactory method of diagnosis, prevention or treatment of such condition authorized for marketing in the EU, or if such a method exists, the product would be of significant benefit to those affected by that condition, as defined in Regulation (EC) 847/2000. Orphan medicinal products are eligible for financial incentives such as reduction of fees or fee waivers and are, upon the grant of a marketing authorization, entitled to ten years of market exclusivity for the approved therapeutic indication. The application for orphan designation must be submitted before the application for a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74" w:lineRule="exact"/>
        <w:rPr>
          <w:sz w:val="20"/>
          <w:szCs w:val="20"/>
          <w:color w:val="auto"/>
        </w:rPr>
      </w:pPr>
    </w:p>
    <w:p>
      <w:pPr>
        <w:jc w:val="both"/>
        <w:ind w:right="340"/>
        <w:spacing w:after="0" w:line="249" w:lineRule="auto"/>
        <w:rPr>
          <w:sz w:val="20"/>
          <w:szCs w:val="20"/>
          <w:color w:val="auto"/>
        </w:rPr>
      </w:pPr>
      <w:r>
        <w:rPr>
          <w:rFonts w:ascii="Arial" w:cs="Arial" w:eastAsia="Arial" w:hAnsi="Arial"/>
          <w:sz w:val="17"/>
          <w:szCs w:val="17"/>
          <w:color w:val="auto"/>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marketing authorization may be granted to a similar medicinal product for the same indication as an authorized orphan product at any time if:</w:t>
      </w:r>
    </w:p>
    <w:p>
      <w:pPr>
        <w:spacing w:after="0" w:line="67" w:lineRule="exact"/>
        <w:rPr>
          <w:sz w:val="20"/>
          <w:szCs w:val="20"/>
          <w:color w:val="auto"/>
        </w:rPr>
      </w:pPr>
    </w:p>
    <w:p>
      <w:pPr>
        <w:ind w:left="760" w:right="40" w:hanging="378"/>
        <w:spacing w:after="0" w:line="266" w:lineRule="auto"/>
        <w:tabs>
          <w:tab w:leader="none" w:pos="7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second applicant can establish that its product, although similar to the authorized orphan product, is safer, more effective or otherwise clinically superior;</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marketing authorization holder of the authorized product consents to a second application; or</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marketing authorization holder of the authorized product cannot supply enough orphan medicinal product.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Pediatric Development</w:t>
      </w:r>
    </w:p>
    <w:p>
      <w:pPr>
        <w:spacing w:after="0" w:line="10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the EU, companies developing a new medicinal product must agree upon a PIP with the EMA’s pediatric committee (PDCO) and must conduct pediatric clinical trials in accordance with that PIP,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a marketing authorization is being sought. The MAA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 Products that are granted a marketing authorization with the results of the pediatric clinical trials conducted in accordance with the PIP are eligible for a six month extension of the protection under an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Post-Approval Controls</w:t>
      </w:r>
    </w:p>
    <w:p>
      <w:pPr>
        <w:spacing w:after="0" w:line="102"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51" w:lineRule="exact"/>
        <w:rPr>
          <w:sz w:val="20"/>
          <w:szCs w:val="20"/>
          <w:color w:val="auto"/>
        </w:rPr>
      </w:pPr>
    </w:p>
    <w:p>
      <w:pPr>
        <w:ind w:left="760" w:right="220" w:hanging="378"/>
        <w:spacing w:after="0" w:line="249"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All new MAAs must include a risk management plan (RMP) describing the risk management system that the company will put in place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74" w:lineRule="exact"/>
        <w:rPr>
          <w:rFonts w:ascii="Times New Roman" w:cs="Times New Roman" w:eastAsia="Times New Roman" w:hAnsi="Times New Roman"/>
          <w:sz w:val="17"/>
          <w:szCs w:val="17"/>
          <w:color w:val="auto"/>
        </w:rPr>
      </w:pPr>
    </w:p>
    <w:p>
      <w:pPr>
        <w:ind w:left="760" w:right="20" w:hanging="378"/>
        <w:spacing w:after="0" w:line="243"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All advertising and promotional activities for the product must be consistent with the approved summary of product characteristics (SmPC)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All of the aforementioned EU rules are generally applicable in the EEA.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Reform of the Regulatory Framework in the European Union</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0" w:right="399" w:bottom="1440" w:gutter="0" w:footer="0" w:header="0"/>
        </w:sectPr>
      </w:pPr>
    </w:p>
    <w:bookmarkStart w:id="39" w:name="page40"/>
    <w:bookmarkEnd w:id="39"/>
    <w:p>
      <w:pPr>
        <w:spacing w:after="0" w:line="241" w:lineRule="auto"/>
        <w:rPr>
          <w:sz w:val="20"/>
          <w:szCs w:val="20"/>
          <w:color w:val="auto"/>
        </w:rPr>
      </w:pPr>
      <w:r>
        <w:rPr>
          <w:rFonts w:ascii="Arial" w:cs="Arial" w:eastAsia="Arial" w:hAnsi="Arial"/>
          <w:sz w:val="17"/>
          <w:szCs w:val="17"/>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Brexit and the Regulatory Framework in the United Kingdom</w:t>
      </w:r>
    </w:p>
    <w:p>
      <w:pPr>
        <w:spacing w:after="0" w:line="10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UK formally left the EU on January 31, 2020. 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On February 27, 2023, the UK government and the European Commission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In particular,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 However, although a separate authorization is now required to market medicinal products in the UK, under an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 There is now no pre-marketing authorization orphan designation in the UK. Instead, the MHRA reviews applications for orphan designation in parallel to the corresponding MAA. The criteria are essentially the same, but have been tailored for the UK market, i.e., the prevalence of the condition in UK (rather than the EU) must not be more than five in 10,000. Should an orphan designation be granted, the period of market exclusivity will be set from the date of first approval of the product in the UK.</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 Reform</w:t>
      </w:r>
    </w:p>
    <w:p>
      <w:pPr>
        <w:spacing w:after="0" w:line="102"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2010, the ACA was passed, which substantially changed the way healthcare is financed by both governmental and private insurers, and continues to significantly impact the U.S. pharmaceutical industry. The ACA, among other things, subjects biological products to potential competition by lower-cost biosimilars, increases the minimum Medicaid rebates owed by manufacturers under the Medicaid Drug Rebate Program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to coverage under Medicare Part D for the manufacturer’s outpatient drugs.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Other legislative changes have been proposed and adopted in the United States since the ACA was enacted:</w:t>
      </w:r>
    </w:p>
    <w:p>
      <w:pPr>
        <w:spacing w:after="0" w:line="102" w:lineRule="exact"/>
        <w:rPr>
          <w:sz w:val="20"/>
          <w:szCs w:val="20"/>
          <w:color w:val="auto"/>
        </w:rPr>
      </w:pPr>
    </w:p>
    <w:p>
      <w:pPr>
        <w:ind w:left="760" w:right="280" w:hanging="378"/>
        <w:spacing w:after="0" w:line="249"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Budget Control Act of 2011, among other things, created measures for spending reductions by Congress. This includes aggregate reductions of Medicare payments to providers of 2% per fiscal year. Subsequent legislation extended the 2% payment reduction which remains in effect through 2031.</w:t>
      </w:r>
    </w:p>
    <w:p>
      <w:pPr>
        <w:spacing w:after="0" w:line="65" w:lineRule="exact"/>
        <w:rPr>
          <w:rFonts w:ascii="Times New Roman" w:cs="Times New Roman" w:eastAsia="Times New Roman" w:hAnsi="Times New Roman"/>
          <w:sz w:val="17"/>
          <w:szCs w:val="17"/>
          <w:color w:val="auto"/>
        </w:rPr>
      </w:pPr>
    </w:p>
    <w:p>
      <w:pPr>
        <w:ind w:left="760" w:right="80" w:hanging="378"/>
        <w:spacing w:after="0" w:line="236"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American Taxpayer Relief Act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were further reduced starting on January 1, 2025; however, legislation has been introduced in the U.S. Congress that would, if enacted, reverse these payment reductions.  In addition to provider payment cuts under Medicare, the American Rescue Plan Act of 2021 also eliminated the statutory Medicaid drug rebate cap, previously set at 100% of a drug’s average manufacturer price, for single source and innovator multiple source drugs, beginning January 1, 2024. These laws and regulations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ind w:left="760" w:hanging="378"/>
        <w:spacing w:after="0" w:line="249" w:lineRule="auto"/>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On April 13, 2017, the Centers for Medicare &amp; Medicaid Services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65" w:lineRule="exact"/>
        <w:rPr>
          <w:rFonts w:ascii="Times New Roman" w:cs="Times New Roman" w:eastAsia="Times New Roman" w:hAnsi="Times New Roman"/>
          <w:sz w:val="17"/>
          <w:szCs w:val="17"/>
          <w:color w:val="auto"/>
        </w:rPr>
      </w:pPr>
    </w:p>
    <w:p>
      <w:pPr>
        <w:ind w:left="760" w:right="20" w:hanging="378"/>
        <w:spacing w:after="0"/>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4" w:lineRule="exact"/>
        <w:rPr>
          <w:rFonts w:ascii="Times New Roman" w:cs="Times New Roman" w:eastAsia="Times New Roman" w:hAnsi="Times New Roman"/>
          <w:sz w:val="17"/>
          <w:szCs w:val="17"/>
          <w:color w:val="auto"/>
        </w:rPr>
      </w:pPr>
    </w:p>
    <w:p>
      <w:pPr>
        <w:ind w:left="760" w:right="700" w:hanging="378"/>
        <w:spacing w:after="0" w:line="266" w:lineRule="auto"/>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On May 23, 2019, CMS published a final rule to allow Medicare Advantage Plans the option of using step therapy for Part B drugs beginning January 1, 2020.</w:t>
      </w:r>
    </w:p>
    <w:p>
      <w:pPr>
        <w:spacing w:after="0" w:line="5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which could limit the amounts that federal and state governments will pay for healthcare products and services and result in reduced demand for certain pharmaceutical products or additional pricing pressures. 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7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6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At the federal level, President Trump reversed some of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6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7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and Reimbursement</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41" w:name="page42"/>
    <w:bookmarkEnd w:id="41"/>
    <w:p>
      <w:pPr>
        <w:ind w:right="80"/>
        <w:spacing w:after="0" w:line="237" w:lineRule="auto"/>
        <w:rPr>
          <w:sz w:val="20"/>
          <w:szCs w:val="20"/>
          <w:color w:val="auto"/>
        </w:rPr>
      </w:pPr>
      <w:r>
        <w:rPr>
          <w:rFonts w:ascii="Arial" w:cs="Arial" w:eastAsia="Arial" w:hAnsi="Arial"/>
          <w:sz w:val="17"/>
          <w:szCs w:val="17"/>
          <w:color w:val="auto"/>
        </w:rPr>
        <w:t>reimbursement levels for, the product.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Coverage and reimbursement by a third-party payor may depend upon several factors, including the third-party payor’s determination that use of a product is:</w:t>
      </w:r>
    </w:p>
    <w:p>
      <w:pPr>
        <w:spacing w:after="0" w:line="76"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a covered benefit under its health plan;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safe, effective and medically necessary;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appropriate for the specific patient;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cost-effective;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neither experimental nor investigational.</w:t>
      </w:r>
    </w:p>
    <w:p>
      <w:pPr>
        <w:spacing w:after="0" w:line="11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Third-party payors may limit coverage to specific products on an approved list, also known as a formulary, which might not include all of the approved products for a particular indication.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7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Other Healthcare Laws and Compliance Requirements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federal civil and criminal false claims laws, including the civil False Claims Act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79"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67"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HIPAA, as amended by the Health Information Technology for Economic and Clinical Health Act of 2009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7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Physician Payments Sunshine Act, enacted as part of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certain other licensed health care practitioners and teaching hospitals, as well as ownership and investment interests held by physicians and their immediate family members.</w:t>
      </w:r>
    </w:p>
    <w:p>
      <w:pPr>
        <w:spacing w:after="0" w:line="7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Additionally, we are subject to state and foreign equivalents of each of the healthcare laws and regulations described above, among others, some of which may be broader in scope and may apply regardless of the payor. Many U.S.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ind w:right="140"/>
        <w:spacing w:after="0" w:line="237" w:lineRule="auto"/>
        <w:rPr>
          <w:sz w:val="20"/>
          <w:szCs w:val="20"/>
          <w:color w:val="auto"/>
        </w:rPr>
      </w:pPr>
      <w:r>
        <w:rPr>
          <w:rFonts w:ascii="Arial" w:cs="Arial" w:eastAsia="Arial" w:hAnsi="Arial"/>
          <w:sz w:val="17"/>
          <w:szCs w:val="17"/>
          <w:color w:val="auto"/>
        </w:rPr>
        <w:t>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color w:val="auto"/>
        </w:rPr>
        <w:t>Federal Consumer Protection and Unfair Competition Laws Broadly Regulate Marketplace Activities and Activities That Potentially Harm Consumers.</w:t>
      </w:r>
    </w:p>
    <w:p>
      <w:pPr>
        <w:spacing w:after="0" w:line="30"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Human Capital Resources</w:t>
      </w:r>
    </w:p>
    <w:p>
      <w:pPr>
        <w:spacing w:after="0" w:line="10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As of December 31, 2024, we had 38 employees. Of these employees, 28 perform research and development functions. None of our employees are represented by a labor union and we believe we maintain good relations with our employees.</w:t>
      </w:r>
    </w:p>
    <w:p>
      <w:pPr>
        <w:spacing w:after="0" w:line="5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were incorporated in Delaware in June 2003. On November 30, 2020, the Company changed its name to Candel Therapeutics, Inc. Our principal executive offices are located at 117 Kendrick Street, Suite 450, Needham, Massachusetts 02494. Our telephone number is (617) 916-5445 and our e-mail address is investors@candeltx.com. Our Internet website address is www.candeltx.com. Our Annual Reports on Form 10-K, Quarterly Reports on Form 10-Q, Current Reports on Form 8-K, including exhibits, proxy and information statements and amendments to those reports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spacing w:after="0" w:line="238" w:lineRule="auto"/>
        <w:rPr>
          <w:sz w:val="20"/>
          <w:szCs w:val="20"/>
          <w:color w:val="auto"/>
        </w:rPr>
      </w:pPr>
      <w:r>
        <w:rPr>
          <w:rFonts w:ascii="Arial" w:cs="Arial" w:eastAsia="Arial" w:hAnsi="Arial"/>
          <w:sz w:val="17"/>
          <w:szCs w:val="17"/>
          <w:color w:val="auto"/>
        </w:rPr>
        <w:t>filed or furnished pursuant to Sections 13(a), 14, and 15(d) of the Securities Exchange Act of 1934, as amended (the Exchange Act), are available through the “Investors” portion of our website free of charge as soon as reasonably practicable after we electronically file such material with, or furnish it to, the Securities and Exchange Commission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74"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Our code of conduct, corporate governance guidelines and the charters of our Audit Committee, Compensation Committee and Nominating and Corporate Governance Committee are available through the “Corporate Governance” portion of our website.</w:t>
      </w: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30" w:right="45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Item 1A. Risk Factors.</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laws of the State of Delaware in June 2003. Since inception, we have focused substantially all of our efforts and financial resources on raising</w:t>
      </w:r>
    </w:p>
    <w:p>
      <w:pPr>
        <w:spacing w:after="0" w:line="232" w:lineRule="auto"/>
        <w:rPr>
          <w:sz w:val="20"/>
          <w:szCs w:val="20"/>
          <w:color w:val="auto"/>
        </w:rPr>
      </w:pPr>
      <w:r>
        <w:rPr>
          <w:rFonts w:ascii="Arial" w:cs="Arial" w:eastAsia="Arial" w:hAnsi="Arial"/>
          <w:sz w:val="17"/>
          <w:szCs w:val="17"/>
          <w:color w:val="auto"/>
        </w:rPr>
        <w:t>capital and developing our initial product candidates. To date, we have financed our operations primarily through the issuance and sale of our</w:t>
      </w:r>
    </w:p>
    <w:p>
      <w:pPr>
        <w:spacing w:after="0" w:line="232" w:lineRule="auto"/>
        <w:rPr>
          <w:sz w:val="20"/>
          <w:szCs w:val="20"/>
          <w:color w:val="auto"/>
        </w:rPr>
      </w:pPr>
      <w:r>
        <w:rPr>
          <w:rFonts w:ascii="Arial" w:cs="Arial" w:eastAsia="Arial" w:hAnsi="Arial"/>
          <w:sz w:val="17"/>
          <w:szCs w:val="17"/>
          <w:color w:val="auto"/>
        </w:rPr>
        <w:t>convertible preferred stock to outside investors in private equity financings and from the proceeds of the sale of our common stock and</w:t>
      </w:r>
    </w:p>
    <w:p>
      <w:pPr>
        <w:spacing w:after="0" w:line="232" w:lineRule="auto"/>
        <w:rPr>
          <w:sz w:val="20"/>
          <w:szCs w:val="20"/>
          <w:color w:val="auto"/>
        </w:rPr>
      </w:pPr>
      <w:r>
        <w:rPr>
          <w:rFonts w:ascii="Arial" w:cs="Arial" w:eastAsia="Arial" w:hAnsi="Arial"/>
          <w:sz w:val="17"/>
          <w:szCs w:val="17"/>
          <w:color w:val="auto"/>
        </w:rPr>
        <w:t>accompanying pre-funded warrants. From our inception through December 31, 2024, we raised an aggregate of $253.5 million of gross proceeds</w:t>
      </w:r>
    </w:p>
    <w:p>
      <w:pPr>
        <w:spacing w:after="0" w:line="232" w:lineRule="auto"/>
        <w:rPr>
          <w:sz w:val="20"/>
          <w:szCs w:val="20"/>
          <w:color w:val="auto"/>
        </w:rPr>
      </w:pPr>
      <w:r>
        <w:rPr>
          <w:rFonts w:ascii="Arial" w:cs="Arial" w:eastAsia="Arial" w:hAnsi="Arial"/>
          <w:sz w:val="17"/>
          <w:szCs w:val="17"/>
          <w:color w:val="auto"/>
        </w:rPr>
        <w:t>from such transactions. In addition, in February 2022, we borrowed $20.0 million under the Loan Agreement with SVB. As of December 31, 2024,</w:t>
      </w:r>
    </w:p>
    <w:p>
      <w:pPr>
        <w:spacing w:after="0" w:line="232" w:lineRule="auto"/>
        <w:rPr>
          <w:sz w:val="20"/>
          <w:szCs w:val="20"/>
          <w:color w:val="auto"/>
        </w:rPr>
      </w:pPr>
      <w:r>
        <w:rPr>
          <w:rFonts w:ascii="Arial" w:cs="Arial" w:eastAsia="Arial" w:hAnsi="Arial"/>
          <w:sz w:val="17"/>
          <w:szCs w:val="17"/>
          <w:color w:val="auto"/>
        </w:rPr>
        <w:t>our cash and cash equivalents were $102.7 million. We have incurred net losses in each year since our inception, and we had an accumulated</w:t>
      </w:r>
    </w:p>
    <w:p>
      <w:pPr>
        <w:spacing w:after="0" w:line="232" w:lineRule="auto"/>
        <w:rPr>
          <w:sz w:val="20"/>
          <w:szCs w:val="20"/>
          <w:color w:val="auto"/>
        </w:rPr>
      </w:pPr>
      <w:r>
        <w:rPr>
          <w:rFonts w:ascii="Arial" w:cs="Arial" w:eastAsia="Arial" w:hAnsi="Arial"/>
          <w:sz w:val="17"/>
          <w:szCs w:val="17"/>
          <w:color w:val="auto"/>
        </w:rPr>
        <w:t>deficit of $192.2 million as of December 31, 2024. For the years ended December 31, 2024 and 2023, we reported net losses of $55.2 million and</w:t>
      </w:r>
    </w:p>
    <w:p>
      <w:pPr>
        <w:spacing w:after="0" w:line="232" w:lineRule="auto"/>
        <w:rPr>
          <w:sz w:val="20"/>
          <w:szCs w:val="20"/>
          <w:color w:val="auto"/>
        </w:rPr>
      </w:pPr>
      <w:r>
        <w:rPr>
          <w:rFonts w:ascii="Arial" w:cs="Arial" w:eastAsia="Arial" w:hAnsi="Arial"/>
          <w:sz w:val="17"/>
          <w:szCs w:val="17"/>
          <w:color w:val="auto"/>
        </w:rPr>
        <w:t>$37.9 million, respectively. We have no products approved for commercial sale and therefore have never generated any revenue from product sales,</w:t>
      </w:r>
    </w:p>
    <w:p>
      <w:pPr>
        <w:spacing w:after="0" w:line="232" w:lineRule="auto"/>
        <w:rPr>
          <w:sz w:val="20"/>
          <w:szCs w:val="20"/>
          <w:color w:val="auto"/>
        </w:rPr>
      </w:pPr>
      <w:r>
        <w:rPr>
          <w:rFonts w:ascii="Arial" w:cs="Arial" w:eastAsia="Arial" w:hAnsi="Arial"/>
          <w:sz w:val="17"/>
          <w:szCs w:val="17"/>
          <w:color w:val="auto"/>
        </w:rPr>
        <w:t>and we do not expect to do so in the foreseeable future. We have not obtained regulatory approvals for any of our product candidates, and even if</w:t>
      </w:r>
    </w:p>
    <w:p>
      <w:pPr>
        <w:spacing w:after="0" w:line="232" w:lineRule="auto"/>
        <w:rPr>
          <w:sz w:val="20"/>
          <w:szCs w:val="20"/>
          <w:color w:val="auto"/>
        </w:rPr>
      </w:pPr>
      <w:r>
        <w:rPr>
          <w:rFonts w:ascii="Arial" w:cs="Arial" w:eastAsia="Arial" w:hAnsi="Arial"/>
          <w:sz w:val="17"/>
          <w:szCs w:val="17"/>
          <w:color w:val="auto"/>
        </w:rPr>
        <w:t>our clinical development efforts result in positive data, our product candidates may not receive regulatory approval or be successfully introduced and</w:t>
      </w:r>
    </w:p>
    <w:p>
      <w:pPr>
        <w:spacing w:after="0"/>
        <w:rPr>
          <w:sz w:val="20"/>
          <w:szCs w:val="20"/>
          <w:color w:val="auto"/>
        </w:rPr>
      </w:pPr>
      <w:r>
        <w:rPr>
          <w:rFonts w:ascii="Arial" w:cs="Arial" w:eastAsia="Arial" w:hAnsi="Arial"/>
          <w:sz w:val="17"/>
          <w:szCs w:val="17"/>
          <w:color w:val="auto"/>
        </w:rPr>
        <w:t>marketed at prices that would permit us to operate profitably.</w:t>
      </w:r>
    </w:p>
    <w:p>
      <w:pPr>
        <w:spacing w:after="0" w:line="8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w:t>
      </w:r>
    </w:p>
    <w:p>
      <w:pPr>
        <w:spacing w:after="0" w:line="51"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6"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760" w:right="80" w:hanging="378"/>
        <w:spacing w:after="0" w:line="266" w:lineRule="auto"/>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51" w:lineRule="exact"/>
        <w:rPr>
          <w:rFonts w:ascii="Times New Roman" w:cs="Times New Roman" w:eastAsia="Times New Roman" w:hAnsi="Times New Roman"/>
          <w:sz w:val="17"/>
          <w:szCs w:val="17"/>
          <w:color w:val="auto"/>
        </w:rPr>
      </w:pPr>
    </w:p>
    <w:p>
      <w:pPr>
        <w:ind w:left="760" w:right="220" w:hanging="378"/>
        <w:spacing w:after="0" w:line="266" w:lineRule="auto"/>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46" w:name="page47"/>
    <w:bookmarkEnd w:id="46"/>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changing and volatile U.S. and global economic environments, including as a result of any future public health crisis;</w:t>
      </w:r>
    </w:p>
    <w:p>
      <w:pPr>
        <w:spacing w:after="0" w:line="114" w:lineRule="exact"/>
        <w:rPr>
          <w:rFonts w:ascii="Times New Roman" w:cs="Times New Roman" w:eastAsia="Times New Roman" w:hAnsi="Times New Roman"/>
          <w:sz w:val="17"/>
          <w:szCs w:val="17"/>
          <w:color w:val="auto"/>
        </w:rPr>
      </w:pPr>
    </w:p>
    <w:p>
      <w:pPr>
        <w:ind w:left="760" w:right="540" w:hanging="378"/>
        <w:spacing w:after="0" w:line="266" w:lineRule="auto"/>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51" w:lineRule="exact"/>
        <w:rPr>
          <w:rFonts w:ascii="Times New Roman" w:cs="Times New Roman" w:eastAsia="Times New Roman" w:hAnsi="Times New Roman"/>
          <w:sz w:val="17"/>
          <w:szCs w:val="17"/>
          <w:color w:val="auto"/>
        </w:rPr>
      </w:pPr>
    </w:p>
    <w:p>
      <w:pPr>
        <w:jc w:val="both"/>
        <w:ind w:left="760" w:right="120" w:hanging="378"/>
        <w:spacing w:after="0" w:line="266" w:lineRule="auto"/>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4" w:lineRule="exact"/>
        <w:rPr>
          <w:rFonts w:ascii="Times New Roman" w:cs="Times New Roman" w:eastAsia="Times New Roman" w:hAnsi="Times New Roman"/>
          <w:sz w:val="17"/>
          <w:szCs w:val="17"/>
          <w:color w:val="auto"/>
        </w:rPr>
      </w:pPr>
    </w:p>
    <w:p>
      <w:pPr>
        <w:ind w:left="760" w:right="400" w:hanging="378"/>
        <w:spacing w:after="0" w:line="266" w:lineRule="auto"/>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and receive clearance of our Investigational New Drug applications (INDs), in order to commence our planned clinical trials or future clinical trials;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760" w:right="560" w:hanging="378"/>
        <w:spacing w:after="0" w:line="266" w:lineRule="auto"/>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4" w:lineRule="exact"/>
        <w:rPr>
          <w:rFonts w:ascii="Times New Roman" w:cs="Times New Roman" w:eastAsia="Times New Roman" w:hAnsi="Times New Roman"/>
          <w:sz w:val="17"/>
          <w:szCs w:val="17"/>
          <w:color w:val="auto"/>
        </w:rPr>
      </w:pPr>
    </w:p>
    <w:p>
      <w:pPr>
        <w:ind w:left="760" w:right="1180" w:hanging="378"/>
        <w:spacing w:after="0" w:line="266" w:lineRule="auto"/>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114" w:lineRule="exact"/>
        <w:rPr>
          <w:rFonts w:ascii="Times New Roman" w:cs="Times New Roman" w:eastAsia="Times New Roman" w:hAnsi="Times New Roman"/>
          <w:sz w:val="17"/>
          <w:szCs w:val="17"/>
          <w:color w:val="auto"/>
        </w:rPr>
      </w:pPr>
    </w:p>
    <w:p>
      <w:pPr>
        <w:ind w:left="760" w:right="460" w:hanging="378"/>
        <w:spacing w:after="0" w:line="266" w:lineRule="auto"/>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position our products to effectively compete with other therapies;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ind w:left="760" w:hanging="378"/>
        <w:spacing w:after="0"/>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staff, including clinical, scientific and management personnel.</w:t>
      </w:r>
    </w:p>
    <w:p>
      <w:pPr>
        <w:spacing w:after="0" w:line="114"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We will need to raise substantial additional funding, which may not be available on acceptable terms, or at all. If we are unable to raise capital when needed, we would be forced to delay, reduce or eliminate some of our product development programs or commercialization efforts or initiate steps to cease operations.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spacing w:after="0" w:line="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expect that our existing cash and cash equivalents will be sufficient to fund our current operating plan into the first quarter of 2027. However, our future capital requirements will depend on and could increase significantly as a result of many factors, including:</w:t>
      </w:r>
    </w:p>
    <w:p>
      <w:pPr>
        <w:spacing w:after="0" w:line="51" w:lineRule="exact"/>
        <w:rPr>
          <w:sz w:val="20"/>
          <w:szCs w:val="20"/>
          <w:color w:val="auto"/>
        </w:rPr>
      </w:pPr>
    </w:p>
    <w:p>
      <w:pPr>
        <w:ind w:left="760" w:right="30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51" w:lineRule="exact"/>
        <w:rPr>
          <w:rFonts w:ascii="Times New Roman" w:cs="Times New Roman" w:eastAsia="Times New Roman" w:hAnsi="Times New Roman"/>
          <w:sz w:val="17"/>
          <w:szCs w:val="17"/>
          <w:color w:val="auto"/>
        </w:rPr>
      </w:pPr>
    </w:p>
    <w:p>
      <w:pPr>
        <w:ind w:left="760" w:right="60" w:hanging="378"/>
        <w:spacing w:after="0" w:line="249"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and the costs involved in, obtaining marketing approvals for CAN-2409 in newly diagnosed localized prostate cancer, NSCLC, and borderline resectable pancreatic cancer as well as for CAN-3110 in our initial target indication of recurrent high-grade glioma (HGG) and our other potential product candidates that we may develop;</w:t>
      </w:r>
    </w:p>
    <w:p>
      <w:pPr>
        <w:spacing w:after="0" w:line="65" w:lineRule="exact"/>
        <w:rPr>
          <w:rFonts w:ascii="Times New Roman" w:cs="Times New Roman" w:eastAsia="Times New Roman" w:hAnsi="Times New Roman"/>
          <w:sz w:val="17"/>
          <w:szCs w:val="17"/>
          <w:color w:val="auto"/>
        </w:rPr>
      </w:pPr>
    </w:p>
    <w:p>
      <w:pPr>
        <w:ind w:left="760" w:hanging="378"/>
        <w:spacing w:after="0" w:line="249"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prioritization and number of our research and development programs;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4" w:lineRule="exact"/>
        <w:rPr>
          <w:rFonts w:ascii="Times New Roman" w:cs="Times New Roman" w:eastAsia="Times New Roman" w:hAnsi="Times New Roman"/>
          <w:sz w:val="17"/>
          <w:szCs w:val="17"/>
          <w:color w:val="auto"/>
        </w:rPr>
      </w:pPr>
    </w:p>
    <w:p>
      <w:pPr>
        <w:ind w:left="760" w:right="10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51" w:lineRule="exact"/>
        <w:rPr>
          <w:rFonts w:ascii="Times New Roman" w:cs="Times New Roman" w:eastAsia="Times New Roman" w:hAnsi="Times New Roman"/>
          <w:sz w:val="17"/>
          <w:szCs w:val="17"/>
          <w:color w:val="auto"/>
        </w:rPr>
      </w:pPr>
    </w:p>
    <w:p>
      <w:pPr>
        <w:ind w:left="760" w:right="94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51" w:lineRule="exact"/>
        <w:rPr>
          <w:rFonts w:ascii="Times New Roman" w:cs="Times New Roman" w:eastAsia="Times New Roman" w:hAnsi="Times New Roman"/>
          <w:sz w:val="17"/>
          <w:szCs w:val="17"/>
          <w:color w:val="auto"/>
        </w:rPr>
      </w:pPr>
    </w:p>
    <w:p>
      <w:pPr>
        <w:ind w:left="760" w:right="14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securing manufacturing arrangements for commercial production;</w:t>
      </w:r>
    </w:p>
    <w:p>
      <w:pPr>
        <w:spacing w:after="0" w:line="114" w:lineRule="exact"/>
        <w:rPr>
          <w:rFonts w:ascii="Times New Roman" w:cs="Times New Roman" w:eastAsia="Times New Roman" w:hAnsi="Times New Roman"/>
          <w:sz w:val="17"/>
          <w:szCs w:val="17"/>
          <w:color w:val="auto"/>
        </w:rPr>
      </w:pPr>
    </w:p>
    <w:p>
      <w:pPr>
        <w:ind w:left="760" w:right="82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clinical manufacturing operations through CDMOs;</w:t>
      </w:r>
    </w:p>
    <w:p>
      <w:pPr>
        <w:spacing w:after="0" w:line="114" w:lineRule="exact"/>
        <w:rPr>
          <w:rFonts w:ascii="Times New Roman" w:cs="Times New Roman" w:eastAsia="Times New Roman" w:hAnsi="Times New Roman"/>
          <w:sz w:val="17"/>
          <w:szCs w:val="17"/>
          <w:color w:val="auto"/>
        </w:rPr>
      </w:pPr>
    </w:p>
    <w:p>
      <w:pPr>
        <w:ind w:left="760" w:right="64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8" w:name="page49"/>
    <w:bookmarkEnd w:id="48"/>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future public health crisis, which may exacerbate the magnitude of the factors discussed above.</w:t>
      </w:r>
    </w:p>
    <w:p>
      <w:pPr>
        <w:spacing w:after="0" w:line="11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Disruptions in the financial markets in general have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ind w:right="360"/>
        <w:spacing w:after="0" w:line="244" w:lineRule="auto"/>
        <w:rPr>
          <w:sz w:val="20"/>
          <w:szCs w:val="20"/>
          <w:color w:val="auto"/>
        </w:rPr>
      </w:pPr>
      <w:r>
        <w:rPr>
          <w:rFonts w:ascii="Arial" w:cs="Arial" w:eastAsia="Arial" w:hAnsi="Arial"/>
          <w:sz w:val="17"/>
          <w:szCs w:val="17"/>
          <w:color w:val="auto"/>
        </w:rPr>
        <w:t>If we are unable to obtain adequate funding on a timely basis or on terms acceptable to us, we may be required to revise our business plan and strategy and potentially curtail, delay, or discontinue one or more of our clinical trials, our research efforts, product development, future commercialization efforts or we may be unable to expand our operations or otherwise capitalize on our business opportunities, or we may be required to initiate steps to cease operations. As a result, our business, financial condition and results of operations could be materially affected.</w:t>
      </w:r>
    </w:p>
    <w:p>
      <w:pPr>
        <w:spacing w:after="0" w:line="69"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b w:val="1"/>
          <w:bCs w:val="1"/>
          <w:i w:val="1"/>
          <w:iCs w:val="1"/>
          <w:color w:val="auto"/>
        </w:rPr>
        <w:t>Any future corporate restructuring and the associated headcount reduction may not result in anticipated savings, could result in total costs and expenses that are greater than expected and could disrupt our business.</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November 2023, we undertook an organizational restructuring that significantly reduced our workforce. We may need to undertake another organizational restructuring in the future. We may not realize, in full or in part, the anticipated benefits, savings and improvements in our cost structure from any future restructuring efforts due to unforeseen difficulties, delays or unexpected costs. If we are unable to realize the expected operational efficiencies and cost savings from a restructuring, our operating results and financial condition would be adversely affected. Furthermore, our restructuring plan may be disruptive to our operations. For example, any future headcount reductions could yield unanticipated consequences, such as increased difficulties in implementing our business strategy, including retention of our remaining employees. A future restructuring may lead to employee litigation related to the headcount reduction, which could be costly and prevent management from fully concentrating on the business.</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a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indebtedness, and we may incur additional indebtedness, which could adversely affect our financial condition.</w:t>
      </w:r>
    </w:p>
    <w:p>
      <w:pPr>
        <w:spacing w:after="0" w:line="10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On February 24, 2022, we entered into a loan and security agreement (the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67" w:lineRule="exact"/>
        <w:rPr>
          <w:sz w:val="20"/>
          <w:szCs w:val="20"/>
          <w:color w:val="auto"/>
        </w:rPr>
      </w:pPr>
    </w:p>
    <w:p>
      <w:pPr>
        <w:ind w:left="5520" w:right="4420" w:hanging="5138"/>
        <w:spacing w:after="0" w:line="681" w:lineRule="auto"/>
        <w:tabs>
          <w:tab w:leader="none" w:pos="747"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our vulnerability to adverse general economic and industry conditions;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ind w:left="760" w:right="140" w:hanging="378"/>
        <w:spacing w:after="0" w:line="266" w:lineRule="auto"/>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51" w:lineRule="exact"/>
        <w:rPr>
          <w:rFonts w:ascii="Times New Roman" w:cs="Times New Roman" w:eastAsia="Times New Roman" w:hAnsi="Times New Roman"/>
          <w:sz w:val="17"/>
          <w:szCs w:val="17"/>
          <w:color w:val="auto"/>
        </w:rPr>
      </w:pPr>
    </w:p>
    <w:p>
      <w:pPr>
        <w:ind w:left="760" w:right="240" w:hanging="378"/>
        <w:spacing w:after="0" w:line="266" w:lineRule="auto"/>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5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7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67"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A portion of our outstanding debt under the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69"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and amended in June 2023. We no longer have access to borrow the $5 million of additional aggregate principle per the terms of the Loan Agreement.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8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0" w:name="page51"/>
    <w:bookmarkEnd w:id="50"/>
    <w:p>
      <w:pPr>
        <w:ind w:right="100"/>
        <w:spacing w:after="0" w:line="249" w:lineRule="auto"/>
        <w:rPr>
          <w:sz w:val="20"/>
          <w:szCs w:val="20"/>
          <w:color w:val="auto"/>
        </w:rPr>
      </w:pPr>
      <w:r>
        <w:rPr>
          <w:rFonts w:ascii="Arial" w:cs="Arial" w:eastAsia="Arial" w:hAnsi="Arial"/>
          <w:sz w:val="17"/>
          <w:szCs w:val="17"/>
          <w:color w:val="auto"/>
        </w:rPr>
        <w:t>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48"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256"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Our business is dependent on the success of our most advanced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4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most advanced product candidate.</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 CAN-3110 or any future product candidate, or if CAN-2409, CAN-3110, or any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1" w:name="page52"/>
    <w:bookmarkEnd w:id="51"/>
    <w:p>
      <w:pPr>
        <w:ind w:right="140"/>
        <w:spacing w:after="0" w:line="267" w:lineRule="auto"/>
        <w:rPr>
          <w:sz w:val="20"/>
          <w:szCs w:val="20"/>
          <w:color w:val="auto"/>
        </w:rPr>
      </w:pPr>
      <w:r>
        <w:rPr>
          <w:rFonts w:ascii="Arial" w:cs="Arial" w:eastAsia="Arial" w:hAnsi="Arial"/>
          <w:sz w:val="17"/>
          <w:szCs w:val="17"/>
          <w:color w:val="auto"/>
        </w:rPr>
        <w:t>future product candidate do not receive regulatory approval or fail to achieve significant market acceptance, we would be delayed by many years in our ability to achieve profitability, if ever.</w:t>
      </w:r>
    </w:p>
    <w:p>
      <w:pPr>
        <w:spacing w:after="0" w:line="5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72"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8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to date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recurrent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79"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ind w:right="100"/>
        <w:spacing w:after="0" w:line="236"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7"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4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3"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51" w:lineRule="exact"/>
        <w:rPr>
          <w:rFonts w:ascii="Times New Roman" w:cs="Times New Roman" w:eastAsia="Times New Roman" w:hAnsi="Times New Roman"/>
          <w:sz w:val="17"/>
          <w:szCs w:val="17"/>
          <w:color w:val="auto"/>
        </w:rPr>
      </w:pPr>
    </w:p>
    <w:p>
      <w:pPr>
        <w:ind w:left="1020" w:right="460" w:hanging="503"/>
        <w:spacing w:after="0" w:line="249"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CAN-3110 in recurrent HGG, we made a portfolio and resource decision to prioritize CAN-3110 in recurrent HGG and not to pursue a phase 3 clinical trial of CAN-2409 in HGG.</w:t>
      </w:r>
    </w:p>
    <w:p>
      <w:pPr>
        <w:spacing w:after="0" w:line="74"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102"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spacing w:after="0" w:line="237" w:lineRule="auto"/>
        <w:rPr>
          <w:sz w:val="20"/>
          <w:szCs w:val="20"/>
          <w:color w:val="auto"/>
        </w:rPr>
      </w:pPr>
      <w:r>
        <w:rPr>
          <w:rFonts w:ascii="Arial" w:cs="Arial" w:eastAsia="Arial" w:hAnsi="Arial"/>
          <w:sz w:val="17"/>
          <w:szCs w:val="17"/>
          <w:color w:val="auto"/>
        </w:rPr>
        <w:t>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73"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We have concentrated our research and development efforts on our CAN-2409 and CAN-3110 product candidates, and our future success largely depends on the successful development of these therapeutic approaches.</w:t>
      </w:r>
    </w:p>
    <w:p>
      <w:pPr>
        <w:spacing w:after="0" w:line="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talimogene laherparepvec (Imlygic, Amgen) and nadofaragene firadenovec-vncg (Adstiladrin, Ferring Pharmaceuticals) have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74"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(SoC). As a result, there is substantial risk that the design or outcomes of our clinical trials will not be satisfactory to support marketing approval. For example, the endpoint in our phase 3 clinical trial which investigated CAN-2409 in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4" w:name="page55"/>
    <w:bookmarkEnd w:id="54"/>
    <w:p>
      <w:pPr>
        <w:ind w:right="80"/>
        <w:spacing w:after="0" w:line="239" w:lineRule="auto"/>
        <w:rPr>
          <w:sz w:val="20"/>
          <w:szCs w:val="20"/>
          <w:color w:val="auto"/>
        </w:rPr>
      </w:pPr>
      <w:r>
        <w:rPr>
          <w:rFonts w:ascii="Arial" w:cs="Arial" w:eastAsia="Arial" w:hAnsi="Arial"/>
          <w:sz w:val="17"/>
          <w:szCs w:val="17"/>
          <w:color w:val="auto"/>
        </w:rPr>
        <w:t>prostate cancer was a disease-free survival (DFS) endpoint. While this endpoint has not been utilized in prior trials, it was discussed and agreed by the FDA during the process resulting in the Special Protocol Assessment (SPA). The FDA may change its views on the clinical relevance of this endpoint because of evolving standards of care and contemporary disease management guidelines, or other emerging clinical or scientific information. However, even if this endpoint is accepted as a basis for approval in the United States, we cannot be certain that regulators outside of the United States will accept the endpoint or will not require us to conduct additional validation studies to support the suitability of such endpoints for approval in these jurisdictions.</w:t>
      </w:r>
    </w:p>
    <w:p>
      <w:pPr>
        <w:spacing w:after="0" w:line="74"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7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2"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ind w:right="20"/>
        <w:spacing w:after="0" w:line="239" w:lineRule="auto"/>
        <w:rPr>
          <w:sz w:val="20"/>
          <w:szCs w:val="20"/>
          <w:color w:val="auto"/>
        </w:rPr>
      </w:pPr>
      <w:r>
        <w:rPr>
          <w:rFonts w:ascii="Arial" w:cs="Arial" w:eastAsia="Arial" w:hAnsi="Arial"/>
          <w:sz w:val="17"/>
          <w:szCs w:val="17"/>
          <w:color w:val="auto"/>
        </w:rPr>
        <w:t>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CAN-3110,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79"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trial sites;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patient referral practices of physicians;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patient consents;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reporting of the preliminary results of any of our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4" w:lineRule="exact"/>
        <w:rPr>
          <w:rFonts w:ascii="Times New Roman" w:cs="Times New Roman" w:eastAsia="Times New Roman" w:hAnsi="Times New Roman"/>
          <w:sz w:val="17"/>
          <w:szCs w:val="17"/>
          <w:color w:val="auto"/>
        </w:rPr>
      </w:pPr>
    </w:p>
    <w:p>
      <w:pPr>
        <w:ind w:left="760" w:right="720" w:hanging="378"/>
        <w:spacing w:after="0" w:line="266" w:lineRule="auto"/>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factors we may not be able to control, such as any future public health crisis, that may limit patient participation, hiring of principal investigators or staff or clinical site availability.</w:t>
      </w:r>
    </w:p>
    <w:p>
      <w:pPr>
        <w:spacing w:after="0" w:line="5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76"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b w:val="1"/>
          <w:bCs w:val="1"/>
          <w:i w:val="1"/>
          <w:iCs w:val="1"/>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49"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9" w:lineRule="exact"/>
        <w:rPr>
          <w:sz w:val="20"/>
          <w:szCs w:val="20"/>
          <w:color w:val="auto"/>
        </w:rPr>
      </w:pPr>
    </w:p>
    <w:p>
      <w:pPr>
        <w:ind w:left="760" w:hanging="378"/>
        <w:spacing w:after="0" w:line="249" w:lineRule="auto"/>
        <w:tabs>
          <w:tab w:leader="none" w:pos="7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65" w:lineRule="exact"/>
        <w:rPr>
          <w:rFonts w:ascii="Times New Roman" w:cs="Times New Roman" w:eastAsia="Times New Roman" w:hAnsi="Times New Roman"/>
          <w:sz w:val="17"/>
          <w:szCs w:val="17"/>
          <w:color w:val="auto"/>
        </w:rPr>
      </w:pPr>
    </w:p>
    <w:p>
      <w:pPr>
        <w:ind w:left="760" w:right="480" w:hanging="378"/>
        <w:spacing w:after="0" w:line="266" w:lineRule="auto"/>
        <w:tabs>
          <w:tab w:leader="none" w:pos="76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6" w:name="page57"/>
    <w:bookmarkEnd w:id="56"/>
    <w:p>
      <w:pPr>
        <w:ind w:left="760" w:right="500" w:hanging="378"/>
        <w:spacing w:after="0" w:line="266" w:lineRule="auto"/>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14" w:lineRule="exact"/>
        <w:rPr>
          <w:rFonts w:ascii="Times New Roman" w:cs="Times New Roman" w:eastAsia="Times New Roman" w:hAnsi="Times New Roman"/>
          <w:sz w:val="17"/>
          <w:szCs w:val="17"/>
          <w:color w:val="auto"/>
        </w:rPr>
      </w:pPr>
    </w:p>
    <w:p>
      <w:pPr>
        <w:ind w:left="760" w:right="860" w:hanging="378"/>
        <w:spacing w:after="0" w:line="266" w:lineRule="auto"/>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51" w:lineRule="exact"/>
        <w:rPr>
          <w:rFonts w:ascii="Times New Roman" w:cs="Times New Roman" w:eastAsia="Times New Roman" w:hAnsi="Times New Roman"/>
          <w:sz w:val="17"/>
          <w:szCs w:val="17"/>
          <w:color w:val="auto"/>
        </w:rPr>
      </w:pPr>
    </w:p>
    <w:p>
      <w:pPr>
        <w:ind w:left="760" w:right="160" w:hanging="378"/>
        <w:spacing w:after="0" w:line="266" w:lineRule="auto"/>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publicity concerning our products or competing products and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cost effectiveness;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strategies;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sufficient third-party coverage or reimbursement;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liability claims.</w:t>
      </w:r>
    </w:p>
    <w:p>
      <w:pPr>
        <w:spacing w:after="0" w:line="11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2"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TILT and ImmVira,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7" w:name="page58"/>
    <w:bookmarkEnd w:id="57"/>
    <w:p>
      <w:pPr>
        <w:ind w:right="12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10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5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For example, regulatory authorities may question the clinical relevance of data derived from our clinical trials because of evolving standards of care and contemporary disease management guidelines. It is possible that CAN-2409, CAN-3110 and future product candidates will never obtain the appropriate regulatory approvals necessary for us to commence product sales.</w:t>
      </w:r>
    </w:p>
    <w:p>
      <w:pPr>
        <w:spacing w:after="0" w:line="73"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6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or if the FDA has a different interpretation of the safety data from our clinical trials than we do,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8" w:name="page59"/>
    <w:bookmarkEnd w:id="58"/>
    <w:p>
      <w:pPr>
        <w:ind w:right="20"/>
        <w:spacing w:after="0" w:line="267" w:lineRule="auto"/>
        <w:rPr>
          <w:sz w:val="20"/>
          <w:szCs w:val="20"/>
          <w:color w:val="auto"/>
        </w:rPr>
      </w:pPr>
      <w:r>
        <w:rPr>
          <w:rFonts w:ascii="Arial" w:cs="Arial" w:eastAsia="Arial" w:hAnsi="Arial"/>
          <w:sz w:val="17"/>
          <w:szCs w:val="17"/>
          <w:color w:val="auto"/>
        </w:rPr>
        <w:t>FDA’s or a comparable foreign regulatory authority’s requests for additional data or information could also result in substantial delays in the approval of CAN-2409, CAN-3110 and future product candidates.</w:t>
      </w:r>
    </w:p>
    <w:p>
      <w:pPr>
        <w:spacing w:after="0" w:line="5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6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73"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72"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obtained agreement from the FDA on the design and size of our pivotal phase 3 clinical trial of CAN-2409 in newly diagnosed localized prostate cancer in intermediate- and high-risk patients in combination with the SoC through a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7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subsequently made minor changes to the protocol to include the use of hypofractionated radiotherapy. This change in the protocol was not considered an amendment to the SPA by the FDA.</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 For example, the FDA may change its views on a SPA agreement based on factors such as data that would call into question the clinical relevance of previously agreed-upon efficacy endpoints, identification of safety concerns related to a product or its pharmacologic class, or paradigm shifts in disease diagnosis or management.</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9" w:name="page60"/>
    <w:bookmarkEnd w:id="59"/>
    <w:p>
      <w:pPr>
        <w:ind w:right="140"/>
        <w:spacing w:after="0" w:line="267"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51"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some indications for CAN-2409 and CAN-3110, or if received for any other future product candidates, may not lead to a faster development or regulatory review or approval process, and does not increase the likelihood that our product candidates will receive marketing approval for the designated indications.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(1) the treatment of localized, primary prostate cancer in combination with radiation therapy to improve the local control rate; (2) with valacyclovir in combination with pembrolizumab in order to improve survival or delay progression in patients with stage III/IV NSCLC who are resistant to first line PD-(L)1 inhibitor therapy and who do not have activating molecular driver mutations; and (3) with prodrug (valacyclovir) for the treatment of patients with pancreatic ductal adenocarcinoma (PDAC) to improve overall survival. CAN-3110 was also granted fast track designation for the treatment of patients with recurrent HGG to improve overall survival. We may also seek fast track designation for certain of our future product candidates in specific indications, as appropriate. However, there is no assurance that the FDA will grant this status to our proposed product candidates. Marketing applications filed by sponsors of products in fast track development are eligible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and CAN-3110 or even if we receive fast track designation for our future additional indications for CAN-2409 and CAN-3110, we may not experience a faster development process, review or approval compared to conventional FDA procedures, and receiving a fast track designation does not provide assurance of ultimate FDA approval. In addition, the FDA may withdraw fast track designation at any time if it believes that the designation is no longer supported by data from our clinical development program. Drugs and biologics for indications designated as fast track therapies by the FDA may also be eligible for other expedited programs, including accelerated approval.</w:t>
      </w:r>
    </w:p>
    <w:p>
      <w:pPr>
        <w:spacing w:after="0" w:line="81"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some indications of our product candidates, may not lead to a faster development or regulatory review or approval process and it does not increase the likelihood that our product candidates will receive marketing approval for the designated indications.</w:t>
      </w:r>
    </w:p>
    <w:p>
      <w:pPr>
        <w:spacing w:after="0" w:line="4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for indications designated as breakthrough therapies by the FDA may also be eligible for other expedited approval programs, including accelerated approval.</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Designation as a breakthrough therapy is within the discretion of the FDA, and the FDA has not granted breakthrough therapy designation to any of our product candidates.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the FDA may withdraw breakthrough designation at any time if it believes that the designation is no longer supported by data from our clinical development program. In addition, even if one or more of our product candidate indications qualify as breakthrough therapies, the FDA may later decide that the product no longer meets the conditions for qualification.</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b w:val="1"/>
          <w:bCs w:val="1"/>
          <w:i w:val="1"/>
          <w:iCs w:val="1"/>
          <w:color w:val="auto"/>
        </w:rPr>
        <w:t>We have received orphan drug designation from the FDA for CAN-2409 for the treatment of pancreatic cancer and for CAN-3110 for the treatment of recurrent HGG. We may seek orphan drug designation from regulatory authorities in other jurisdictions for CAN-2409 and CAN-3110, and we may seek orphan drug designation for our other product candidates. In any of these instances, we may not receive the requested designation or we may be unable to realize the benefits associated with orphan drug designation, including the potential for market exclusivity.</w:t>
      </w:r>
    </w:p>
    <w:p>
      <w:pPr>
        <w:spacing w:after="0" w:line="59"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We have received orphan drug designation from the FDA for CAN-2409 for the treatment of pancreatic cancer and for CAN-3110 for the treatment of recurrent HGG. Even if CAN-2409 or CAN-3110 were to obtain orphan drug exclusivity for this use upon marketing approval by the FDA, the benefit of that exclusivity may be revoked if the approval is in an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ind w:right="60"/>
        <w:spacing w:after="0" w:line="238" w:lineRule="auto"/>
        <w:rPr>
          <w:sz w:val="20"/>
          <w:szCs w:val="20"/>
          <w:color w:val="auto"/>
        </w:rPr>
      </w:pPr>
      <w:r>
        <w:rPr>
          <w:rFonts w:ascii="Arial" w:cs="Arial" w:eastAsia="Arial" w:hAnsi="Arial"/>
          <w:sz w:val="17"/>
          <w:szCs w:val="17"/>
          <w:color w:val="auto"/>
        </w:rPr>
        <w:t>indication that is broader than the orphan-designated indication, or exclusivity could be revoked under certain circumstances, for example if the FDA later determines that the request for designation was materially defective or if the sponsor is unable to assure sufficient quantities of the product to meet the needs of patients with the rare disease or condition. Further, orphan drug exclusivity may not effectively protect the product from competition during the exclusivity period because different drugs with different active moieties can be approved for the same condition, and the same product can be approved for different uses. Also, the FDA may grant approval to the same drug for the same orphan indication if the second applicant can establish in its application that its product is safer, more effective or otherwise clinically superior to the previously approved product, or if the application holder of the previously approved product consents.</w:t>
      </w:r>
    </w:p>
    <w:p>
      <w:pPr>
        <w:spacing w:after="0" w:line="74" w:lineRule="exact"/>
        <w:rPr>
          <w:sz w:val="20"/>
          <w:szCs w:val="20"/>
          <w:color w:val="auto"/>
        </w:rPr>
      </w:pPr>
    </w:p>
    <w:p>
      <w:pPr>
        <w:ind w:right="400"/>
        <w:spacing w:after="0" w:line="256"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83"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5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76" w:lineRule="exact"/>
        <w:rPr>
          <w:sz w:val="20"/>
          <w:szCs w:val="20"/>
          <w:color w:val="auto"/>
        </w:rPr>
      </w:pPr>
    </w:p>
    <w:p>
      <w:pPr>
        <w:ind w:left="760" w:right="420" w:hanging="378"/>
        <w:spacing w:after="0" w:line="266" w:lineRule="auto"/>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4" w:lineRule="exact"/>
        <w:rPr>
          <w:rFonts w:ascii="Times New Roman" w:cs="Times New Roman" w:eastAsia="Times New Roman" w:hAnsi="Times New Roman"/>
          <w:sz w:val="17"/>
          <w:szCs w:val="17"/>
          <w:color w:val="auto"/>
        </w:rPr>
      </w:pPr>
    </w:p>
    <w:p>
      <w:pPr>
        <w:ind w:left="760" w:right="580" w:hanging="378"/>
        <w:spacing w:after="0" w:line="266" w:lineRule="auto"/>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52" w:lineRule="exact"/>
        <w:rPr>
          <w:sz w:val="20"/>
          <w:szCs w:val="20"/>
          <w:color w:val="auto"/>
        </w:rPr>
      </w:pPr>
    </w:p>
    <w:p>
      <w:pPr>
        <w:ind w:right="580"/>
        <w:spacing w:after="0" w:line="267"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CAN-2409, CAN-3110 or any product candidate, and we can provide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ind w:right="760"/>
        <w:spacing w:after="0" w:line="267" w:lineRule="auto"/>
        <w:rPr>
          <w:sz w:val="20"/>
          <w:szCs w:val="20"/>
          <w:color w:val="auto"/>
        </w:rPr>
      </w:pPr>
      <w:r>
        <w:rPr>
          <w:rFonts w:ascii="Arial" w:cs="Arial" w:eastAsia="Arial" w:hAnsi="Arial"/>
          <w:sz w:val="17"/>
          <w:szCs w:val="17"/>
          <w:color w:val="auto"/>
        </w:rPr>
        <w:t>no assurance that we will ultimately be successful in obtaining regulatory approval for claims that are necessary or desirable for successful marketing, if at all.</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spacing w:after="0" w:line="79"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personnel, and substantial changes in leadership, personnel, and policy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Disruptions at the FDA and other agencies, including substantial leadership, personnel, and policy changes, may also slow the time necessary for new product candidates to be reviewed and/or approved by necessary government agencies, which would adversely affect our business. For example, over the last several years the U.S. federal government has shut down several times and certain regulatory agencies, such as the FDA and the SEC, have had to furlough critical FDA, SEC and other government employees and stop critical activities. If a prolonged government shutdown or substantial leadership, personnel, and policy changes occur,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 Such changes could significantly impact the ability of the FDA to timely review and take action on our regulatory submissions, which could have a material adverse effect on our business.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spacing w:after="0" w:line="7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With the change in the U.S. presidential administration in 2025, there is substantial uncertainty as to whether and how the new administration will seek to modify or revise the requirements and policies of the FDA and other regulatory agencies with jurisdiction over our product candidates. This uncertainty could present new challenges and/or opportunities as we navigate development of our product candidates. Any delay in obtaining, or our inability to obtain, applicable regulatory approvals would delay or prevent development and commercialization of our product candidates and could materially adversely impact our business and prospects.</w:t>
      </w:r>
    </w:p>
    <w:p>
      <w:pPr>
        <w:spacing w:after="0" w:line="72" w:lineRule="exact"/>
        <w:rPr>
          <w:sz w:val="20"/>
          <w:szCs w:val="20"/>
          <w:color w:val="auto"/>
        </w:rPr>
      </w:pPr>
    </w:p>
    <w:p>
      <w:pPr>
        <w:jc w:val="both"/>
        <w:ind w:right="120"/>
        <w:spacing w:after="0" w:line="280" w:lineRule="auto"/>
        <w:rPr>
          <w:sz w:val="20"/>
          <w:szCs w:val="20"/>
          <w:color w:val="auto"/>
        </w:rPr>
      </w:pPr>
      <w:r>
        <w:rPr>
          <w:rFonts w:ascii="Arial" w:cs="Arial" w:eastAsia="Arial" w:hAnsi="Arial"/>
          <w:sz w:val="17"/>
          <w:szCs w:val="17"/>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3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2" w:name="page63"/>
    <w:bookmarkEnd w:id="62"/>
    <w:p>
      <w:pPr>
        <w:ind w:right="80"/>
        <w:spacing w:after="0" w:line="244" w:lineRule="auto"/>
        <w:rPr>
          <w:sz w:val="20"/>
          <w:szCs w:val="20"/>
          <w:color w:val="auto"/>
        </w:rPr>
      </w:pPr>
      <w:r>
        <w:rPr>
          <w:rFonts w:ascii="Arial" w:cs="Arial" w:eastAsia="Arial" w:hAnsi="Arial"/>
          <w:sz w:val="17"/>
          <w:szCs w:val="17"/>
          <w:color w:val="auto"/>
        </w:rPr>
        <w:t>that we conduct post-approval. For certain commercial prescription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6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7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67"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manufacturing, distribution, or marketing of such products;</w:t>
      </w:r>
    </w:p>
    <w:p>
      <w:pPr>
        <w:spacing w:after="0" w:line="114"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modifications to promotional pieces;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issuance of corrective information;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conduct post-marketing studies or other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or termination of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establish or modify a REMS or similar strategy;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way the product is administered to patients;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liability for harm caused to patients or subjects;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reputational harm;</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becoming less competitive;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warning or untitled letters;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of marketing or withdrawal of the products from the market;</w:t>
      </w:r>
    </w:p>
    <w:p>
      <w:pPr>
        <w:spacing w:after="0" w:line="114" w:lineRule="exact"/>
        <w:rPr>
          <w:rFonts w:ascii="Times New Roman" w:cs="Times New Roman" w:eastAsia="Times New Roman" w:hAnsi="Times New Roman"/>
          <w:sz w:val="17"/>
          <w:szCs w:val="17"/>
          <w:color w:val="auto"/>
        </w:rPr>
      </w:pPr>
    </w:p>
    <w:p>
      <w:pPr>
        <w:ind w:left="760" w:right="600" w:hanging="378"/>
        <w:spacing w:after="0" w:line="266" w:lineRule="auto"/>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recalls of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permit the import or export of our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w:t>
      </w:r>
    </w:p>
    <w:p>
      <w:pPr>
        <w:spacing w:after="0" w:line="114" w:lineRule="exact"/>
        <w:rPr>
          <w:rFonts w:ascii="Times New Roman" w:cs="Times New Roman" w:eastAsia="Times New Roman" w:hAnsi="Times New Roman"/>
          <w:sz w:val="17"/>
          <w:szCs w:val="17"/>
          <w:color w:val="auto"/>
        </w:rPr>
      </w:pPr>
    </w:p>
    <w:p>
      <w:pPr>
        <w:ind w:left="760" w:right="540" w:hanging="378"/>
        <w:spacing w:after="0" w:line="266" w:lineRule="auto"/>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ind w:left="760" w:hanging="378"/>
        <w:spacing w:after="0"/>
        <w:tabs>
          <w:tab w:leader="none" w:pos="76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6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79"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CAN-2409, CAN-3110 or any future product candidates obtains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4" w:name="page65"/>
    <w:bookmarkEnd w:id="64"/>
    <w:p>
      <w:pPr>
        <w:ind w:right="80"/>
        <w:spacing w:after="0" w:line="238" w:lineRule="auto"/>
        <w:rPr>
          <w:sz w:val="20"/>
          <w:szCs w:val="20"/>
          <w:color w:val="auto"/>
        </w:rPr>
      </w:pPr>
      <w:r>
        <w:rPr>
          <w:rFonts w:ascii="Arial" w:cs="Arial" w:eastAsia="Arial" w:hAnsi="Arial"/>
          <w:sz w:val="17"/>
          <w:szCs w:val="17"/>
          <w:color w:val="auto"/>
        </w:rPr>
        <w:t>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74"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authority may not permit us to proceed.</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most advanced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7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5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ind w:right="400"/>
        <w:spacing w:after="0" w:line="267" w:lineRule="auto"/>
        <w:rPr>
          <w:sz w:val="20"/>
          <w:szCs w:val="20"/>
          <w:color w:val="auto"/>
        </w:rPr>
      </w:pPr>
      <w:r>
        <w:rPr>
          <w:rFonts w:ascii="Arial" w:cs="Arial" w:eastAsia="Arial" w:hAnsi="Arial"/>
          <w:sz w:val="17"/>
          <w:szCs w:val="17"/>
          <w:color w:val="auto"/>
        </w:rPr>
        <w:t>candidates, because the potential target populations could be small, we may never achieve profitability without obtaining regulatory approval for additional indications.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on healthcare laws and regulations that may impact our company, see Part I, Item 1 “Business - Health Reform” included in this Annual Report on Form 10-K.</w:t>
      </w:r>
    </w:p>
    <w:p>
      <w:pPr>
        <w:spacing w:after="0" w:line="7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114"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w:t>
      </w:r>
    </w:p>
    <w:p>
      <w:pPr>
        <w:spacing w:after="0" w:line="6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4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114" w:lineRule="exact"/>
        <w:rPr>
          <w:rFonts w:ascii="Times New Roman" w:cs="Times New Roman" w:eastAsia="Times New Roman" w:hAnsi="Times New Roman"/>
          <w:sz w:val="17"/>
          <w:szCs w:val="17"/>
          <w:color w:val="auto"/>
        </w:rPr>
      </w:pPr>
    </w:p>
    <w:p>
      <w:pPr>
        <w:ind w:left="760" w:right="780" w:hanging="378"/>
        <w:spacing w:after="0" w:line="266" w:lineRule="auto"/>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4"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0"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For more information on healthcare laws and regulations that may impact our company, see the section titled Part I, Item 1, “Business - Coverage and Reimbursement” included in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any approved product would depend on a number of factors, including:</w:t>
      </w:r>
    </w:p>
    <w:p>
      <w:pPr>
        <w:spacing w:after="0" w:line="102"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safety and tolerability as demonstrated in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Times New Roman" w:cs="Times New Roman" w:eastAsia="Times New Roman" w:hAnsi="Times New Roman"/>
          <w:sz w:val="17"/>
          <w:szCs w:val="17"/>
          <w:color w:val="auto"/>
        </w:rPr>
      </w:pPr>
    </w:p>
    <w:p>
      <w:pPr>
        <w:ind w:left="760" w:right="380" w:hanging="378"/>
        <w:spacing w:after="0" w:line="266" w:lineRule="auto"/>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relative convenience and ease of administration;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side effects and adverse events;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efforts;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11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0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We expect initially to develop our most advanced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7" w:name="page68"/>
    <w:bookmarkEnd w:id="67"/>
    <w:p>
      <w:pPr>
        <w:ind w:right="300"/>
        <w:spacing w:after="0" w:line="267" w:lineRule="auto"/>
        <w:rPr>
          <w:sz w:val="20"/>
          <w:szCs w:val="20"/>
          <w:color w:val="auto"/>
        </w:rPr>
      </w:pPr>
      <w:r>
        <w:rPr>
          <w:rFonts w:ascii="Arial" w:cs="Arial" w:eastAsia="Arial" w:hAnsi="Arial"/>
          <w:sz w:val="17"/>
          <w:szCs w:val="17"/>
          <w:color w:val="auto"/>
        </w:rPr>
        <w:t>subject to the risks of failure inherent in medical product development. We cannot assure you that we will be able to successfully advance any of these additional product candidates through the development process.</w:t>
      </w:r>
    </w:p>
    <w:p>
      <w:pPr>
        <w:spacing w:after="0" w:line="5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4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 For more information on healthcare laws and regulations that may impact our company, see the section titled Part I, Item 1, “Business - Other Healthcare Laws and Compliance Requirements” included in this annual report on Form 10-K.</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the Health Insurance Portability and Accountability Act (HIPAA), as amended by the Health Information Technology for Economic and Clinical Health Act.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7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67"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(the EEA) or the UK. The GDPR applies to any company established in the EEA or UK as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8" w:name="page69"/>
    <w:bookmarkEnd w:id="68"/>
    <w:p>
      <w:pPr>
        <w:ind w:right="80"/>
        <w:spacing w:after="0" w:line="235" w:lineRule="auto"/>
        <w:rPr>
          <w:sz w:val="20"/>
          <w:szCs w:val="20"/>
          <w:color w:val="auto"/>
        </w:rPr>
      </w:pPr>
      <w:r>
        <w:rPr>
          <w:rFonts w:ascii="Arial" w:cs="Arial" w:eastAsia="Arial" w:hAnsi="Arial"/>
          <w:sz w:val="17"/>
          <w:szCs w:val="17"/>
          <w:color w:val="auto"/>
        </w:rPr>
        <w:t>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relying on a legal basis or condition for the processing of personal data, where required obtaining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77"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in the United States, federal and state governments are increasingly passing stringent privacy laws. At the federal level, failing to take appropriate steps to keep consumers’ personal information secure may constitute unfair acts or practices in or affecting commerce in violation of Section 5(a) of the Federal Trade Commission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Regulators and legislators in the United States are also increasingly scrutinizing and restricting certain personal information transfers and transactions involving foreign countries. For example, the Biden Administration’s executive order “Preventing Access to Americans’ Bulk Sensitive Personal Data and United States Government-Related Data by Countries of Concern” as implemented by Department of Justice regulations issued in December 2024, prohibits data brokerage transactions involving certain sensitive personal information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7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addition, certain state laws govern privacy and security of personal information. For example, in California, the California Consumer Privacy Act (CCPA), which went into effect January 1, 2020, established a comprehensive privacy framework for covered businesses by creating an expanded definition of personal information, established new individual privacy rights for California consumers (as defined in the law) and placed increased privacy and security obligations on entities handling personal data of consumers or households, including by creating a new and potentially severe statutory damages framework for violations of the CCPA and for businesses that fail to implement reasonable security procedures and practices to prevent data breaches. The CCPA requires covered companies to provide certain disclosures to consumers about its data collection, use and sharing practices, and to provide affected California residents with ways to opt-out of certain sales or transfers of personal information. While clinical trial data and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9" w:name="page70"/>
    <w:bookmarkEnd w:id="69"/>
    <w:p>
      <w:pPr>
        <w:ind w:right="160"/>
        <w:spacing w:after="0" w:line="238" w:lineRule="auto"/>
        <w:rPr>
          <w:sz w:val="20"/>
          <w:szCs w:val="20"/>
          <w:color w:val="auto"/>
        </w:rPr>
      </w:pPr>
      <w:r>
        <w:rPr>
          <w:rFonts w:ascii="Arial" w:cs="Arial" w:eastAsia="Arial" w:hAnsi="Arial"/>
          <w:sz w:val="17"/>
          <w:szCs w:val="17"/>
          <w:color w:val="auto"/>
        </w:rPr>
        <w:t>information governed by HIPAA are currently exempt from f the CCPA, other personal information we process may be subject to the law and possible changes to the CCPA may broaden its scope. Additionally, , the California Privacy Rights Act (CPRA) was passed in November 2020 and as of January 1, 2023, has imposed additional obligations on companies covered by the legislation. The CPRA significantly modified the CCPA, including by expanding consumers’ rights with respect to certain sensitive personal information. The CPRA also created a new state agency that is vested with authority to implement and enforce the CCPA. The effects of the CCPA, as amended by the CPRA, may require us to modify our data collection or processing practices and policies and to incur substantial costs and expenses in an effort to comply with the legislation and decrease our potential exposure to regulatory enforcement and/or litigation.</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Similar laws have been passed and proposed in numerous other states.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State laws are changing rapidly and there are discussions in the U.S. Congress of new comprehensive federal data privacy laws to which we could become subject to, if enacted.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74"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51"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b w:val="1"/>
          <w:bCs w:val="1"/>
          <w:i w:val="1"/>
          <w:i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4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may use and integrate artificial intelligence into our business processes. Use of this technology presents risks and challenges that could affect our business. If we enable or use solutions that draw controversy due to perceived or actual negative societal impact, we may experience brand or reputational harm, competitive harm or legal liability.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0" w:name="page71"/>
    <w:bookmarkEnd w:id="70"/>
    <w:p>
      <w:pPr>
        <w:ind w:right="60"/>
        <w:spacing w:after="0" w:line="236" w:lineRule="auto"/>
        <w:rPr>
          <w:sz w:val="20"/>
          <w:szCs w:val="20"/>
          <w:color w:val="auto"/>
        </w:rPr>
      </w:pPr>
      <w:r>
        <w:rPr>
          <w:rFonts w:ascii="Arial" w:cs="Arial" w:eastAsia="Arial" w:hAnsi="Arial"/>
          <w:sz w:val="17"/>
          <w:szCs w:val="17"/>
          <w:color w:val="auto"/>
        </w:rPr>
        <w:t>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Likewise, in the U.S.,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rapid evolution of artificial intelligence will require the application of significant resources to design, develop, test and maintain such systems to help ensure that artificial intelligence is implemented in accordance with applicable law and regulation and in a socially responsible manner and to minimize any real or perceived unintended harmful impacts. The use of certain artificial intelligence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76"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 public health crisis may cause substantial disruption in the financial markets and may adversely impact economies worldwide, both of which could result in adverse effects on our business, operations and ability to raise capital.</w:t>
      </w:r>
    </w:p>
    <w:p>
      <w:pPr>
        <w:spacing w:after="0" w:line="5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71" w:name="page72"/>
    <w:bookmarkEnd w:id="71"/>
    <w:p>
      <w:pPr>
        <w:ind w:right="120"/>
        <w:spacing w:after="0" w:line="267" w:lineRule="auto"/>
        <w:rPr>
          <w:sz w:val="20"/>
          <w:szCs w:val="20"/>
          <w:color w:val="auto"/>
        </w:rPr>
      </w:pPr>
      <w:r>
        <w:rPr>
          <w:rFonts w:ascii="Arial" w:cs="Arial" w:eastAsia="Arial" w:hAnsi="Arial"/>
          <w:sz w:val="17"/>
          <w:szCs w:val="17"/>
          <w:color w:val="auto"/>
        </w:rPr>
        <w:t>CDMOs, researchers and investigators, regulatory agency personnel and logistics providers, all of which may in the future be adversely affected by any future public health crisis.</w:t>
      </w:r>
    </w:p>
    <w:p>
      <w:pPr>
        <w:spacing w:after="0" w:line="5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69"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 On December 11, 2023, Jason A. Amello resigned from his position as our Chief Financial Officer, principal financial officer and principal accounting officer, effective January 12, 2024. Mr. Amello will remain an advisor to us in order to support the transition of his responsibilities. On January 12, 2024, our board of directors unanimously appointed Charles Schoch as the Company’s interim Chief Financial Officer, principal financial officer and principal accounting officer, effective January 12, 2024.</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79"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102" w:lineRule="exact"/>
        <w:rPr>
          <w:sz w:val="20"/>
          <w:szCs w:val="20"/>
          <w:color w:val="auto"/>
        </w:rPr>
      </w:pPr>
    </w:p>
    <w:p>
      <w:pPr>
        <w:jc w:val="both"/>
        <w:ind w:right="480"/>
        <w:spacing w:after="0" w:line="244"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2" w:name="page73"/>
    <w:bookmarkEnd w:id="72"/>
    <w:p>
      <w:pPr>
        <w:spacing w:after="0" w:line="236" w:lineRule="auto"/>
        <w:rPr>
          <w:sz w:val="20"/>
          <w:szCs w:val="20"/>
          <w:color w:val="auto"/>
        </w:rPr>
      </w:pPr>
      <w:r>
        <w:rPr>
          <w:rFonts w:ascii="Arial" w:cs="Arial" w:eastAsia="Arial" w:hAnsi="Arial"/>
          <w:sz w:val="17"/>
          <w:szCs w:val="17"/>
          <w:color w:val="auto"/>
        </w:rPr>
        <w:t>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9"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cybersecurity incidents or data breaches, which could result in a material disruption of our product candidates’ development programs.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data breach or cybersecurity incident were to result in a loss of or damage to our data or applications, or inappropriate disclosure of personal, confidential or proprietary information, we could incur liability and the further development of any of our product candidates could be delayed. Our contracts may not contain limitations of liability, and even where they do, there can be no assurance that limitations of liability in our contracts are sufficient to protect us from liabilities, damages, or claims related to our privacy and data security obligations. In addition, our liability and cyber insurance may not be sufficient in type or amount to cover us against claims related to cybersecurity incidents, cyber-attacks or other related liabilities, including data breaches.</w:t>
      </w:r>
    </w:p>
    <w:p>
      <w:pPr>
        <w:spacing w:after="0" w:line="7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may also be carried out by employees or contractors unwittingly or acting with malicious intent. Cyber-attacks include deployment of harmful malware and key loggers, ransomware, denial-of-service attacks, malicious websites,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breach or cybersecurity incident. Our business partners face similar risks, and any cybersecurity incident or data breach related to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a cyber attack is increased with employees working remotely. Remote work increases the risk we may be vulnerable to cybersecurity-related events such as phishing attacks and other security threats.</w:t>
      </w:r>
    </w:p>
    <w:p>
      <w:pPr>
        <w:spacing w:after="0" w:line="16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Like other companies in our industry, we, and our third party vendors, have experienced threats and cybersecurity incidents relating to our information technology systems and infrastructure. 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data breach, industrial espionage attacks or insider threat attacks which could result in financial, legal, business or reputational harm.</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If a cybersecurity incident or data breach related to our information technology systems or those of our vendors occurs, the market perception of the effectiveness of our cybersecurity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required to notify relevant stakeholders (including affected individuals, investors and regulators). We could also be subject to regulatory actions and/or claims made by individuals and groups in private litigation involving privacy issues related to data collection and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3" w:name="page74"/>
    <w:bookmarkEnd w:id="73"/>
    <w:p>
      <w:pPr>
        <w:ind w:right="600"/>
        <w:spacing w:after="0" w:line="267" w:lineRule="auto"/>
        <w:rPr>
          <w:sz w:val="20"/>
          <w:szCs w:val="20"/>
          <w:color w:val="auto"/>
        </w:rPr>
      </w:pPr>
      <w:r>
        <w:rPr>
          <w:rFonts w:ascii="Arial" w:cs="Arial" w:eastAsia="Arial" w:hAnsi="Arial"/>
          <w:sz w:val="17"/>
          <w:szCs w:val="17"/>
          <w:color w:val="auto"/>
        </w:rPr>
        <w:t>use practices and other data privacy laws and regulations, including claims for misuse or inappropriate disclosure of data, as well as unfair or deceptive practices.</w:t>
      </w:r>
    </w:p>
    <w:p>
      <w:pPr>
        <w:spacing w:after="0" w:line="13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3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 launched an attack on Israel, and Israel declared war on Hamas, with the armed conflict ongoing as of the date of this filing.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6"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49" w:lineRule="exact"/>
        <w:rPr>
          <w:sz w:val="20"/>
          <w:szCs w:val="20"/>
          <w:color w:val="auto"/>
        </w:rPr>
      </w:pPr>
    </w:p>
    <w:p>
      <w:pPr>
        <w:jc w:val="both"/>
        <w:ind w:right="260"/>
        <w:spacing w:after="0" w:line="244" w:lineRule="auto"/>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p>
      <w:pPr>
        <w:ind w:right="540"/>
        <w:spacing w:after="0" w:line="267" w:lineRule="auto"/>
        <w:rPr>
          <w:sz w:val="20"/>
          <w:szCs w:val="20"/>
          <w:color w:val="auto"/>
        </w:rPr>
      </w:pPr>
      <w:r>
        <w:rPr>
          <w:rFonts w:ascii="Arial" w:cs="Arial" w:eastAsia="Arial" w:hAnsi="Arial"/>
          <w:sz w:val="17"/>
          <w:szCs w:val="17"/>
          <w:color w:val="auto"/>
        </w:rPr>
        <w:t>periodic reports in addition to applicable stock exchange listing requirements, investors may lose confidence in our financial reporting, and the market price of our common stock may decline as a result.</w:t>
      </w:r>
    </w:p>
    <w:p>
      <w:pPr>
        <w:spacing w:after="0" w:line="51"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3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76"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impairment of our business reputation or financial stability;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costs of related litigation;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 or other claimants;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attention;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negative media attention;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decreases in our stock price;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and enforcement actions by regulators;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5" w:name="page76"/>
    <w:bookmarkEnd w:id="75"/>
    <w:p>
      <w:pPr>
        <w:spacing w:after="0" w:line="236"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76"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74"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6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Part I, Item 1 “Business – Other Healthcare Laws and Compliance Requirements.”</w:t>
      </w:r>
    </w:p>
    <w:p>
      <w:pPr>
        <w:spacing w:after="0" w:line="76"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6" w:name="page77"/>
    <w:bookmarkEnd w:id="76"/>
    <w:p>
      <w:pPr>
        <w:jc w:val="both"/>
        <w:ind w:right="20"/>
        <w:spacing w:after="0" w:line="249" w:lineRule="auto"/>
        <w:rPr>
          <w:sz w:val="20"/>
          <w:szCs w:val="20"/>
          <w:color w:val="auto"/>
        </w:rPr>
      </w:pPr>
      <w:r>
        <w:rPr>
          <w:rFonts w:ascii="Arial" w:cs="Arial" w:eastAsia="Arial" w:hAnsi="Arial"/>
          <w:sz w:val="17"/>
          <w:szCs w:val="17"/>
          <w:color w:val="auto"/>
        </w:rPr>
        <w:t>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67"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6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the 2024 Follow-On Offering, the initial public offering (IPO), and other transactions that have occurred over the past three years, we may have experienced, an “ownership change.” We may also experience ownership changes in the future as a result of subsequent shifts in our stock ownership. As of December 31, 2024, we had U.S. federal and state net operating loss carryforwards of $111.6 million and $101.9 million, which begin to expire in 2028 and 2033,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2024, we had a U.S. federal net operating loss carryforward of $102.8 million which do not expire but is limited to an annual deduction equal to 80% of annual taxable income.</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4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ind w:right="100"/>
        <w:spacing w:after="0" w:line="239" w:lineRule="auto"/>
        <w:rPr>
          <w:sz w:val="20"/>
          <w:szCs w:val="20"/>
          <w:color w:val="auto"/>
        </w:rPr>
      </w:pPr>
      <w:r>
        <w:rPr>
          <w:rFonts w:ascii="Arial" w:cs="Arial" w:eastAsia="Arial" w:hAnsi="Arial"/>
          <w:sz w:val="17"/>
          <w:szCs w:val="17"/>
          <w:color w:val="auto"/>
        </w:rPr>
        <w:t>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 For more information, see Part I, Item 1 "Business - Coverage and Reimbursement."</w:t>
      </w:r>
    </w:p>
    <w:p>
      <w:pPr>
        <w:spacing w:after="0" w:line="7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8" w:name="page79"/>
    <w:bookmarkEnd w:id="78"/>
    <w:p>
      <w:pPr>
        <w:spacing w:after="0" w:line="235"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March 15, 2024, we notified Dr. Aguilar-Cordova that we had uncovered that, during his tenure as Chief Executive Officer and possibly his tenure as Chief Scientific Officer, he allegedly (i) instructed company personnel to falsify sterility testing results that were submitted to the FDA for CAN-2409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 determined that trial participants who were dosed with CAN-2409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 Dr. Aguilar-Cordova’s term as a director of the Company expired at our 2024 annual meeting of stockholders held on June 26, 2024.</w:t>
      </w:r>
    </w:p>
    <w:p>
      <w:pPr>
        <w:spacing w:after="0" w:line="7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For certain product candidates, we depend, or will depend, on development and commercialization collaborators to develop and conduct clinical trials with, obtain regulatory approvals for, and if approved, market and sell product candidates. If such collaborators fail to perform as expected, the potential for us to generate future revenue from such product candidates would be significantly reduced and our business would be harmed.</w:t>
      </w:r>
    </w:p>
    <w:p>
      <w:pPr>
        <w:spacing w:after="0" w:line="5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t>by collaborators, or caused by other collaboration contract obligations, may result in a delay of our ability to disclose data.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114" w:lineRule="exact"/>
        <w:rPr>
          <w:rFonts w:ascii="Times New Roman" w:cs="Times New Roman" w:eastAsia="Times New Roman" w:hAnsi="Times New Roman"/>
          <w:sz w:val="17"/>
          <w:szCs w:val="17"/>
          <w:color w:val="auto"/>
        </w:rPr>
      </w:pPr>
    </w:p>
    <w:p>
      <w:pPr>
        <w:ind w:left="1020" w:right="40" w:hanging="503"/>
        <w:spacing w:after="0" w:line="243"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ind w:right="320"/>
        <w:spacing w:after="0" w:line="280"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p>
    <w:p>
      <w:pPr>
        <w:spacing w:after="0" w:line="30"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51"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scope of any reporting obligations;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5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5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4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7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would likely occur, which could negatively impact our ability to meet our expected clinical development timelines and harm our business, financial condition and prospects.</w:t>
      </w:r>
    </w:p>
    <w:p>
      <w:pPr>
        <w:spacing w:after="0" w:line="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countries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7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1" w:name="page82"/>
    <w:bookmarkEnd w:id="81"/>
    <w:p>
      <w:pPr>
        <w:ind w:right="180"/>
        <w:spacing w:after="0" w:line="267" w:lineRule="auto"/>
        <w:rPr>
          <w:sz w:val="20"/>
          <w:szCs w:val="20"/>
          <w:color w:val="auto"/>
        </w:rPr>
      </w:pPr>
      <w:r>
        <w:rPr>
          <w:rFonts w:ascii="Arial" w:cs="Arial" w:eastAsia="Arial" w:hAnsi="Arial"/>
          <w:sz w:val="17"/>
          <w:szCs w:val="17"/>
          <w:color w:val="auto"/>
        </w:rPr>
        <w:t>obtain, or may be delayed in obtaining, marketing approvals for our product candidates. If that occurs, we will not be able to, or may be delayed in our efforts to, successfully commercialize our product candidates.</w:t>
      </w:r>
    </w:p>
    <w:p>
      <w:pPr>
        <w:spacing w:after="0" w:line="5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4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CAN-2409. We may develop clinical manufacturing capabilities for CAN-3110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spacing w:after="0" w:line="74"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82" w:name="page83"/>
    <w:bookmarkEnd w:id="82"/>
    <w:p>
      <w:pPr>
        <w:ind w:right="140"/>
        <w:spacing w:after="0" w:line="239" w:lineRule="auto"/>
        <w:rPr>
          <w:sz w:val="20"/>
          <w:szCs w:val="20"/>
          <w:color w:val="auto"/>
        </w:rPr>
      </w:pPr>
      <w:r>
        <w:rPr>
          <w:rFonts w:ascii="Arial" w:cs="Arial" w:eastAsia="Arial" w:hAnsi="Arial"/>
          <w:sz w:val="17"/>
          <w:szCs w:val="17"/>
          <w:color w:val="auto"/>
        </w:rPr>
        <w:t>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7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7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There are also current geopolitical tensions with China that may affect our operations. For example, there have been Congressional legislative proposals, such as the bill titled the BIOSECURE Act, which would, among other things, prohibit U.S. federal funding in connection with biotechnology equipment or services produced or provided by certain named Chinese “biotechnology companies of concern” (which includes WuXi Biologics) and loans and grants to, and federal contracts with any entity that uses biotechnology equipment or services from one of these entities. Any additional executive action, legislative action or potential sanctions with China could materially impact one of our current partners, WuXi, and our agreement with them as it relates to our stability testing. We continue to assess the legislation as it develops to determine the effect, if any, on our contractual relationships.</w:t>
      </w:r>
    </w:p>
    <w:p>
      <w:pPr>
        <w:spacing w:after="0" w:line="7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3" w:name="page84"/>
    <w:bookmarkEnd w:id="83"/>
    <w:p>
      <w:pPr>
        <w:ind w:right="80"/>
        <w:spacing w:after="0" w:line="234"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8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spacing w:after="0" w:line="72"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74"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color w:val="auto"/>
        </w:rPr>
        <w:t>In connection with the IPO, we adopted a written related-person transactions policy that sets forth our policies and procedures regarding the identification, review, consideration and oversight of related-person transactions.</w:t>
      </w:r>
    </w:p>
    <w:p>
      <w:pPr>
        <w:spacing w:after="0" w:line="5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74"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4" w:name="page85"/>
    <w:bookmarkEnd w:id="84"/>
    <w:p>
      <w:pPr>
        <w:ind w:right="140"/>
        <w:spacing w:after="0" w:line="241" w:lineRule="auto"/>
        <w:rPr>
          <w:sz w:val="20"/>
          <w:szCs w:val="20"/>
          <w:color w:val="auto"/>
        </w:rPr>
      </w:pPr>
      <w:r>
        <w:rPr>
          <w:rFonts w:ascii="Arial" w:cs="Arial" w:eastAsia="Arial" w:hAnsi="Arial"/>
          <w:sz w:val="17"/>
          <w:szCs w:val="17"/>
          <w:color w:val="auto"/>
        </w:rPr>
        <w:t>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7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4"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5" w:name="page86"/>
    <w:bookmarkEnd w:id="85"/>
    <w:p>
      <w:pPr>
        <w:ind w:right="480"/>
        <w:spacing w:after="0" w:line="267" w:lineRule="auto"/>
        <w:rPr>
          <w:sz w:val="20"/>
          <w:szCs w:val="20"/>
          <w:color w:val="auto"/>
        </w:rPr>
      </w:pPr>
      <w:r>
        <w:rPr>
          <w:rFonts w:ascii="Arial" w:cs="Arial" w:eastAsia="Arial" w:hAnsi="Arial"/>
          <w:sz w:val="17"/>
          <w:szCs w:val="17"/>
          <w:color w:val="auto"/>
        </w:rPr>
        <w:t>the affected product candidates and technology. Any of the foregoing could have a material adverse effect on our business, financial condition, results of operations and prospects.</w:t>
      </w:r>
    </w:p>
    <w:p>
      <w:pPr>
        <w:spacing w:after="0" w:line="51"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7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72"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Our business depends in large part on obtaining and maintaining patent, trademark and trade secret protection of our proprietary technologies and our product candidates, including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clinical trials, the period of time during which we could market our product candidates under patent protection would be reduced.</w:t>
      </w:r>
    </w:p>
    <w:p>
      <w:pPr>
        <w:spacing w:after="0" w:line="10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5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6"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7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included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For example, the United States Supreme Court has ruled on several recent patent cases, either narrowing the scope of patent protection available in certain circumstances or weakening the rights of patent owners in certain situations. While we do not believe that any of our patents will be found invalid based on these or other decisions, we cannot predict how future decisions by the courts, the U.S. Congress or the USPTO may impact the value of our patents. Furthermore, in 2022,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that it will not affect our patent strategy in the long run.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78"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7" w:name="page88"/>
    <w:bookmarkEnd w:id="87"/>
    <w:p>
      <w:pPr>
        <w:ind w:right="40"/>
        <w:spacing w:after="0" w:line="238" w:lineRule="auto"/>
        <w:rPr>
          <w:sz w:val="20"/>
          <w:szCs w:val="20"/>
          <w:color w:val="auto"/>
        </w:rPr>
      </w:pPr>
      <w:r>
        <w:rPr>
          <w:rFonts w:ascii="Arial" w:cs="Arial" w:eastAsia="Arial" w:hAnsi="Arial"/>
          <w:sz w:val="17"/>
          <w:szCs w:val="17"/>
          <w:color w:val="auto"/>
        </w:rPr>
        <w:t>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have opted out of the UPC for our European patents and applications and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73"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1020" w:right="14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others may circumvent our owned or in-licensed patents;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8" w:name="page89"/>
    <w:bookmarkEnd w:id="88"/>
    <w:p>
      <w:pPr>
        <w:ind w:left="1020" w:right="16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5"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51" w:lineRule="exact"/>
        <w:rPr>
          <w:rFonts w:ascii="Times New Roman" w:cs="Times New Roman" w:eastAsia="Times New Roman" w:hAnsi="Times New Roman"/>
          <w:sz w:val="17"/>
          <w:szCs w:val="17"/>
          <w:color w:val="auto"/>
        </w:rPr>
      </w:pPr>
    </w:p>
    <w:p>
      <w:pPr>
        <w:jc w:val="both"/>
        <w:ind w:left="1020" w:right="540" w:hanging="503"/>
        <w:spacing w:after="0" w:line="249"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 xml:space="preserve">We may enter into license or other collaboration agreements in the future that may impose certain obligations on </w:t>
      </w:r>
      <w:r>
        <w:rPr>
          <w:rFonts w:ascii="Arial" w:cs="Arial" w:eastAsia="Arial" w:hAnsi="Arial"/>
          <w:sz w:val="17"/>
          <w:szCs w:val="17"/>
          <w:b w:val="1"/>
          <w:bCs w:val="1"/>
          <w:color w:val="auto"/>
        </w:rPr>
        <w:t>us. If we fail to comply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with our obligations under such future agreements with third parties, we could lose license rights that may be important to our future business.</w:t>
      </w:r>
    </w:p>
    <w:p>
      <w:pPr>
        <w:spacing w:after="0" w:line="4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possible that the licensors’ infringement proceeding or defense activities may be less vigorous than had we conducted them ourselves.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0" w:name="page91"/>
    <w:bookmarkEnd w:id="90"/>
    <w:p>
      <w:pPr>
        <w:ind w:left="1020" w:right="320" w:hanging="503"/>
        <w:spacing w:after="0" w:line="266" w:lineRule="auto"/>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51" w:lineRule="exact"/>
        <w:rPr>
          <w:rFonts w:ascii="Times New Roman" w:cs="Times New Roman" w:eastAsia="Times New Roman" w:hAnsi="Times New Roman"/>
          <w:sz w:val="17"/>
          <w:szCs w:val="17"/>
          <w:color w:val="auto"/>
        </w:rPr>
      </w:pPr>
    </w:p>
    <w:p>
      <w:pPr>
        <w:ind w:left="1020" w:right="80" w:hanging="503"/>
        <w:spacing w:after="0" w:line="249" w:lineRule="auto"/>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5"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5"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2" w:lineRule="exact"/>
        <w:rPr>
          <w:sz w:val="20"/>
          <w:szCs w:val="20"/>
          <w:color w:val="auto"/>
        </w:rPr>
      </w:pPr>
    </w:p>
    <w:p>
      <w:pPr>
        <w:jc w:val="both"/>
        <w:ind w:right="320"/>
        <w:spacing w:after="0" w:line="28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7"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1" w:name="page92"/>
    <w:bookmarkEnd w:id="91"/>
    <w:p>
      <w:pPr>
        <w:ind w:right="240"/>
        <w:spacing w:after="0" w:line="241" w:lineRule="auto"/>
        <w:rPr>
          <w:sz w:val="20"/>
          <w:szCs w:val="20"/>
          <w:color w:val="auto"/>
        </w:rPr>
      </w:pPr>
      <w:r>
        <w:rPr>
          <w:rFonts w:ascii="Arial" w:cs="Arial" w:eastAsia="Arial" w:hAnsi="Arial"/>
          <w:sz w:val="17"/>
          <w:szCs w:val="17"/>
          <w:color w:val="auto"/>
        </w:rPr>
        <w:t>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2"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02"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2" w:name="page93"/>
    <w:bookmarkEnd w:id="92"/>
    <w:p>
      <w:pPr>
        <w:ind w:right="40"/>
        <w:spacing w:after="0" w:line="244" w:lineRule="auto"/>
        <w:rPr>
          <w:sz w:val="20"/>
          <w:szCs w:val="20"/>
          <w:color w:val="auto"/>
        </w:rPr>
      </w:pPr>
      <w:r>
        <w:rPr>
          <w:rFonts w:ascii="Arial" w:cs="Arial" w:eastAsia="Arial" w:hAnsi="Arial"/>
          <w:sz w:val="17"/>
          <w:szCs w:val="17"/>
          <w:color w:val="auto"/>
        </w:rPr>
        <w:t>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69" w:lineRule="exact"/>
        <w:rPr>
          <w:sz w:val="20"/>
          <w:szCs w:val="20"/>
          <w:color w:val="auto"/>
        </w:rPr>
      </w:pPr>
    </w:p>
    <w:p>
      <w:pPr>
        <w:ind w:right="760"/>
        <w:spacing w:after="0" w:line="28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 xml:space="preserve">ex-parte </w:t>
      </w:r>
      <w:r>
        <w:rPr>
          <w:rFonts w:ascii="Arial" w:cs="Arial" w:eastAsia="Arial" w:hAnsi="Arial"/>
          <w:sz w:val="17"/>
          <w:szCs w:val="17"/>
          <w:color w:val="auto"/>
        </w:rPr>
        <w:t>re-examination,</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or post-grant review proceeding. These proceedings are expensive and may consume our time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3" w:name="page94"/>
    <w:bookmarkEnd w:id="93"/>
    <w:p>
      <w:pPr>
        <w:ind w:right="140"/>
        <w:spacing w:after="0" w:line="239" w:lineRule="auto"/>
        <w:rPr>
          <w:sz w:val="20"/>
          <w:szCs w:val="20"/>
          <w:color w:val="auto"/>
        </w:rPr>
      </w:pPr>
      <w:r>
        <w:rPr>
          <w:rFonts w:ascii="Arial" w:cs="Arial" w:eastAsia="Arial" w:hAnsi="Arial"/>
          <w:sz w:val="17"/>
          <w:szCs w:val="17"/>
          <w:color w:val="auto"/>
        </w:rPr>
        <w:t>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4"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 or could expire before the first product achieves marketing approval.</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9"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2045,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4" w:name="page95"/>
    <w:bookmarkEnd w:id="94"/>
    <w:p>
      <w:pPr>
        <w:ind w:right="720"/>
        <w:spacing w:after="0" w:line="267" w:lineRule="auto"/>
        <w:rPr>
          <w:sz w:val="20"/>
          <w:szCs w:val="20"/>
          <w:color w:val="auto"/>
        </w:rPr>
      </w:pPr>
      <w:r>
        <w:rPr>
          <w:rFonts w:ascii="Arial" w:cs="Arial" w:eastAsia="Arial" w:hAnsi="Arial"/>
          <w:sz w:val="17"/>
          <w:szCs w:val="17"/>
          <w:color w:val="auto"/>
        </w:rPr>
        <w:t>commercially meaningful. Accordingly, our efforts to enforce our intellectual property rights around the world may be inadequate to obtain a significant commercial advantage from the intellectual property that we develop or license.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4" w:lineRule="exact"/>
        <w:rPr>
          <w:sz w:val="20"/>
          <w:szCs w:val="20"/>
          <w:color w:val="auto"/>
        </w:rPr>
      </w:pPr>
    </w:p>
    <w:p>
      <w:pPr>
        <w:ind w:right="82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0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69"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114" w:lineRule="exact"/>
        <w:rPr>
          <w:rFonts w:ascii="Times New Roman" w:cs="Times New Roman" w:eastAsia="Times New Roman" w:hAnsi="Times New Roman"/>
          <w:sz w:val="17"/>
          <w:szCs w:val="17"/>
          <w:color w:val="auto"/>
        </w:rPr>
      </w:pPr>
    </w:p>
    <w:p>
      <w:pPr>
        <w:ind w:left="1020" w:right="860" w:hanging="503"/>
        <w:spacing w:after="0" w:line="266" w:lineRule="auto"/>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5" w:name="page96"/>
    <w:bookmarkEnd w:id="95"/>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expiration of market stand-off or lock-up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the other factors described in this “Risk Factors” section.</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As of March 6, 2025, we have sold and issued 2,976,391 shares of common stock under the ATM Program, with total net proceeds of $16.2 million. Any sale or issuance of securities pursuant to this registration statement or otherwise may result in dilution to our stockholders and may cause our stock price to decline. During a portion of the year ended December 31, 2024, we were subject to the SEC’s “baby shelf rules,” which prohibit companies with a public float of less than $75.0 million from issuing securities under a shelf registration statement in excess of one third of such company’s public float in a 12-month period, and we were only able to issue a limited number of shares which aggregate to no more than one-third of our public float using our Shelf. On April 4, 2024, our public float increased above $75.0 million, and as a result, we are no longer subject to the “baby shelf rules.” If our public float is less than $75.0 million on the applicable measurement date in the future, we will again become subject to the baby shelf rules. Although alternative public and private transaction structures may be available, these may require additional time and cost, may impose operational restrictions on us, and may not be available on attractive terms.</w:t>
      </w:r>
    </w:p>
    <w:p>
      <w:pPr>
        <w:spacing w:after="0" w:line="81"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4" w:lineRule="exact"/>
        <w:rPr>
          <w:sz w:val="20"/>
          <w:szCs w:val="20"/>
          <w:color w:val="auto"/>
        </w:rPr>
      </w:pPr>
    </w:p>
    <w:p>
      <w:pPr>
        <w:ind w:right="620"/>
        <w:spacing w:after="0" w:line="280"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6" w:name="page97"/>
    <w:bookmarkEnd w:id="96"/>
    <w:p>
      <w:pPr>
        <w:ind w:right="160"/>
        <w:spacing w:after="0" w:line="280" w:lineRule="auto"/>
        <w:rPr>
          <w:sz w:val="20"/>
          <w:szCs w:val="20"/>
          <w:color w:val="auto"/>
        </w:rPr>
      </w:pPr>
      <w:r>
        <w:rPr>
          <w:rFonts w:ascii="Arial" w:cs="Arial" w:eastAsia="Arial" w:hAnsi="Arial"/>
          <w:sz w:val="17"/>
          <w:szCs w:val="17"/>
          <w:b w:val="1"/>
          <w:bCs w:val="1"/>
          <w:i w:val="1"/>
          <w:iCs w:val="1"/>
          <w:color w:val="auto"/>
        </w:rPr>
        <w:t>ourselves of reduced disclosure requirements applicable to emerging growth companies and smaller reporting companies, which could make our common stock less attractive to investors and adversely affect the market price of our common stock.</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31,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4"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4" w:lineRule="exact"/>
        <w:rPr>
          <w:rFonts w:ascii="Times New Roman" w:cs="Times New Roman" w:eastAsia="Times New Roman" w:hAnsi="Times New Roman"/>
          <w:sz w:val="17"/>
          <w:szCs w:val="17"/>
          <w:color w:val="auto"/>
        </w:rPr>
      </w:pPr>
    </w:p>
    <w:p>
      <w:pPr>
        <w:ind w:left="1020" w:right="40" w:hanging="503"/>
        <w:spacing w:after="0" w:line="249" w:lineRule="auto"/>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5" w:lineRule="exact"/>
        <w:rPr>
          <w:rFonts w:ascii="Times New Roman" w:cs="Times New Roman" w:eastAsia="Times New Roman" w:hAnsi="Times New Roman"/>
          <w:sz w:val="17"/>
          <w:szCs w:val="17"/>
          <w:color w:val="auto"/>
        </w:rPr>
      </w:pPr>
    </w:p>
    <w:p>
      <w:pPr>
        <w:jc w:val="both"/>
        <w:ind w:left="1020" w:right="560" w:hanging="503"/>
        <w:spacing w:after="0" w:line="266" w:lineRule="auto"/>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52" w:lineRule="exact"/>
        <w:rPr>
          <w:sz w:val="20"/>
          <w:szCs w:val="20"/>
          <w:color w:val="auto"/>
        </w:rPr>
      </w:pPr>
    </w:p>
    <w:p>
      <w:pPr>
        <w:jc w:val="both"/>
        <w:ind w:right="100"/>
        <w:spacing w:after="0" w:line="239" w:lineRule="auto"/>
        <w:rPr>
          <w:sz w:val="20"/>
          <w:szCs w:val="20"/>
          <w:color w:val="auto"/>
        </w:rPr>
      </w:pPr>
      <w:r>
        <w:rPr>
          <w:rFonts w:ascii="Arial" w:cs="Arial" w:eastAsia="Arial" w:hAnsi="Arial"/>
          <w:sz w:val="17"/>
          <w:szCs w:val="17"/>
          <w:color w:val="auto"/>
        </w:rPr>
        <w:t>We may choose to take advantage of some, but not all, of the available exemptions. For example, we have taken advantage of reduced reporting burdens in this Annual Report on Form 10-K. In particular, we have provided only two years of audited financial statements and a correspondingly reduced “Management’s Discussion and Analysis of Financial Condition and Results of Operations” disclosure, and we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69"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generally accepted accounting principles (GAAP)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97" w:name="page98"/>
    <w:bookmarkEnd w:id="97"/>
    <w:p>
      <w:pPr>
        <w:ind w:right="260"/>
        <w:spacing w:after="0" w:line="249" w:lineRule="auto"/>
        <w:rPr>
          <w:sz w:val="20"/>
          <w:szCs w:val="20"/>
          <w:color w:val="auto"/>
        </w:rPr>
      </w:pPr>
      <w:r>
        <w:rPr>
          <w:rFonts w:ascii="Arial" w:cs="Arial" w:eastAsia="Arial" w:hAnsi="Arial"/>
          <w:sz w:val="17"/>
          <w:szCs w:val="17"/>
          <w:color w:val="auto"/>
        </w:rPr>
        <w:t>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67"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79"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March 6, 2025, we had a total of 47,235,460 shares of common stock outstanding.</w:t>
      </w:r>
    </w:p>
    <w:p>
      <w:pPr>
        <w:spacing w:after="0" w:line="5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8" w:name="page99"/>
    <w:bookmarkEnd w:id="98"/>
    <w:p>
      <w:pPr>
        <w:ind w:right="140"/>
        <w:spacing w:after="0" w:line="244" w:lineRule="auto"/>
        <w:rPr>
          <w:sz w:val="20"/>
          <w:szCs w:val="20"/>
          <w:color w:val="auto"/>
        </w:rPr>
      </w:pPr>
      <w:r>
        <w:rPr>
          <w:rFonts w:ascii="Arial" w:cs="Arial" w:eastAsia="Arial" w:hAnsi="Arial"/>
          <w:sz w:val="17"/>
          <w:szCs w:val="17"/>
          <w:color w:val="auto"/>
        </w:rPr>
        <w:t>Certain holders of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67"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29.2% of our outstanding common stock with entities and persons affiliated with PBM Capital Group, LLC (PBM Capital) beneficially owning approximately 20.8%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4"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delaying, deferring or preventing a change of control of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1" w:lineRule="exact"/>
        <w:rPr>
          <w:sz w:val="20"/>
          <w:szCs w:val="20"/>
          <w:color w:val="auto"/>
        </w:rPr>
      </w:pPr>
    </w:p>
    <w:p>
      <w:pPr>
        <w:ind w:left="1020" w:right="540" w:hanging="503"/>
        <w:spacing w:after="0" w:line="266" w:lineRule="auto"/>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51" w:lineRule="exact"/>
        <w:rPr>
          <w:rFonts w:ascii="Times New Roman" w:cs="Times New Roman" w:eastAsia="Times New Roman" w:hAnsi="Times New Roman"/>
          <w:sz w:val="17"/>
          <w:szCs w:val="17"/>
          <w:color w:val="auto"/>
        </w:rPr>
      </w:pPr>
    </w:p>
    <w:p>
      <w:pPr>
        <w:ind w:left="1020" w:right="360" w:hanging="503"/>
        <w:spacing w:after="0" w:line="266" w:lineRule="auto"/>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49" w:lineRule="auto"/>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1"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9" w:name="page100"/>
    <w:bookmarkEnd w:id="99"/>
    <w:p>
      <w:pPr>
        <w:ind w:right="180"/>
        <w:spacing w:after="0" w:line="244" w:lineRule="auto"/>
        <w:rPr>
          <w:sz w:val="20"/>
          <w:szCs w:val="20"/>
          <w:color w:val="auto"/>
        </w:rPr>
      </w:pPr>
      <w:r>
        <w:rPr>
          <w:rFonts w:ascii="Arial" w:cs="Arial" w:eastAsia="Arial" w:hAnsi="Arial"/>
          <w:sz w:val="17"/>
          <w:szCs w:val="17"/>
          <w:color w:val="auto"/>
        </w:rPr>
        <w:t>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6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7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lose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02"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right="660"/>
        <w:spacing w:after="0" w:line="280"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 or</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i w:val="1"/>
          <w:iCs w:val="1"/>
          <w:color w:val="auto"/>
        </w:rPr>
        <w:t>as a result of our December 2024 issuance of pre-funded warrants to purchase up to an aggregate of 3,333,333 shares of common stock.</w:t>
      </w:r>
    </w:p>
    <w:p>
      <w:pPr>
        <w:spacing w:after="0" w:line="10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p>
    <w:p>
      <w:pPr>
        <w:spacing w:after="0" w:line="67"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4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We will continue to recognize changes in the fair value of the Conditional Series B Warrants until each Conditional Series B Warrant is exercised, expires or qualifies for equity classification.</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spacing w:after="0" w:line="69"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In connection with the 2024 Follow-On Offering, in lieu of common stock to certain investors, we issued and sold pre-funded warrants to purchase 3,333,333 shares of our common stock. During the year ended December 31, 2024, no pre-funded warrants were exercised. As of December 31, 2024, 3,333,333 shares of our common stock were reserved for issuance upon exercise of pre-funded warrants.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Cybersecurity Risk Management and Strategy</w:t>
      </w:r>
    </w:p>
    <w:p>
      <w:pPr>
        <w:spacing w:after="0" w:line="18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Candel has implemented cybersecurity risk management processes that are informed by industry standards in accordance with the scale of our business. Our cybersecurity risk management processes are designed to assess, identify and mitigate risks from current and emerging cybersecurity threats.</w:t>
      </w:r>
    </w:p>
    <w:p>
      <w:pPr>
        <w:spacing w:after="0" w:line="148"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We use various tools and processes to accomplish these objectives, including policies and procedures, risk assessments, and testing. Further, we require our employees to participate in cybersecurity risk awareness trainings and phishing exercises.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1" w:name="page102"/>
    <w:bookmarkEnd w:id="101"/>
    <w:p>
      <w:pPr>
        <w:ind w:right="20"/>
        <w:spacing w:after="0" w:line="241" w:lineRule="auto"/>
        <w:rPr>
          <w:sz w:val="20"/>
          <w:szCs w:val="20"/>
          <w:color w:val="auto"/>
        </w:rPr>
      </w:pPr>
      <w:r>
        <w:rPr>
          <w:rFonts w:ascii="Arial" w:cs="Arial" w:eastAsia="Arial" w:hAnsi="Arial"/>
          <w:sz w:val="17"/>
          <w:szCs w:val="17"/>
          <w:color w:val="auto"/>
        </w:rPr>
        <w:t>Our cybersecurity risk management processes are supported by third-party service providers, including a managed services provider that assists the Company with, among other things, threat monitoring and cybersecurity incident response and escalation services. We rely on a third-party service provider to assist us with our cybersecurity practices, including for vulnerability assessments, penetration testing, and managing IT environments. Our process for onboarding new vendors with access to critical systems or data includes vendor questionnaires, contractual obligations, and if deemed appropriate, review of vendor audit reports.</w:t>
      </w:r>
    </w:p>
    <w:p>
      <w:pPr>
        <w:spacing w:after="0" w:line="15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incident management processes include reporting to senior management, including the Chief Financial Officer (CFO), Chief Executive Officer, Vice President Quality Assurance, and Director GxP Systems, and, where appropriate, to the board of directors. To date, 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have from time-to-time experienced threats that could affect our information or systems. For more information, please refer to Item 1A, “Risk Factors,” in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Cybersecurity Governance</w:t>
      </w:r>
    </w:p>
    <w:p>
      <w:pPr>
        <w:spacing w:after="0" w:line="18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board of directors has delegated oversight of the Company’s cybersecurity risk management program to the Audit Committee, including responsibilities for reviewing and discussing cybersecurity risks, implementing risk management programs, controls and procedures, and performing high level reviews of the threat landscape.</w:t>
      </w:r>
    </w:p>
    <w:p>
      <w:pPr>
        <w:spacing w:after="0" w:line="148" w:lineRule="exact"/>
        <w:rPr>
          <w:sz w:val="20"/>
          <w:szCs w:val="20"/>
          <w:color w:val="auto"/>
        </w:rPr>
      </w:pPr>
    </w:p>
    <w:p>
      <w:pPr>
        <w:ind w:right="460"/>
        <w:spacing w:after="0" w:line="249" w:lineRule="auto"/>
        <w:rPr>
          <w:sz w:val="20"/>
          <w:szCs w:val="20"/>
          <w:color w:val="auto"/>
        </w:rPr>
      </w:pPr>
      <w:r>
        <w:rPr>
          <w:rFonts w:ascii="Arial" w:cs="Arial" w:eastAsia="Arial" w:hAnsi="Arial"/>
          <w:sz w:val="17"/>
          <w:szCs w:val="17"/>
          <w:color w:val="auto"/>
        </w:rPr>
        <w:t>Our Senior Director, Information Technology (Senior Director, IT) is responsible for the strategic leadership and day-to-day management of our cybersecurity risk management program. The individual occupying this role has over thirty years of experience with information technology management and over five years of cybersecurity risk management.</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Senior Director, IT engages in regular meetings with our third-party managed IT service provider and the Director, IT to review and assess our cybersecurity risk management processes. The Senior Director, IT reports such findings to our CFO who annually presents updates on cybersecurity risks, mitigation strategies, and, if necessary, incident response activities to our Audit Committee. Further, our Audit Committee updates the full board of directors on matters relating to cybersecurity risk management, as necessary.</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0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Our principal office is located at 117 Kendrick St, Suite 450, Needham, Massachusetts 02494, where we lease approximately 15,000 square feet of office and laboratory space. We lease this space under a lease that terminates on August 31, 2026.</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may become involved in litigation or other legal proceedings.</w:t>
      </w:r>
    </w:p>
    <w:p>
      <w:pPr>
        <w:spacing w:after="0" w:line="9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2" w:name="page103"/>
    <w:bookmarkEnd w:id="102"/>
    <w:p>
      <w:pPr>
        <w:jc w:val="center"/>
        <w:ind w:right="-139"/>
        <w:spacing w:after="0"/>
        <w:rPr>
          <w:sz w:val="20"/>
          <w:szCs w:val="20"/>
          <w:color w:val="auto"/>
        </w:rPr>
      </w:pPr>
      <w:r>
        <w:rPr>
          <w:rFonts w:ascii="Arial" w:cs="Arial" w:eastAsia="Arial" w:hAnsi="Arial"/>
          <w:sz w:val="17"/>
          <w:szCs w:val="17"/>
          <w:b w:val="1"/>
          <w:bCs w:val="1"/>
          <w:color w:val="auto"/>
        </w:rPr>
        <w:t>PART II</w:t>
      </w:r>
    </w:p>
    <w:p>
      <w:pPr>
        <w:spacing w:after="0" w:line="102" w:lineRule="exact"/>
        <w:rPr>
          <w:sz w:val="20"/>
          <w:szCs w:val="20"/>
          <w:color w:val="auto"/>
        </w:rPr>
      </w:pPr>
    </w:p>
    <w:p>
      <w:pPr>
        <w:ind w:right="1380"/>
        <w:spacing w:after="0" w:line="364"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common stock is traded under the symbol “CADL” on the Nasdaq Global Market and has been publicly traded since July 27, 2021. Prior to this time, there was no public market for our common stock.</w:t>
      </w:r>
    </w:p>
    <w:p>
      <w:pPr>
        <w:spacing w:after="0" w:line="5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On March 6, 2025, there were approximately 62 registered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have never declared or paid any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Investors should not purchase our common stock with the expectation of receiving cash dividends.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 and Use of Proceeds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Equity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02"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contains forward-looking statements that involve risks and uncertainties. You should review the section titled “Risk factors” in this Annual Report on Form 10-K for a discussion of important factors that could cause actual results to differ materially from the results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induction of immunogenic cell death within the tumor microenvironment, thus releasing tumor neo-antigens and creating a pro-inflammatory microenvironment at the site of injection. This is intended to lead to in-situ vaccination against the injected tumor and uninjected distant metastases. Our biological multimodal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113"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96"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9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Our most advanced product candidate, CAN-2409, is an off-the-shelf adenovirus product candidate which is administered in conjunction with the prodrug valacyclovir, that has generated promising clinical activity across a range of solid tumor indications. CAN-2409 is currently being studied in the following ongoing clinical trials:</w:t>
      </w:r>
    </w:p>
    <w:p>
      <w:pPr>
        <w:spacing w:after="0" w:line="69" w:lineRule="exact"/>
        <w:rPr>
          <w:sz w:val="20"/>
          <w:szCs w:val="20"/>
          <w:color w:val="auto"/>
        </w:rPr>
      </w:pPr>
    </w:p>
    <w:p>
      <w:pPr>
        <w:ind w:left="660" w:hanging="278"/>
        <w:spacing w:after="0"/>
        <w:tabs>
          <w:tab w:leader="none" w:pos="66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58" w:lineRule="exact"/>
        <w:rPr>
          <w:sz w:val="20"/>
          <w:szCs w:val="20"/>
          <w:color w:val="auto"/>
        </w:rPr>
      </w:pPr>
    </w:p>
    <w:p>
      <w:pPr>
        <w:ind w:left="1240" w:hanging="289"/>
        <w:spacing w:after="0"/>
        <w:tabs>
          <w:tab w:leader="none" w:pos="124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A pivotal phase 3 randomized, triple-blinded and placebo-controlled clinical trial in the United States under a Special Protocol Assessment (SPA), with the U.S. Food and Drug Administration (FDA) evaluating patients with newly diagnosed, localized prostate cancer who have an intermediate or high-risk for progression. The FDA previously granted fast track designation for the use of CAN-2409 for the treatment of localized, primary prostate cancer in combination with radiation therapy to improve the local control rate. We completed enrollment of this trial in September 2021.</w:t>
      </w:r>
    </w:p>
    <w:p>
      <w:pPr>
        <w:spacing w:after="0" w:line="74" w:lineRule="exact"/>
        <w:rPr>
          <w:rFonts w:ascii="Times New Roman" w:cs="Times New Roman" w:eastAsia="Times New Roman" w:hAnsi="Times New Roman"/>
          <w:sz w:val="17"/>
          <w:szCs w:val="17"/>
          <w:color w:val="auto"/>
        </w:rPr>
      </w:pPr>
    </w:p>
    <w:p>
      <w:pPr>
        <w:ind w:left="2040" w:right="140" w:hanging="505"/>
        <w:spacing w:after="0" w:line="243" w:lineRule="auto"/>
        <w:tabs>
          <w:tab w:leader="none" w:pos="2040" w:val="left"/>
        </w:tabs>
        <w:numPr>
          <w:ilvl w:val="1"/>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In December 2024, we announced positive topline data from our phase 3 clinical trial. This randomized, double-blind, placebo-controlled, multicenter clinical trial enrolled 745 patients (intent to treat population (ITT)) to evaluate the effectiveness and safety of CAN-2409 plus prodrug (valacyclovir) viral immunotherapy in combination with standard of care (SoC) external beam radiation therapy to improve disease-free survival (DFS) in patients with intermediate-to-high-risk, localized prostate cancer. Patients were randomized 2:1 (496 in CAN-2409+prodrug and 249 in placebo (PBO) +prodrug). Both arms received standard of care external beam radiation therapy (EBRT) +/- short course androgen deprivation therapy (ADT) (&lt;6 months) and were stratified by NCCN risk group and ADT use. Three intraprostatic injections of CAN-2409 (5x10 </w:t>
      </w:r>
      <w:r>
        <w:rPr>
          <w:rFonts w:ascii="Arial" w:cs="Arial" w:eastAsia="Arial" w:hAnsi="Arial"/>
          <w:sz w:val="22"/>
          <w:szCs w:val="22"/>
          <w:color w:val="auto"/>
          <w:vertAlign w:val="superscript"/>
        </w:rPr>
        <w:t>11</w:t>
      </w:r>
      <w:r>
        <w:rPr>
          <w:rFonts w:ascii="Arial" w:cs="Arial" w:eastAsia="Arial" w:hAnsi="Arial"/>
          <w:sz w:val="17"/>
          <w:szCs w:val="17"/>
          <w:color w:val="auto"/>
        </w:rPr>
        <w:t>v/2mL) or PBO were administered, each followed by 14 days of prodrug.</w:t>
      </w:r>
    </w:p>
    <w:p>
      <w:pPr>
        <w:spacing w:after="0" w:line="18" w:lineRule="exact"/>
        <w:rPr>
          <w:rFonts w:ascii="Times New Roman" w:cs="Times New Roman" w:eastAsia="Times New Roman" w:hAnsi="Times New Roman"/>
          <w:sz w:val="17"/>
          <w:szCs w:val="17"/>
          <w:color w:val="auto"/>
        </w:rPr>
      </w:pPr>
    </w:p>
    <w:p>
      <w:pPr>
        <w:ind w:left="2040" w:right="720" w:hanging="505"/>
        <w:spacing w:after="0" w:line="266" w:lineRule="auto"/>
        <w:tabs>
          <w:tab w:leader="none" w:pos="2040" w:val="left"/>
        </w:tabs>
        <w:numPr>
          <w:ilvl w:val="1"/>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The study met its primary endpoint, demonstrating a statistically significant improvement in disease-free survival compared to the control arm. Key topline results include:</w:t>
      </w:r>
    </w:p>
    <w:p>
      <w:pPr>
        <w:spacing w:after="0" w:line="51" w:lineRule="exact"/>
        <w:rPr>
          <w:rFonts w:ascii="Times New Roman" w:cs="Times New Roman" w:eastAsia="Times New Roman" w:hAnsi="Times New Roman"/>
          <w:sz w:val="17"/>
          <w:szCs w:val="17"/>
          <w:color w:val="auto"/>
        </w:rPr>
      </w:pPr>
    </w:p>
    <w:p>
      <w:pPr>
        <w:ind w:left="2560" w:right="40" w:hanging="516"/>
        <w:spacing w:after="0" w:line="243" w:lineRule="auto"/>
        <w:tabs>
          <w:tab w:leader="none" w:pos="2560" w:val="left"/>
        </w:tabs>
        <w:numPr>
          <w:ilvl w:val="2"/>
          <w:numId w:val="69"/>
        </w:numPr>
        <w:rPr>
          <w:rFonts w:ascii="Times New Roman" w:cs="Times New Roman" w:eastAsia="Times New Roman" w:hAnsi="Times New Roman"/>
          <w:sz w:val="17"/>
          <w:szCs w:val="17"/>
          <w:color w:val="212529"/>
        </w:rPr>
      </w:pPr>
      <w:r>
        <w:rPr>
          <w:rFonts w:ascii="Arial" w:cs="Arial" w:eastAsia="Arial" w:hAnsi="Arial"/>
          <w:sz w:val="17"/>
          <w:szCs w:val="17"/>
          <w:color w:val="212529"/>
        </w:rPr>
        <w:t>Statistically significant improvement in DFS for CAN-2409 plus radiation therapy (n=496) vs. radiation therapy alone (n=249). Treatment with CAN-2409 reduced the risk of prostate cancer recurrence or death by 30%. Median DFS was not reached for the CAN-2409 treatment arm vs. 86.1 months in the PBO arm (p=0.0155, HR 0.7, 95% CI 0.52 to 0.94)</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4" w:name="page105"/>
    <w:bookmarkEnd w:id="104"/>
    <w:p>
      <w:pPr>
        <w:ind w:left="2180" w:right="60" w:hanging="516"/>
        <w:spacing w:after="0" w:line="266" w:lineRule="auto"/>
        <w:tabs>
          <w:tab w:leader="none" w:pos="2180" w:val="left"/>
        </w:tabs>
        <w:numPr>
          <w:ilvl w:val="1"/>
          <w:numId w:val="70"/>
        </w:numPr>
        <w:rPr>
          <w:rFonts w:ascii="Times New Roman" w:cs="Times New Roman" w:eastAsia="Times New Roman" w:hAnsi="Times New Roman"/>
          <w:sz w:val="17"/>
          <w:szCs w:val="17"/>
          <w:color w:val="212529"/>
        </w:rPr>
      </w:pPr>
      <w:r>
        <w:rPr>
          <w:rFonts w:ascii="Arial" w:cs="Arial" w:eastAsia="Arial" w:hAnsi="Arial"/>
          <w:sz w:val="17"/>
          <w:szCs w:val="17"/>
          <w:color w:val="212529"/>
        </w:rPr>
        <w:t>Prostate cancer specific DFS (exclusion of non-prostate cancer related deaths) demonstrated a greater effect with a 38% decreased risk in the CAN-2409 arm vs. PBO (p=0.0046; HR 0.62, 95% CI 0.44 to 0.87)</w:t>
      </w:r>
    </w:p>
    <w:p>
      <w:pPr>
        <w:spacing w:after="0" w:line="51" w:lineRule="exact"/>
        <w:rPr>
          <w:rFonts w:ascii="Times New Roman" w:cs="Times New Roman" w:eastAsia="Times New Roman" w:hAnsi="Times New Roman"/>
          <w:sz w:val="17"/>
          <w:szCs w:val="17"/>
          <w:color w:val="212529"/>
        </w:rPr>
      </w:pPr>
    </w:p>
    <w:p>
      <w:pPr>
        <w:ind w:left="2180" w:hanging="516"/>
        <w:spacing w:after="0"/>
        <w:tabs>
          <w:tab w:leader="none" w:pos="2180" w:val="left"/>
        </w:tabs>
        <w:numPr>
          <w:ilvl w:val="1"/>
          <w:numId w:val="70"/>
        </w:numPr>
        <w:rPr>
          <w:rFonts w:ascii="Times New Roman" w:cs="Times New Roman" w:eastAsia="Times New Roman" w:hAnsi="Times New Roman"/>
          <w:sz w:val="17"/>
          <w:szCs w:val="17"/>
          <w:color w:val="212529"/>
        </w:rPr>
      </w:pPr>
      <w:r>
        <w:rPr>
          <w:rFonts w:ascii="Arial" w:cs="Arial" w:eastAsia="Arial" w:hAnsi="Arial"/>
          <w:sz w:val="17"/>
          <w:szCs w:val="17"/>
          <w:color w:val="212529"/>
        </w:rPr>
        <w:t>DFS improvement was observed both in patients receiving short-term ADT and in patients not receiving ADT</w:t>
      </w:r>
    </w:p>
    <w:p>
      <w:pPr>
        <w:spacing w:after="0" w:line="114" w:lineRule="exact"/>
        <w:rPr>
          <w:rFonts w:ascii="Times New Roman" w:cs="Times New Roman" w:eastAsia="Times New Roman" w:hAnsi="Times New Roman"/>
          <w:sz w:val="17"/>
          <w:szCs w:val="17"/>
          <w:color w:val="212529"/>
        </w:rPr>
      </w:pPr>
    </w:p>
    <w:p>
      <w:pPr>
        <w:ind w:left="2180" w:hanging="516"/>
        <w:spacing w:after="0" w:line="266" w:lineRule="auto"/>
        <w:tabs>
          <w:tab w:leader="none" w:pos="2180" w:val="left"/>
        </w:tabs>
        <w:numPr>
          <w:ilvl w:val="1"/>
          <w:numId w:val="70"/>
        </w:numPr>
        <w:rPr>
          <w:rFonts w:ascii="Times New Roman" w:cs="Times New Roman" w:eastAsia="Times New Roman" w:hAnsi="Times New Roman"/>
          <w:sz w:val="17"/>
          <w:szCs w:val="17"/>
          <w:color w:val="212529"/>
        </w:rPr>
      </w:pPr>
      <w:r>
        <w:rPr>
          <w:rFonts w:ascii="Arial" w:cs="Arial" w:eastAsia="Arial" w:hAnsi="Arial"/>
          <w:sz w:val="17"/>
          <w:szCs w:val="17"/>
          <w:color w:val="212529"/>
        </w:rPr>
        <w:t>Significant increase in the proportion of patients achieving a prostate-specific antigen (PSA) nadir (&lt;0.2 ng/ml) was observed in the treatment arm compared to the placebo control arm (67.1% vs. 58.6%, respectively; p=0.0164)</w:t>
      </w:r>
    </w:p>
    <w:p>
      <w:pPr>
        <w:spacing w:after="0" w:line="51" w:lineRule="exact"/>
        <w:rPr>
          <w:rFonts w:ascii="Times New Roman" w:cs="Times New Roman" w:eastAsia="Times New Roman" w:hAnsi="Times New Roman"/>
          <w:sz w:val="17"/>
          <w:szCs w:val="17"/>
          <w:color w:val="212529"/>
        </w:rPr>
      </w:pPr>
    </w:p>
    <w:p>
      <w:pPr>
        <w:ind w:left="2180" w:right="340" w:hanging="516"/>
        <w:spacing w:after="0" w:line="266" w:lineRule="auto"/>
        <w:tabs>
          <w:tab w:leader="none" w:pos="2180" w:val="left"/>
        </w:tabs>
        <w:numPr>
          <w:ilvl w:val="1"/>
          <w:numId w:val="70"/>
        </w:numPr>
        <w:rPr>
          <w:rFonts w:ascii="Times New Roman" w:cs="Times New Roman" w:eastAsia="Times New Roman" w:hAnsi="Times New Roman"/>
          <w:sz w:val="17"/>
          <w:szCs w:val="17"/>
          <w:color w:val="212529"/>
        </w:rPr>
      </w:pPr>
      <w:r>
        <w:rPr>
          <w:rFonts w:ascii="Arial" w:cs="Arial" w:eastAsia="Arial" w:hAnsi="Arial"/>
          <w:sz w:val="17"/>
          <w:szCs w:val="17"/>
          <w:color w:val="212529"/>
        </w:rPr>
        <w:t>CAN-2409 induced 80.4% pathological complete responses in the 2-year post-treatment biopsies compared to 63.6% observed in the control arm (p=0.0015)</w:t>
      </w:r>
    </w:p>
    <w:p>
      <w:pPr>
        <w:spacing w:after="0" w:line="51" w:lineRule="exact"/>
        <w:rPr>
          <w:rFonts w:ascii="Times New Roman" w:cs="Times New Roman" w:eastAsia="Times New Roman" w:hAnsi="Times New Roman"/>
          <w:sz w:val="17"/>
          <w:szCs w:val="17"/>
          <w:color w:val="212529"/>
        </w:rPr>
      </w:pPr>
    </w:p>
    <w:p>
      <w:pPr>
        <w:ind w:left="1660" w:right="160" w:hanging="505"/>
        <w:spacing w:after="0" w:line="249" w:lineRule="auto"/>
        <w:tabs>
          <w:tab w:leader="none" w:pos="16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The median follow-up time for the recruited population was 50.3 months. The primary outcome measure, DFS, included the evaluation of post-treatment biopsies, performed at two years from the end of radiation, for the presence of tumor recurrence. Local or systemic recurrence and death from any cause were also part of the primary endpoint.</w:t>
      </w:r>
    </w:p>
    <w:p>
      <w:pPr>
        <w:spacing w:after="0" w:line="65" w:lineRule="exact"/>
        <w:rPr>
          <w:rFonts w:ascii="Times New Roman" w:cs="Times New Roman" w:eastAsia="Times New Roman" w:hAnsi="Times New Roman"/>
          <w:sz w:val="17"/>
          <w:szCs w:val="17"/>
          <w:color w:val="auto"/>
        </w:rPr>
      </w:pPr>
    </w:p>
    <w:p>
      <w:pPr>
        <w:jc w:val="both"/>
        <w:ind w:left="1660" w:right="460" w:hanging="505"/>
        <w:spacing w:after="0" w:line="249" w:lineRule="auto"/>
        <w:tabs>
          <w:tab w:leader="none" w:pos="16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CAN-2409 was generally well tolerated, with no new safety signals identified. The most common CAN-2409-related adverse events were flu-like symptoms, fever and chills, which were generally mild to moderate in severity and self-limited.</w:t>
      </w:r>
    </w:p>
    <w:p>
      <w:pPr>
        <w:spacing w:after="0" w:line="65" w:lineRule="exact"/>
        <w:rPr>
          <w:rFonts w:ascii="Times New Roman" w:cs="Times New Roman" w:eastAsia="Times New Roman" w:hAnsi="Times New Roman"/>
          <w:sz w:val="17"/>
          <w:szCs w:val="17"/>
          <w:color w:val="auto"/>
        </w:rPr>
      </w:pPr>
    </w:p>
    <w:p>
      <w:pPr>
        <w:jc w:val="both"/>
        <w:ind w:left="1660" w:right="100" w:hanging="505"/>
        <w:spacing w:after="0" w:line="249" w:lineRule="auto"/>
        <w:tabs>
          <w:tab w:leader="none" w:pos="16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results, we intend to initiate discussions with the FDA regarding the regulatory pathway for CAN-2409 in intermediate-to-high-risk localized prostate cancer, and we anticipate submitting a biologics license application for CAN-2409 in the fourth quarter of 2026.</w:t>
      </w:r>
    </w:p>
    <w:p>
      <w:pPr>
        <w:spacing w:after="0" w:line="66" w:lineRule="exact"/>
        <w:rPr>
          <w:sz w:val="20"/>
          <w:szCs w:val="20"/>
          <w:color w:val="auto"/>
        </w:rPr>
      </w:pPr>
    </w:p>
    <w:p>
      <w:pPr>
        <w:ind w:left="860" w:right="20" w:hanging="289"/>
        <w:spacing w:after="0" w:line="266" w:lineRule="auto"/>
        <w:tabs>
          <w:tab w:leader="none" w:pos="860" w:val="left"/>
        </w:tabs>
        <w:numPr>
          <w:ilvl w:val="1"/>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 blind, placebo-controlled clinical trial in the United States evaluating patients with low-to-intermediate risk, localized prostate cancer undergoing active surveillance. We completed enrollment of this trial in May 2019.</w:t>
      </w:r>
    </w:p>
    <w:p>
      <w:pPr>
        <w:spacing w:after="0" w:line="51" w:lineRule="exact"/>
        <w:rPr>
          <w:rFonts w:ascii="Times New Roman" w:cs="Times New Roman" w:eastAsia="Times New Roman" w:hAnsi="Times New Roman"/>
          <w:sz w:val="17"/>
          <w:szCs w:val="17"/>
          <w:color w:val="auto"/>
        </w:rPr>
      </w:pPr>
    </w:p>
    <w:p>
      <w:pPr>
        <w:ind w:left="1660" w:right="20" w:hanging="505"/>
        <w:spacing w:after="0" w:line="239" w:lineRule="auto"/>
        <w:tabs>
          <w:tab w:leader="none" w:pos="1660" w:val="left"/>
        </w:tabs>
        <w:numPr>
          <w:ilvl w:val="2"/>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also reported that the phase 2b clinical trial of monotherapy CAN-2409 in 190 patients with low-to-intermediate risk, localized prostate cancer undergoing active surveillance showed numerical improvement in time to radical treatment and the percentage of patients achieving negative (prostate cancer-free) biopsies at 1-year post-treatment. However, these differences did not reach statistical significance. CAN-2409 was generally well tolerated, with no new safety signals identified. The most common CAN-2409-related adverse events were flu-like symptoms, fever and chills, which were generally mild to moderate in severity and self-limited.</w:t>
      </w:r>
    </w:p>
    <w:p>
      <w:pPr>
        <w:spacing w:after="0" w:line="75" w:lineRule="exact"/>
        <w:rPr>
          <w:rFonts w:ascii="Times New Roman" w:cs="Times New Roman" w:eastAsia="Times New Roman" w:hAnsi="Times New Roman"/>
          <w:sz w:val="17"/>
          <w:szCs w:val="17"/>
          <w:color w:val="auto"/>
        </w:rPr>
      </w:pPr>
    </w:p>
    <w:p>
      <w:pPr>
        <w:ind w:left="280" w:hanging="278"/>
        <w:spacing w:after="0"/>
        <w:tabs>
          <w:tab w:leader="none" w:pos="28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rFonts w:ascii="Times New Roman" w:cs="Times New Roman" w:eastAsia="Times New Roman" w:hAnsi="Times New Roman"/>
          <w:sz w:val="17"/>
          <w:szCs w:val="17"/>
          <w:color w:val="auto"/>
        </w:rPr>
      </w:pPr>
    </w:p>
    <w:p>
      <w:pPr>
        <w:ind w:left="860" w:hanging="289"/>
        <w:spacing w:after="0" w:line="236" w:lineRule="auto"/>
        <w:tabs>
          <w:tab w:leader="none" w:pos="860" w:val="left"/>
        </w:tabs>
        <w:numPr>
          <w:ilvl w:val="1"/>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An open-label phase 2 clinical trial in the United States evaluating CAN-2409 plus valacyclovir in combination with continued PD-(L)1 checkpoint inhibitors in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These patients historically have had an expected median overall survival (mOS) of &lt;12 months when treated with SoC chemotherapy (Reckamp K et al. J Clin Onc 2022;40:2295-2306). The aim of the CAN-2409 immunotherapy antitumor strategy is to raise the tail on the survival curve by increasing the number of long survivors beyond 12 months in patients treated with two CAN-2409 injections.</w:t>
      </w:r>
    </w:p>
    <w:p>
      <w:pPr>
        <w:spacing w:after="0" w:line="78" w:lineRule="exact"/>
        <w:rPr>
          <w:rFonts w:ascii="Times New Roman" w:cs="Times New Roman" w:eastAsia="Times New Roman" w:hAnsi="Times New Roman"/>
          <w:sz w:val="17"/>
          <w:szCs w:val="17"/>
          <w:color w:val="auto"/>
        </w:rPr>
      </w:pPr>
    </w:p>
    <w:p>
      <w:pPr>
        <w:ind w:left="860" w:right="60" w:hanging="289"/>
        <w:spacing w:after="0" w:line="249" w:lineRule="auto"/>
        <w:tabs>
          <w:tab w:leader="none" w:pos="860" w:val="left"/>
        </w:tabs>
        <w:numPr>
          <w:ilvl w:val="1"/>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In May 2024, we announced topline data that showed prolonged overall survival in our phase 2 clinical trial of CAN-2409 plus valacyclovir, together with immune checkpoint inhibitor (ICI) therapy in patients with Stage III/IV NSCLC inadequately responding to ICI [anti-PD-(L)1] therapy (as of an April 1, 2024 data cut-off):</w:t>
      </w:r>
    </w:p>
    <w:p>
      <w:pPr>
        <w:spacing w:after="0" w:line="65" w:lineRule="exact"/>
        <w:rPr>
          <w:rFonts w:ascii="Times New Roman" w:cs="Times New Roman" w:eastAsia="Times New Roman" w:hAnsi="Times New Roman"/>
          <w:sz w:val="17"/>
          <w:szCs w:val="17"/>
          <w:color w:val="auto"/>
        </w:rPr>
      </w:pPr>
    </w:p>
    <w:p>
      <w:pPr>
        <w:ind w:left="1660" w:right="120" w:hanging="505"/>
        <w:spacing w:after="0" w:line="239" w:lineRule="auto"/>
        <w:tabs>
          <w:tab w:leader="none" w:pos="1660" w:val="left"/>
        </w:tabs>
        <w:numPr>
          <w:ilvl w:val="2"/>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mOS of 20.6 months was observed following two administrations of CAN-2409 plus valacyclovir in NSCLC patients with progressive disease despite ICI therapy, compared to published results of mOS of 11.6 months observed with SoC docetaxel-based chemotherapy in a similar patient population (Reckamp K et al. J Clin Onc 2022;40:2295-2306). Improved mOS was observed in both PD-L1 negative and PD-L1 positive tumors in patients with progressive disease (N=37 patients in cohort 2 for which PD-L1 status at baseline was available). mOS of 22.0 months was observed across all patients (n=46) who had an inadequate response to ICI and who received two administrations of CAN-2409.</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477520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197" w:right="359" w:bottom="1440" w:gutter="0" w:footer="0" w:header="0"/>
        </w:sectPr>
      </w:pPr>
    </w:p>
    <w:bookmarkStart w:id="105" w:name="page106"/>
    <w:bookmarkEnd w:id="105"/>
    <w:p>
      <w:pPr>
        <w:ind w:left="1660" w:right="540" w:hanging="505"/>
        <w:spacing w:after="0" w:line="266" w:lineRule="auto"/>
        <w:tabs>
          <w:tab w:leader="none" w:pos="1660" w:val="left"/>
        </w:tabs>
        <w:numPr>
          <w:ilvl w:val="1"/>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Treatment with CAN-2409 resulted in systemic activation of the immune response, including increased numbers of effector and cytotoxic T cells as well as elevated levels of inflammatory soluble mediators.</w:t>
      </w:r>
    </w:p>
    <w:p>
      <w:pPr>
        <w:spacing w:after="0" w:line="51" w:lineRule="exact"/>
        <w:rPr>
          <w:rFonts w:ascii="Times New Roman" w:cs="Times New Roman" w:eastAsia="Times New Roman" w:hAnsi="Times New Roman"/>
          <w:sz w:val="17"/>
          <w:szCs w:val="17"/>
          <w:color w:val="auto"/>
        </w:rPr>
      </w:pPr>
    </w:p>
    <w:p>
      <w:pPr>
        <w:ind w:left="1660" w:right="140" w:hanging="505"/>
        <w:spacing w:after="0" w:line="243" w:lineRule="auto"/>
        <w:tabs>
          <w:tab w:leader="none" w:pos="1660" w:val="left"/>
        </w:tabs>
        <w:numPr>
          <w:ilvl w:val="1"/>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Activation of the systemic immune response was associated with shrinkage of uninjected lesions (abscopal response). 71.4% of patients with metastatic disease and at least one uninjected tumor (n=35) experienced a beneficial effect from CAN-2409 treatment on both injected and uninjected tumors. When using a threshold of &gt;5% decrease, more than 60% of patients still showed an abscopal response.</w:t>
      </w:r>
    </w:p>
    <w:p>
      <w:pPr>
        <w:spacing w:after="0" w:line="71" w:lineRule="exact"/>
        <w:rPr>
          <w:rFonts w:ascii="Times New Roman" w:cs="Times New Roman" w:eastAsia="Times New Roman" w:hAnsi="Times New Roman"/>
          <w:sz w:val="17"/>
          <w:szCs w:val="17"/>
          <w:color w:val="auto"/>
        </w:rPr>
      </w:pPr>
    </w:p>
    <w:p>
      <w:pPr>
        <w:ind w:left="1660" w:right="140" w:hanging="505"/>
        <w:spacing w:after="0" w:line="249" w:lineRule="auto"/>
        <w:tabs>
          <w:tab w:leader="none" w:pos="1660" w:val="left"/>
        </w:tabs>
        <w:numPr>
          <w:ilvl w:val="1"/>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As of the cut-off date, treatment with CAN-2409 in NSCLC continued to exhibit a generally favorable safety and tolerability profile. There were no dose-limiting toxicities or grade 4 or higher treatment-related adverse events (TRAEs); the majority of TRAEs were grade 1 or 2, and there were three grade 3 TRAEs (1 pyrexia, 2 pneumonitis).</w:t>
      </w:r>
    </w:p>
    <w:p>
      <w:pPr>
        <w:spacing w:after="0" w:line="65" w:lineRule="exact"/>
        <w:rPr>
          <w:rFonts w:ascii="Times New Roman" w:cs="Times New Roman" w:eastAsia="Times New Roman" w:hAnsi="Times New Roman"/>
          <w:sz w:val="17"/>
          <w:szCs w:val="17"/>
          <w:color w:val="auto"/>
        </w:rPr>
      </w:pPr>
    </w:p>
    <w:p>
      <w:pPr>
        <w:ind w:left="1660" w:hanging="505"/>
        <w:spacing w:after="0"/>
        <w:tabs>
          <w:tab w:leader="none" w:pos="1660" w:val="left"/>
        </w:tabs>
        <w:numPr>
          <w:ilvl w:val="1"/>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present updated overall survival data for CAN-2409 in NSCLC in the first quarter of 2025.</w:t>
      </w:r>
    </w:p>
    <w:p>
      <w:pPr>
        <w:spacing w:after="0" w:line="197" w:lineRule="exact"/>
        <w:rPr>
          <w:rFonts w:ascii="Times New Roman" w:cs="Times New Roman" w:eastAsia="Times New Roman" w:hAnsi="Times New Roman"/>
          <w:sz w:val="17"/>
          <w:szCs w:val="17"/>
          <w:color w:val="auto"/>
        </w:rPr>
      </w:pPr>
    </w:p>
    <w:p>
      <w:pPr>
        <w:ind w:left="280" w:hanging="278"/>
        <w:spacing w:after="0"/>
        <w:tabs>
          <w:tab w:leader="none" w:pos="28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93" w:lineRule="exact"/>
        <w:rPr>
          <w:sz w:val="20"/>
          <w:szCs w:val="20"/>
          <w:color w:val="auto"/>
        </w:rPr>
      </w:pPr>
    </w:p>
    <w:p>
      <w:pPr>
        <w:ind w:left="1160" w:hanging="514"/>
        <w:spacing w:after="0" w:line="236" w:lineRule="auto"/>
        <w:tabs>
          <w:tab w:leader="none" w:pos="11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We initiated a randomized phase 2 clinical trial in the United States and Mexico evaluating the activity of CAN-2409 in borderline resectable and locally advanced pancreatic ductal adenocarcinoma (PDAC). Initial positive phase 2 data revealed notable clinical improvements in patients with borderline resectable PDAC following CAN-2409 plus prodrug together with SoC chemoradiation. In March 2023, in connection with our cost management and dynamic portfolio management initiatives, we elected to pause new enrollment in this randomized phase 2 clinical trial, subject to additional funding. Despite the pause in new patient enrollment, we presented initial positive interim overall survival and immunological biomarker clinical data at the Society for Immunotherapy of Cancer (SITC) Annual Meeting in the fourth quarter of 2023. In December 2023, we announced that the FDA granted fast track designation for CAN-2409 plus valacyclovir for the treatment of patients with PDAC to improve overall survival. In April 2024, we announced updated positive overall survival data and also announced that the FDA has granted orphan drug designation for CAN-2409 for the treatment of pancreatic cancer.</w:t>
      </w:r>
    </w:p>
    <w:p>
      <w:pPr>
        <w:spacing w:after="0" w:line="75" w:lineRule="exact"/>
        <w:rPr>
          <w:sz w:val="20"/>
          <w:szCs w:val="20"/>
          <w:color w:val="auto"/>
        </w:rPr>
      </w:pPr>
    </w:p>
    <w:p>
      <w:pPr>
        <w:ind w:left="1120" w:hanging="369"/>
        <w:spacing w:after="0"/>
        <w:tabs>
          <w:tab w:leader="none" w:pos="1120"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The following data were disclosed as of the March 29, 2024 data cutoff:</w:t>
      </w:r>
    </w:p>
    <w:p>
      <w:pPr>
        <w:spacing w:after="0" w:line="114" w:lineRule="exact"/>
        <w:rPr>
          <w:rFonts w:ascii="Times New Roman" w:cs="Times New Roman" w:eastAsia="Times New Roman" w:hAnsi="Times New Roman"/>
          <w:sz w:val="17"/>
          <w:szCs w:val="17"/>
          <w:color w:val="auto"/>
        </w:rPr>
      </w:pPr>
    </w:p>
    <w:p>
      <w:pPr>
        <w:ind w:left="1660" w:hanging="505"/>
        <w:spacing w:after="0"/>
        <w:tabs>
          <w:tab w:leader="none" w:pos="1660" w:val="left"/>
        </w:tabs>
        <w:numPr>
          <w:ilvl w:val="1"/>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Clinical data highlights:</w:t>
      </w:r>
    </w:p>
    <w:p>
      <w:pPr>
        <w:spacing w:after="0" w:line="114" w:lineRule="exact"/>
        <w:rPr>
          <w:rFonts w:ascii="Times New Roman" w:cs="Times New Roman" w:eastAsia="Times New Roman" w:hAnsi="Times New Roman"/>
          <w:sz w:val="17"/>
          <w:szCs w:val="17"/>
          <w:color w:val="auto"/>
        </w:rPr>
      </w:pPr>
    </w:p>
    <w:p>
      <w:pPr>
        <w:ind w:left="2180" w:right="480" w:hanging="516"/>
        <w:spacing w:after="0" w:line="266" w:lineRule="auto"/>
        <w:tabs>
          <w:tab w:leader="none" w:pos="2180" w:val="left"/>
        </w:tabs>
        <w:numPr>
          <w:ilvl w:val="2"/>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Prolonged and sustained survival was observed after experimental treatment with CAN-2409 in patients with borderline resectable PDAC.</w:t>
      </w:r>
    </w:p>
    <w:p>
      <w:pPr>
        <w:spacing w:after="0" w:line="51" w:lineRule="exact"/>
        <w:rPr>
          <w:rFonts w:ascii="Times New Roman" w:cs="Times New Roman" w:eastAsia="Times New Roman" w:hAnsi="Times New Roman"/>
          <w:sz w:val="17"/>
          <w:szCs w:val="17"/>
          <w:color w:val="auto"/>
        </w:rPr>
      </w:pPr>
    </w:p>
    <w:p>
      <w:pPr>
        <w:ind w:left="2180" w:hanging="516"/>
        <w:spacing w:after="0"/>
        <w:tabs>
          <w:tab w:leader="none" w:pos="2180" w:val="left"/>
        </w:tabs>
        <w:numPr>
          <w:ilvl w:val="2"/>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mOS was 28.8 months in the CAN-2409 group versus 12.5 months in the control group.</w:t>
      </w:r>
    </w:p>
    <w:p>
      <w:pPr>
        <w:spacing w:after="0" w:line="114" w:lineRule="exact"/>
        <w:rPr>
          <w:rFonts w:ascii="Times New Roman" w:cs="Times New Roman" w:eastAsia="Times New Roman" w:hAnsi="Times New Roman"/>
          <w:sz w:val="17"/>
          <w:szCs w:val="17"/>
          <w:color w:val="auto"/>
        </w:rPr>
      </w:pPr>
    </w:p>
    <w:p>
      <w:pPr>
        <w:ind w:left="2180" w:right="220" w:hanging="516"/>
        <w:spacing w:after="0" w:line="249" w:lineRule="auto"/>
        <w:tabs>
          <w:tab w:leader="none" w:pos="2180" w:val="left"/>
        </w:tabs>
        <w:numPr>
          <w:ilvl w:val="2"/>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At 24 months, a survival rate of 71.4% was observed in patients receiving CAN-2409 at the time of SoC chemoradiation and surgery, versus only 16.7% in the control group. At 36 months, a survival rate of 47.6% was estimated in patients who received CAN-2409 versus only 16.7% in the control group.</w:t>
      </w:r>
    </w:p>
    <w:p>
      <w:pPr>
        <w:spacing w:after="0" w:line="65" w:lineRule="exact"/>
        <w:rPr>
          <w:rFonts w:ascii="Times New Roman" w:cs="Times New Roman" w:eastAsia="Times New Roman" w:hAnsi="Times New Roman"/>
          <w:sz w:val="17"/>
          <w:szCs w:val="17"/>
          <w:color w:val="auto"/>
        </w:rPr>
      </w:pPr>
    </w:p>
    <w:p>
      <w:pPr>
        <w:ind w:left="2180" w:right="280" w:hanging="516"/>
        <w:spacing w:after="0" w:line="249" w:lineRule="auto"/>
        <w:tabs>
          <w:tab w:leader="none" w:pos="2180" w:val="left"/>
        </w:tabs>
        <w:numPr>
          <w:ilvl w:val="2"/>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4 out of 7 patients who received CAN-2409 were still alive at the time of data cutoff, with 2 patients surviving more than 50.0 months from enrollment. Only 1 out of 6 patients, randomized to control SoC chemotherapy alone, remained alive at data cutoff (alive at 50.6 months).</w:t>
      </w:r>
    </w:p>
    <w:p>
      <w:pPr>
        <w:spacing w:after="0" w:line="65" w:lineRule="exact"/>
        <w:rPr>
          <w:rFonts w:ascii="Times New Roman" w:cs="Times New Roman" w:eastAsia="Times New Roman" w:hAnsi="Times New Roman"/>
          <w:sz w:val="17"/>
          <w:szCs w:val="17"/>
          <w:color w:val="auto"/>
        </w:rPr>
      </w:pPr>
    </w:p>
    <w:p>
      <w:pPr>
        <w:ind w:left="1660" w:hanging="505"/>
        <w:spacing w:after="0"/>
        <w:tabs>
          <w:tab w:leader="none" w:pos="1660" w:val="left"/>
        </w:tabs>
        <w:numPr>
          <w:ilvl w:val="1"/>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Biomarker data analysis demonstrated:</w:t>
      </w:r>
    </w:p>
    <w:p>
      <w:pPr>
        <w:spacing w:after="0" w:line="114" w:lineRule="exact"/>
        <w:rPr>
          <w:rFonts w:ascii="Times New Roman" w:cs="Times New Roman" w:eastAsia="Times New Roman" w:hAnsi="Times New Roman"/>
          <w:sz w:val="17"/>
          <w:szCs w:val="17"/>
          <w:color w:val="auto"/>
        </w:rPr>
      </w:pPr>
    </w:p>
    <w:p>
      <w:pPr>
        <w:ind w:left="2180" w:hanging="516"/>
        <w:spacing w:after="0"/>
        <w:tabs>
          <w:tab w:leader="none" w:pos="2180" w:val="left"/>
        </w:tabs>
        <w:numPr>
          <w:ilvl w:val="2"/>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Consistent and robust activation of immune response after dosing with CAN-2409.</w:t>
      </w:r>
    </w:p>
    <w:p>
      <w:pPr>
        <w:spacing w:after="0" w:line="114" w:lineRule="exact"/>
        <w:rPr>
          <w:rFonts w:ascii="Times New Roman" w:cs="Times New Roman" w:eastAsia="Times New Roman" w:hAnsi="Times New Roman"/>
          <w:sz w:val="17"/>
          <w:szCs w:val="17"/>
          <w:color w:val="auto"/>
        </w:rPr>
      </w:pPr>
    </w:p>
    <w:p>
      <w:pPr>
        <w:ind w:left="2180" w:right="60" w:hanging="516"/>
        <w:spacing w:after="0" w:line="243" w:lineRule="auto"/>
        <w:tabs>
          <w:tab w:leader="none" w:pos="2180" w:val="left"/>
        </w:tabs>
        <w:numPr>
          <w:ilvl w:val="2"/>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In pancreatic tissue of patients treated with CAN-2409 plus prodrug together with SoC (but not SoC alone), dense aggregates of CD8+ granzyme B positive cytotoxic T cells, dendritic cells, and B cells were observed within the tumor microenvironment. These lymphocyte aggregates resemble tertiary lymphoid structures, whose formation in solid tumors is known to be associated with improved prognosis and better response to therapy.</w:t>
      </w:r>
    </w:p>
    <w:p>
      <w:pPr>
        <w:spacing w:after="0" w:line="71" w:lineRule="exact"/>
        <w:rPr>
          <w:rFonts w:ascii="Times New Roman" w:cs="Times New Roman" w:eastAsia="Times New Roman" w:hAnsi="Times New Roman"/>
          <w:sz w:val="17"/>
          <w:szCs w:val="17"/>
          <w:color w:val="auto"/>
        </w:rPr>
      </w:pPr>
    </w:p>
    <w:p>
      <w:pPr>
        <w:ind w:left="2180" w:right="520" w:hanging="516"/>
        <w:spacing w:after="0" w:line="266" w:lineRule="auto"/>
        <w:tabs>
          <w:tab w:leader="none" w:pos="2180" w:val="left"/>
        </w:tabs>
        <w:numPr>
          <w:ilvl w:val="2"/>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levels of soluble granzymes B and H as well as pro-inflammatory cytokines, including IFN-γ, were observed in peripheral blood after CAN-2409 treatment, but not after SoC.</w:t>
      </w:r>
    </w:p>
    <w:p>
      <w:pPr>
        <w:spacing w:after="0" w:line="160"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477520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197" w:right="359" w:bottom="1440" w:gutter="0" w:footer="0" w:header="0"/>
        </w:sectPr>
      </w:pPr>
    </w:p>
    <w:bookmarkStart w:id="106" w:name="page107"/>
    <w:bookmarkEnd w:id="106"/>
    <w:p>
      <w:pPr>
        <w:ind w:left="2040" w:hanging="505"/>
        <w:spacing w:after="0"/>
        <w:tabs>
          <w:tab w:leader="none" w:pos="204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Safety analysis:</w:t>
      </w:r>
    </w:p>
    <w:p>
      <w:pPr>
        <w:spacing w:after="0" w:line="114" w:lineRule="exact"/>
        <w:rPr>
          <w:rFonts w:ascii="Times New Roman" w:cs="Times New Roman" w:eastAsia="Times New Roman" w:hAnsi="Times New Roman"/>
          <w:sz w:val="17"/>
          <w:szCs w:val="17"/>
          <w:color w:val="auto"/>
        </w:rPr>
      </w:pPr>
    </w:p>
    <w:p>
      <w:pPr>
        <w:ind w:left="2560" w:right="300" w:hanging="516"/>
        <w:spacing w:after="0" w:line="266" w:lineRule="auto"/>
        <w:tabs>
          <w:tab w:leader="none" w:pos="2560" w:val="left"/>
        </w:tabs>
        <w:numPr>
          <w:ilvl w:val="1"/>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Addition of CAN-2409 regimen to SoC was generally well tolerated, with no dose-limiting toxicities, including no cases of pancreatitis.</w:t>
      </w:r>
    </w:p>
    <w:p>
      <w:pPr>
        <w:spacing w:after="0" w:line="52" w:lineRule="exact"/>
        <w:rPr>
          <w:sz w:val="20"/>
          <w:szCs w:val="20"/>
          <w:color w:val="auto"/>
        </w:rPr>
      </w:pPr>
    </w:p>
    <w:p>
      <w:pPr>
        <w:ind w:left="1540" w:hanging="514"/>
        <w:spacing w:after="0"/>
        <w:tabs>
          <w:tab w:leader="none" w:pos="1540" w:val="left"/>
        </w:tabs>
        <w:numPr>
          <w:ilvl w:val="0"/>
          <w:numId w:val="76"/>
        </w:numPr>
        <w:rPr>
          <w:rFonts w:ascii="Times New Roman" w:cs="Times New Roman" w:eastAsia="Times New Roman" w:hAnsi="Times New Roman"/>
          <w:sz w:val="17"/>
          <w:szCs w:val="17"/>
          <w:color w:val="auto"/>
        </w:rPr>
      </w:pPr>
      <w:r>
        <w:rPr>
          <w:rFonts w:ascii="Arial" w:cs="Arial" w:eastAsia="Arial" w:hAnsi="Arial"/>
          <w:sz w:val="17"/>
          <w:szCs w:val="17"/>
          <w:color w:val="auto"/>
        </w:rPr>
        <w:t>In February 2025, we announced the final analysis of this phase 2 clinical trial in borderline resectable PDAC:</w:t>
      </w:r>
    </w:p>
    <w:p>
      <w:pPr>
        <w:spacing w:after="0" w:line="114" w:lineRule="exact"/>
        <w:rPr>
          <w:rFonts w:ascii="Times New Roman" w:cs="Times New Roman" w:eastAsia="Times New Roman" w:hAnsi="Times New Roman"/>
          <w:sz w:val="17"/>
          <w:szCs w:val="17"/>
          <w:color w:val="auto"/>
        </w:rPr>
      </w:pPr>
    </w:p>
    <w:p>
      <w:pPr>
        <w:ind w:left="2040" w:right="200" w:hanging="505"/>
        <w:spacing w:after="0" w:line="266" w:lineRule="auto"/>
        <w:tabs>
          <w:tab w:leader="none" w:pos="2040" w:val="left"/>
        </w:tabs>
        <w:numPr>
          <w:ilvl w:val="1"/>
          <w:numId w:val="76"/>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median overall survival after enrollment was 31.4 months in the CAN-2409 group versus only 12.5 months in the control group.</w:t>
      </w:r>
    </w:p>
    <w:p>
      <w:pPr>
        <w:spacing w:after="0" w:line="51" w:lineRule="exact"/>
        <w:rPr>
          <w:rFonts w:ascii="Times New Roman" w:cs="Times New Roman" w:eastAsia="Times New Roman" w:hAnsi="Times New Roman"/>
          <w:sz w:val="17"/>
          <w:szCs w:val="17"/>
          <w:color w:val="auto"/>
        </w:rPr>
      </w:pPr>
    </w:p>
    <w:p>
      <w:pPr>
        <w:ind w:left="2040" w:right="40" w:hanging="505"/>
        <w:spacing w:after="0"/>
        <w:tabs>
          <w:tab w:leader="none" w:pos="2040" w:val="left"/>
        </w:tabs>
        <w:numPr>
          <w:ilvl w:val="1"/>
          <w:numId w:val="76"/>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3 out of 7 patients who received CAN-2409 were still alive at the time of data cut-off (February 20, 2025) with survival of 66.0, 63.6, and 35.8 months after enrollment; survival from the time of diagnosis was 73.5, 68.8 and 41.3 months for these patients. In contrast, only one out of 6 patients randomized to SoC chemotherapy arm remained alive at the data cutoff; histologic analysis at resection showed intraepithelial neoplasia associated with improved prognosis in this patient.</w:t>
      </w:r>
    </w:p>
    <w:p>
      <w:pPr>
        <w:spacing w:after="0" w:line="74"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1"/>
          <w:numId w:val="76"/>
        </w:numPr>
        <w:rPr>
          <w:rFonts w:ascii="Times New Roman" w:cs="Times New Roman" w:eastAsia="Times New Roman" w:hAnsi="Times New Roman"/>
          <w:sz w:val="17"/>
          <w:szCs w:val="17"/>
          <w:color w:val="auto"/>
        </w:rPr>
      </w:pPr>
      <w:r>
        <w:rPr>
          <w:rFonts w:ascii="Arial" w:cs="Arial" w:eastAsia="Arial" w:hAnsi="Arial"/>
          <w:sz w:val="17"/>
          <w:szCs w:val="17"/>
          <w:color w:val="auto"/>
        </w:rPr>
        <w:t>Median survival post-progression was 21.2 months in CAN-2409 patients (vs. 7.2 months on the control arm).</w:t>
      </w:r>
    </w:p>
    <w:p>
      <w:pPr>
        <w:spacing w:after="0" w:line="114" w:lineRule="exact"/>
        <w:rPr>
          <w:rFonts w:ascii="Times New Roman" w:cs="Times New Roman" w:eastAsia="Times New Roman" w:hAnsi="Times New Roman"/>
          <w:sz w:val="17"/>
          <w:szCs w:val="17"/>
          <w:color w:val="auto"/>
        </w:rPr>
      </w:pPr>
    </w:p>
    <w:p>
      <w:pPr>
        <w:ind w:left="2040" w:right="180" w:hanging="505"/>
        <w:spacing w:after="0" w:line="266" w:lineRule="auto"/>
        <w:tabs>
          <w:tab w:leader="none" w:pos="2040" w:val="left"/>
        </w:tabs>
        <w:numPr>
          <w:ilvl w:val="1"/>
          <w:numId w:val="76"/>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promising findings, the Company has decided to prepare for a larger, late-stage, randomized controlled clinical trial of CAN-2409 in PDAC.</w:t>
      </w:r>
    </w:p>
    <w:p>
      <w:pPr>
        <w:spacing w:after="0" w:line="9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lead HSV-based product candidate, CAN-3110, is currently in an ongoing investigator-sponsored phase 1b clinical trial in our initial target indication of recurrent high-grade glioma (HGG). Patients recruited in this study have previously failed SoC treatment and have a poor prognosis (expected overall survival &lt; 6-9 months). In February 2024, we announced that the FDA granted fast track designation for CAN-3110 for the treatment of patients with recurrent HGG to improve overall survival. In May 2024, we also announced that the FDA granted orphan drug designation for CAN-3110 for the treatment of recurrent HGG.</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Initial overall survival data from this clinical trial was presented in an oral presentation at the American Society of Clinical Oncology (ASCO) Annual Meeting in June 2021, and additional biomarker data was reported in an oral presentation at the Society for Neuro-Oncology Annual Meeting in November 2021. During our Research and Development Day in December 2022, we presented updated data demonstrating that a single administration of CAN-3110 was well tolerated with no observed dose-limiting toxicity and achieved 11.6 months mOS. Furthermore, we showed evidence of persistent herpes simplex virus 1 (HSV-1) antigen and HSV-1 replication consistent with the mechanism of action​of CAN-3110 as well as evidence of robust immune activation in the tumor microenvironment and in the peripheral blood of treated patients​. In May 2023, we presented clinical and biomarker data from this ongoing clinical trial in an oral presentation at the American Society of Gene &amp; Cell Therapy (ASGCT) Annual Meeting where we reported mOS in arm A (n=41) ongoing at 11.8 months and mOS in arm B (n=9) ongoing at 12.0 months as of the April 20, 2023 data cutoff. The safety and tolerability data highlighted the absence of dose-limiting toxicities in both arm A and arm B.</w:t>
      </w:r>
    </w:p>
    <w:p>
      <w:pPr>
        <w:spacing w:after="0" w:line="12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In October 2023, we jointly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survival associated with immune activation in patients with recurrent HGG treated with CAN-3110. Notably, new data reported an increased survival in the 66% of patients with positivity for anti-HSV1 antibodies (mOS of 14.2 months). Immune status was positively associated with survival both in patients with pre-existing HSV1 antibodies (pre-treatment) and in 33% of patients who, while negative at baseline, developed anti-HSV1 antibodies after a single injection of CAN-3110. Clinical responses were observed in both injected and uninjected lesions in patients with multifocal disease. Significant tumor responses in both arm A and arm B were observed, with continued reduction in tumor volume in a patient in arm B approximately one year after CAN-3110 treatment. Clinical response for this patient continues as of February 2025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who were able to mount a diverse immune response against the virus and tumor antigens released during the oncolytic process after CAN-3110 administration, had improved survival.</w:t>
      </w:r>
    </w:p>
    <w:p>
      <w:pPr>
        <w:spacing w:after="0" w:line="12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could further improve survival. This clinical trial extension is supported by the Break Through Cancer foundation. As of February 2025, we have dosed seven patients with multiple injections of CAN-3110 (up to six injections over a period of four months). In June 2024, a poster presentation at the ASCO Annual Meeting demonstrated that multiple intratumoral injections of CAN-3110 were feasible and well tolerated with no dose-limiting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7" w:name="page108"/>
    <w:bookmarkEnd w:id="107"/>
    <w:p>
      <w:pPr>
        <w:ind w:right="40"/>
        <w:spacing w:after="0" w:line="236" w:lineRule="auto"/>
        <w:rPr>
          <w:sz w:val="20"/>
          <w:szCs w:val="20"/>
          <w:color w:val="auto"/>
        </w:rPr>
      </w:pPr>
      <w:r>
        <w:rPr>
          <w:rFonts w:ascii="Arial" w:cs="Arial" w:eastAsia="Arial" w:hAnsi="Arial"/>
          <w:sz w:val="17"/>
          <w:szCs w:val="17"/>
          <w:color w:val="auto"/>
        </w:rPr>
        <w:t>toxicities or severe adverse events observed in the first six patients treated in arm C. More than 300 core biopsies were obtained from these patients, across the planned dose ranging time points, which were processed for “-omic” analysis, including single-cell RNA sequencing and cell profiling. In October 2024, during the 16th Annual International Oncolytic Virotherapy Conference (IOVC), we announced clinical activity and biomarker data for arm C. The principal investigator of the study reported ongoing improved survival compared to historical controls in patients treated with multiple injections of CAN-3110, with 3 out of 6 patients with recurrent HGG (recurrent glioblastoma) still alive more than one year (12.2, 13.0, and 18.7 months, respectively) after initiation of experimental treatment with CAN-3110. The data also showed discrepancies between imaging and histologic findings. Post treatment longitudinal biopsies demonstrated near absence of tumor cells alongside dense lymphocyte infiltrates especially in patients with enhancement on post-treatment MRI scans, suggesting the presence of radiologic pseudo-progression after treatment with CAN-3110. This data cautions against the evaluation of progression by imaging, restating the importance of survival as the primary endpoint for viral immunotherapy trials. We expect to present initial median overall survival data for the repeat dosing cohort in the fourth quarter of 2025.</w:t>
      </w:r>
    </w:p>
    <w:p>
      <w:pPr>
        <w:spacing w:after="0" w:line="10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November 2024, during the SITC 2024 Annual Meeting, we presented data demonstrating the antitumor activity of CAN-3110 in preclinical models of melanoma, a tumor characterized by high Nestin expression, frequent loss-of-function in CDKN2A, and alterations in the Ras-Raf signaling pathway. This data supports the rationale to expand the evaluation of CAN-3110 into tumors beyond recurrent HGG, creating a potential pipeline in a product.</w:t>
      </w:r>
    </w:p>
    <w:p>
      <w:pPr>
        <w:spacing w:after="0" w:line="11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are also designing additional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w:t>
      </w:r>
    </w:p>
    <w:p>
      <w:pPr>
        <w:spacing w:after="0" w:line="11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during the SITC 2023 Annual Meeting, we presented two posters describing the key elements of the platform and the development of the first experimental agent from the enLIGHTEN Discovery Platform. The first agent based on enLIGHTEN™, Alpha-201 Macro1, is an investigational viral immunotherapy designed to interfere with the CD47/SIRPα pathway and activate innate immune surveillance. Results demonstrated monotherapy activity of this agent following local administration in a preclinical model of lung and breast cancer. Additional preclinical data presented at SITC confirmed the capability of the enLIGHTEN™ Advanced Analytics suite to predict optimal gene payload combinations to arm viral vectors, enabling the design of potential combination therapeutics to overcome tumor resistance especially in cancers resistant to immune checkpoint inhibitor treatment.</w:t>
      </w:r>
    </w:p>
    <w:p>
      <w:pPr>
        <w:spacing w:after="0" w:line="10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being developed as a novel therapeutic strategy for solid tumors. Data presented included preclinical in vivo evidence of monotherapy activity of this preclinical candidate as well as activity when administered in combination with immune checkpoint inhibitors (improved survival as compared to PD-1 only treated mice).</w:t>
      </w:r>
    </w:p>
    <w:p>
      <w:pPr>
        <w:spacing w:after="0" w:line="129" w:lineRule="exact"/>
        <w:rPr>
          <w:sz w:val="20"/>
          <w:szCs w:val="20"/>
          <w:color w:val="auto"/>
        </w:rPr>
      </w:pPr>
    </w:p>
    <w:p>
      <w:pPr>
        <w:ind w:right="240"/>
        <w:spacing w:after="0" w:line="228" w:lineRule="auto"/>
        <w:rPr>
          <w:sz w:val="20"/>
          <w:szCs w:val="20"/>
          <w:color w:val="auto"/>
        </w:rPr>
      </w:pPr>
      <w:r>
        <w:rPr>
          <w:rFonts w:ascii="Arial" w:cs="Arial" w:eastAsia="Arial" w:hAnsi="Arial"/>
          <w:sz w:val="17"/>
          <w:szCs w:val="17"/>
          <w:color w:val="auto"/>
        </w:rPr>
        <w:t>In October 2024, during the 16th Annual IOVC, we presented data on a novel biological multimodal therapeutic from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the third preclinical candidate, encoding IL-12 and IL-15. Data included the ability of this asset to induce expansion and activation of natural killer and CD8+ T cells, resulting in significant inhibition of tumor growth and tumor regression in two different tumor models.</w:t>
      </w:r>
    </w:p>
    <w:p>
      <w:pPr>
        <w:spacing w:after="0" w:line="114"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We currently own development and commercialization rights for all our programs in major markets, including the United States, Europe and Asia, allowing us to control development and seek approval in those areas as we prepare our commercialization efforts.</w:t>
      </w:r>
    </w:p>
    <w:p>
      <w:pPr>
        <w:spacing w:after="0" w:line="7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 On August 5, 2022, we filed a shelf registration statement on Form S-3 (as amended,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March 6, 2025, we have sold and issued 2,976,391 shares of common stock under the ATM Program, with total net proceeds of $16.2 million. On December 16, 2024, we issued and sold 12,000,001 shares of common stock at a price to the public of $6.00 per share and pre-funded warrants to purchase up to an aggregate of 3,333,333 shares of common stock at a price to the public of $5.99 per pre-funded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08" w:name="page109"/>
    <w:bookmarkEnd w:id="108"/>
    <w:p>
      <w:pPr>
        <w:jc w:val="both"/>
        <w:ind w:right="20"/>
        <w:spacing w:after="0" w:line="249" w:lineRule="auto"/>
        <w:rPr>
          <w:sz w:val="20"/>
          <w:szCs w:val="20"/>
          <w:color w:val="auto"/>
        </w:rPr>
      </w:pPr>
      <w:r>
        <w:rPr>
          <w:rFonts w:ascii="Arial" w:cs="Arial" w:eastAsia="Arial" w:hAnsi="Arial"/>
          <w:sz w:val="17"/>
          <w:szCs w:val="17"/>
          <w:color w:val="auto"/>
        </w:rPr>
        <w:t>warrant to purchase one share of the common stock for aggregate gross proceeds of approximately $92.0 million (the 2024 Follow-On Offering). We received approximately $85.9 million in net proceeds from the 2024 Follow-On Offering after deducting underwriting discounts and commissions and offering expenses.</w:t>
      </w:r>
    </w:p>
    <w:p>
      <w:pPr>
        <w:spacing w:after="0" w:line="9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Our cash and cash equivalents were $102.7 million as of December 31, 2024, which we believe will enable us to fund our operating expenses and capital expenditure requirements into the first quarter of 2027.</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w:t>
      </w:r>
    </w:p>
    <w:p>
      <w:pPr>
        <w:spacing w:after="0" w:line="142"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are a party to a number of license and collaboration agreements under which we license patents, patent applications and other intellectual property to and from third parties.</w:t>
      </w:r>
    </w:p>
    <w:p>
      <w:pPr>
        <w:spacing w:after="0" w:line="78"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 xml:space="preserve">Periphagen.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12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115"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 xml:space="preserve">Mass General Brigham (MGB). </w:t>
      </w:r>
      <w:r>
        <w:rPr>
          <w:rFonts w:ascii="Arial" w:cs="Arial" w:eastAsia="Arial" w:hAnsi="Arial"/>
          <w:sz w:val="17"/>
          <w:szCs w:val="17"/>
          <w:color w:val="auto"/>
        </w:rPr>
        <w:t>On January 20, 2018, we entered into an exclusive option agreement (the Option Agreement) with MGB.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116"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 xml:space="preserve">Ventagen. </w:t>
      </w:r>
      <w:r>
        <w:rPr>
          <w:rFonts w:ascii="Arial" w:cs="Arial" w:eastAsia="Arial" w:hAnsi="Arial"/>
          <w:sz w:val="17"/>
          <w:szCs w:val="17"/>
          <w:color w:val="auto"/>
        </w:rPr>
        <w:t>On March 1, 2014, we entered into an exclusive license agreement ( the Ventagen Agreement) with Ventagen, a related party.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auto"/>
        </w:rPr>
        <w:t>Salvador, Costa Rica, Nicaragua, Panama, Colombia and Bolivia. Ventagen is 49.5% owned by certain of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Restructuring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2023, our board of directors authorized a restructuring plan to focus on key clinical readouts for CAN-2409 and continuation and</w:t>
      </w:r>
    </w:p>
    <w:p>
      <w:pPr>
        <w:spacing w:after="0" w:line="20" w:lineRule="exact"/>
        <w:rPr>
          <w:sz w:val="20"/>
          <w:szCs w:val="20"/>
          <w:color w:val="auto"/>
        </w:rPr>
      </w:pPr>
    </w:p>
    <w:p>
      <w:pPr>
        <w:ind w:right="360"/>
        <w:spacing w:after="0" w:line="226" w:lineRule="auto"/>
        <w:rPr>
          <w:sz w:val="20"/>
          <w:szCs w:val="20"/>
          <w:color w:val="auto"/>
        </w:rPr>
      </w:pPr>
      <w:r>
        <w:rPr>
          <w:rFonts w:ascii="Arial" w:cs="Arial" w:eastAsia="Arial" w:hAnsi="Arial"/>
          <w:sz w:val="17"/>
          <w:szCs w:val="17"/>
          <w:color w:val="auto"/>
        </w:rPr>
        <w:t>expansion of development of CAN-3110 as well as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which resulted in a reduction of our workforce by approximately 45%. Each affected employee’s separation occurred in December 2023. As a result, we incurred costs of $0.7 million related to severance benefits for the affected employees, including severance payments and limited reimbursement of medical insurance premiums. The restructuring plan was completed in the first quarter of 2024 when the final severance payments of $46,000 were made.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42" w:lineRule="exact"/>
        <w:rPr>
          <w:sz w:val="20"/>
          <w:szCs w:val="20"/>
          <w:color w:val="auto"/>
        </w:rPr>
      </w:pPr>
    </w:p>
    <w:p>
      <w:pPr>
        <w:ind w:right="760"/>
        <w:spacing w:after="0" w:line="267"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CAN-2409 and CAN-3110. We expense research and development costs as incurred. These include the following:</w:t>
      </w:r>
    </w:p>
    <w:p>
      <w:pPr>
        <w:spacing w:after="0" w:line="113" w:lineRule="exact"/>
        <w:rPr>
          <w:sz w:val="20"/>
          <w:szCs w:val="20"/>
          <w:color w:val="auto"/>
        </w:rPr>
      </w:pPr>
    </w:p>
    <w:p>
      <w:pPr>
        <w:ind w:left="760" w:right="640" w:hanging="378"/>
        <w:spacing w:after="0" w:line="266" w:lineRule="auto"/>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payments made under third-party licensing agreements;</w:t>
      </w:r>
    </w:p>
    <w:p>
      <w:pPr>
        <w:spacing w:after="0" w:line="154" w:lineRule="exact"/>
        <w:rPr>
          <w:rFonts w:ascii="Times New Roman" w:cs="Times New Roman" w:eastAsia="Times New Roman" w:hAnsi="Times New Roman"/>
          <w:sz w:val="17"/>
          <w:szCs w:val="17"/>
          <w:color w:val="auto"/>
        </w:rPr>
      </w:pPr>
    </w:p>
    <w:p>
      <w:pPr>
        <w:ind w:left="760" w:right="460" w:hanging="378"/>
        <w:spacing w:after="0" w:line="266" w:lineRule="auto"/>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compliance with quality and regulatory requirements;</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costs of outside consultants, primarily related to regulatory; and</w:t>
      </w:r>
    </w:p>
    <w:p>
      <w:pPr>
        <w:spacing w:after="0" w:line="154" w:lineRule="exact"/>
        <w:rPr>
          <w:rFonts w:ascii="Times New Roman" w:cs="Times New Roman" w:eastAsia="Times New Roman" w:hAnsi="Times New Roman"/>
          <w:sz w:val="17"/>
          <w:szCs w:val="17"/>
          <w:color w:val="auto"/>
        </w:rPr>
      </w:pPr>
    </w:p>
    <w:p>
      <w:pPr>
        <w:ind w:left="760" w:right="120" w:hanging="378"/>
        <w:spacing w:after="0" w:line="266" w:lineRule="auto"/>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7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11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38" w:right="459" w:bottom="1440" w:gutter="0" w:footer="0" w:header="0"/>
        </w:sectPr>
      </w:pPr>
    </w:p>
    <w:bookmarkStart w:id="110" w:name="page111"/>
    <w:bookmarkEnd w:id="110"/>
    <w:p>
      <w:pPr>
        <w:ind w:right="60"/>
        <w:spacing w:after="0" w:line="267" w:lineRule="auto"/>
        <w:rPr>
          <w:sz w:val="20"/>
          <w:szCs w:val="20"/>
          <w:color w:val="auto"/>
        </w:rPr>
      </w:pPr>
      <w:r>
        <w:rPr>
          <w:rFonts w:ascii="Arial" w:cs="Arial" w:eastAsia="Arial" w:hAnsi="Arial"/>
          <w:sz w:val="17"/>
          <w:szCs w:val="17"/>
          <w:color w:val="auto"/>
        </w:rPr>
        <w:t>and timing of clinical trials and development of CAN-2409 and CAN-3110 and any other product candidate we may develop will depend on a variety of factors, including:</w:t>
      </w:r>
    </w:p>
    <w:p>
      <w:pPr>
        <w:spacing w:after="0" w:line="78"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rate of progress, expense and results of clinical trials;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add and retain key research and development personnel;</w:t>
      </w:r>
    </w:p>
    <w:p>
      <w:pPr>
        <w:spacing w:after="0" w:line="141" w:lineRule="exact"/>
        <w:rPr>
          <w:rFonts w:ascii="Times New Roman" w:cs="Times New Roman" w:eastAsia="Times New Roman" w:hAnsi="Times New Roman"/>
          <w:sz w:val="17"/>
          <w:szCs w:val="17"/>
          <w:color w:val="auto"/>
        </w:rPr>
      </w:pPr>
    </w:p>
    <w:p>
      <w:pPr>
        <w:ind w:left="760" w:right="960" w:hanging="378"/>
        <w:spacing w:after="0" w:line="266"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and changing government regulation and regulatory guidance;</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receipt of any marketing approvals;</w:t>
      </w:r>
    </w:p>
    <w:p>
      <w:pPr>
        <w:spacing w:after="0" w:line="141" w:lineRule="exact"/>
        <w:rPr>
          <w:rFonts w:ascii="Times New Roman" w:cs="Times New Roman" w:eastAsia="Times New Roman" w:hAnsi="Times New Roman"/>
          <w:sz w:val="17"/>
          <w:szCs w:val="17"/>
          <w:color w:val="auto"/>
        </w:rPr>
      </w:pPr>
    </w:p>
    <w:p>
      <w:pPr>
        <w:ind w:left="760" w:right="20" w:hanging="378"/>
        <w:spacing w:after="0" w:line="266"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92" w:lineRule="exact"/>
        <w:rPr>
          <w:rFonts w:ascii="Times New Roman" w:cs="Times New Roman" w:eastAsia="Times New Roman" w:hAnsi="Times New Roman"/>
          <w:sz w:val="17"/>
          <w:szCs w:val="17"/>
          <w:color w:val="auto"/>
        </w:rPr>
      </w:pPr>
    </w:p>
    <w:p>
      <w:pPr>
        <w:ind w:left="760" w:right="320" w:hanging="378"/>
        <w:spacing w:after="0" w:line="266"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enter into agreements with contract development and manufacturing organizations (CDMOs) for the development, clinical manufacture and commercial manufacture of our product candidates CAN-2409 and CAN-3110</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154" w:lineRule="exact"/>
        <w:rPr>
          <w:rFonts w:ascii="Times New Roman" w:cs="Times New Roman" w:eastAsia="Times New Roman" w:hAnsi="Times New Roman"/>
          <w:sz w:val="17"/>
          <w:szCs w:val="17"/>
          <w:color w:val="auto"/>
        </w:rPr>
      </w:pPr>
    </w:p>
    <w:p>
      <w:pPr>
        <w:ind w:left="760" w:right="340" w:hanging="378"/>
        <w:spacing w:after="0" w:line="266"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7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54" w:lineRule="exact"/>
        <w:rPr>
          <w:rFonts w:ascii="Times New Roman" w:cs="Times New Roman" w:eastAsia="Times New Roman" w:hAnsi="Times New Roman"/>
          <w:sz w:val="17"/>
          <w:szCs w:val="17"/>
          <w:color w:val="auto"/>
        </w:rPr>
      </w:pPr>
    </w:p>
    <w:p>
      <w:pPr>
        <w:ind w:left="760" w:hanging="378"/>
        <w:spacing w:after="0" w:line="249"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any future public health crisis or ongoing geopolitical conflicts and related global economic sanctions;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154" w:lineRule="exact"/>
        <w:rPr>
          <w:rFonts w:ascii="Times New Roman" w:cs="Times New Roman" w:eastAsia="Times New Roman" w:hAnsi="Times New Roman"/>
          <w:sz w:val="17"/>
          <w:szCs w:val="17"/>
          <w:color w:val="auto"/>
        </w:rPr>
      </w:pPr>
    </w:p>
    <w:p>
      <w:pPr>
        <w:ind w:left="760" w:right="160" w:hanging="378"/>
        <w:spacing w:after="0" w:line="266"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7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55"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111" w:name="page112"/>
    <w:bookmarkEnd w:id="111"/>
    <w:p>
      <w:pPr>
        <w:ind w:right="20"/>
        <w:spacing w:after="0" w:line="241"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primarily consists of amounts earned on investment of cash equivalents.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primarily consists of interest expense on our debt under our Loan Agreement with Silicon Valley Bank (SVB).</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 Liability</w:t>
      </w:r>
    </w:p>
    <w:p>
      <w:pPr>
        <w:spacing w:after="0" w:line="14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consolidated statements of operations.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4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Since 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spacing w:after="0" w:line="9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of December 31, 2024, we had federal net operating loss carryforwards (NOLs) of approximately $111.6 million and state NOLs of approximately $101.9 million which may be available to offset future taxable income. Our federal NOLs include $8.8 million available to reduce future taxable income through 2037 and approximately $102.8 million of NOLs that do not expire and are available to reduce future taxable income indefinitely. The state NOLs are available to offset future taxable income through 2033. As of December 31, 2024, we also had federal and state research and development tax credit carryforwards of $5.0 million and $2.4 million, respectively, which are available to offset federal and state tax liabilities through 2043 and 2038, respectively.</w:t>
      </w:r>
    </w:p>
    <w:p>
      <w:pPr>
        <w:spacing w:after="0" w:line="101" w:lineRule="exact"/>
        <w:rPr>
          <w:sz w:val="20"/>
          <w:szCs w:val="20"/>
          <w:color w:val="auto"/>
        </w:rPr>
      </w:pPr>
    </w:p>
    <w:p>
      <w:pPr>
        <w:ind w:right="580"/>
        <w:spacing w:after="0" w:line="249"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w:t>
      </w:r>
    </w:p>
    <w:p>
      <w:pPr>
        <w:spacing w:after="0" w:line="10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Management has considered our history of cumulative net losses incurred since inception, as well as our lack of product revenue since inception, and has determined that it is more likely than not that we will not realize the benefits of our deferred tax assets. As a result, a full valuation allowance has been established at December 31, 2024.</w:t>
      </w:r>
    </w:p>
    <w:p>
      <w:pPr>
        <w:spacing w:after="0" w:line="107"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2024 and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Operating expenses:</w:t>
            </w:r>
          </w:p>
        </w:tc>
        <w:tc>
          <w:tcPr>
            <w:tcW w:w="26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280"/>
              <w:spacing w:after="0" w:line="189" w:lineRule="exact"/>
              <w:rPr>
                <w:sz w:val="20"/>
                <w:szCs w:val="20"/>
                <w:color w:val="auto"/>
              </w:rPr>
            </w:pPr>
            <w:r>
              <w:rPr>
                <w:rFonts w:ascii="Arial" w:cs="Arial" w:eastAsia="Arial" w:hAnsi="Arial"/>
                <w:sz w:val="17"/>
                <w:szCs w:val="17"/>
                <w:color w:val="auto"/>
              </w:rPr>
              <w:t>Research and development</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19,314</w:t>
            </w:r>
          </w:p>
        </w:tc>
        <w:tc>
          <w:tcPr>
            <w:tcW w:w="260" w:type="dxa"/>
            <w:vAlign w:val="bottom"/>
          </w:tcPr>
          <w:p>
            <w:pPr>
              <w:spacing w:after="0"/>
              <w:rPr>
                <w:sz w:val="16"/>
                <w:szCs w:val="16"/>
                <w:color w:val="auto"/>
              </w:rPr>
            </w:pPr>
          </w:p>
        </w:tc>
        <w:tc>
          <w:tcPr>
            <w:tcW w:w="3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24,506</w:t>
            </w:r>
          </w:p>
        </w:tc>
        <w:tc>
          <w:tcPr>
            <w:tcW w:w="260" w:type="dxa"/>
            <w:vAlign w:val="bottom"/>
          </w:tcPr>
          <w:p>
            <w:pPr>
              <w:spacing w:after="0"/>
              <w:rPr>
                <w:sz w:val="16"/>
                <w:szCs w:val="16"/>
                <w:color w:val="auto"/>
              </w:rPr>
            </w:pPr>
          </w:p>
        </w:tc>
        <w:tc>
          <w:tcPr>
            <w:tcW w:w="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(5,192 )</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CFF0FC"/>
            </w:tcBorders>
            <w:shd w:val="clear" w:color="auto" w:fill="CFF0FC"/>
          </w:tcPr>
          <w:p>
            <w:pPr>
              <w:ind w:left="280"/>
              <w:spacing w:after="0" w:line="189" w:lineRule="exact"/>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14,057</w:t>
            </w: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13,885</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172</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0" w:type="dxa"/>
            <w:vAlign w:val="bottom"/>
          </w:tcPr>
          <w:p>
            <w:pPr>
              <w:ind w:left="520"/>
              <w:spacing w:after="0" w:line="183" w:lineRule="exact"/>
              <w:rPr>
                <w:sz w:val="20"/>
                <w:szCs w:val="20"/>
                <w:color w:val="auto"/>
              </w:rPr>
            </w:pPr>
            <w:r>
              <w:rPr>
                <w:rFonts w:ascii="Arial" w:cs="Arial" w:eastAsia="Arial" w:hAnsi="Arial"/>
                <w:sz w:val="17"/>
                <w:szCs w:val="17"/>
                <w:color w:val="auto"/>
              </w:rPr>
              <w:t>Total operating expenses</w:t>
            </w:r>
          </w:p>
        </w:tc>
        <w:tc>
          <w:tcPr>
            <w:tcW w:w="26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auto"/>
              </w:rPr>
              <w:t>33,371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7"/>
                <w:szCs w:val="17"/>
                <w:color w:val="auto"/>
              </w:rPr>
              <w:t>38,391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(5,020 )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Loss from operations</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7"/>
                <w:szCs w:val="17"/>
                <w:color w:val="auto"/>
              </w:rPr>
              <w:t>(33,371 )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7"/>
                <w:szCs w:val="17"/>
                <w:color w:val="auto"/>
              </w:rPr>
              <w:t>(38,391 )</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5,020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20"/>
              <w:spacing w:after="0" w:line="189" w:lineRule="exact"/>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1,086</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2,081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(995 )</w:t>
            </w: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Interest expense</w:t>
            </w:r>
          </w:p>
        </w:tc>
        <w:tc>
          <w:tcPr>
            <w:tcW w:w="2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7"/>
                <w:szCs w:val="17"/>
                <w:color w:val="auto"/>
              </w:rPr>
              <w:t>(2,090 )</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7"/>
                <w:szCs w:val="17"/>
                <w:color w:val="auto"/>
              </w:rPr>
              <w:t>(2,595 )</w:t>
            </w: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505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20"/>
              <w:spacing w:after="0" w:line="189" w:lineRule="exact"/>
              <w:rPr>
                <w:sz w:val="20"/>
                <w:szCs w:val="20"/>
                <w:color w:val="auto"/>
              </w:rPr>
            </w:pPr>
            <w:r>
              <w:rPr>
                <w:rFonts w:ascii="Arial" w:cs="Arial" w:eastAsia="Arial" w:hAnsi="Arial"/>
                <w:sz w:val="17"/>
                <w:szCs w:val="17"/>
                <w:color w:val="auto"/>
              </w:rPr>
              <w:t>Change in fair value of warrant liability</w:t>
            </w:r>
          </w:p>
        </w:tc>
        <w:tc>
          <w:tcPr>
            <w:tcW w:w="260" w:type="dxa"/>
            <w:vAlign w:val="bottom"/>
          </w:tcPr>
          <w:p>
            <w:pPr>
              <w:spacing w:after="0"/>
              <w:rPr>
                <w:sz w:val="16"/>
                <w:szCs w:val="16"/>
                <w:color w:val="auto"/>
              </w:rPr>
            </w:pPr>
          </w:p>
        </w:tc>
        <w:tc>
          <w:tcPr>
            <w:tcW w:w="13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(20,802 )</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966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(21,768 )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7"/>
                <w:szCs w:val="17"/>
                <w:color w:val="auto"/>
              </w:rPr>
              <w:t>Net loss</w:t>
            </w:r>
          </w:p>
        </w:tc>
        <w:tc>
          <w:tcPr>
            <w:tcW w:w="260" w:type="dxa"/>
            <w:vAlign w:val="bottom"/>
            <w:tcBorders>
              <w:bottom w:val="single" w:sz="8" w:color="auto"/>
            </w:tcBorders>
            <w:shd w:val="clear" w:color="auto" w:fill="CFF0FC"/>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2"/>
            <w:shd w:val="clear" w:color="auto" w:fill="CFF0FC"/>
          </w:tcPr>
          <w:p>
            <w:pPr>
              <w:jc w:val="right"/>
              <w:ind w:right="200"/>
              <w:spacing w:after="0" w:line="183" w:lineRule="exact"/>
              <w:rPr>
                <w:sz w:val="20"/>
                <w:szCs w:val="20"/>
                <w:color w:val="auto"/>
              </w:rPr>
            </w:pPr>
            <w:r>
              <w:rPr>
                <w:rFonts w:ascii="Arial" w:cs="Arial" w:eastAsia="Arial" w:hAnsi="Arial"/>
                <w:sz w:val="17"/>
                <w:szCs w:val="17"/>
                <w:color w:val="auto"/>
              </w:rPr>
              <w:t>(55,177 )</w:t>
            </w:r>
          </w:p>
        </w:tc>
        <w:tc>
          <w:tcPr>
            <w:tcW w:w="320" w:type="dxa"/>
            <w:vAlign w:val="bottom"/>
            <w:tcBorders>
              <w:bottom w:val="single" w:sz="8" w:color="auto"/>
            </w:tcBorders>
            <w:shd w:val="clear" w:color="auto" w:fill="CFF0FC"/>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gridSpan w:val="2"/>
            <w:shd w:val="clear" w:color="auto" w:fill="CFF0FC"/>
          </w:tcPr>
          <w:p>
            <w:pPr>
              <w:jc w:val="right"/>
              <w:ind w:right="200"/>
              <w:spacing w:after="0" w:line="183" w:lineRule="exact"/>
              <w:rPr>
                <w:sz w:val="20"/>
                <w:szCs w:val="20"/>
                <w:color w:val="auto"/>
              </w:rPr>
            </w:pPr>
            <w:r>
              <w:rPr>
                <w:rFonts w:ascii="Arial" w:cs="Arial" w:eastAsia="Arial" w:hAnsi="Arial"/>
                <w:sz w:val="17"/>
                <w:szCs w:val="17"/>
                <w:color w:val="auto"/>
              </w:rPr>
              <w:t>(37,939 )</w:t>
            </w:r>
          </w:p>
        </w:tc>
        <w:tc>
          <w:tcPr>
            <w:tcW w:w="240" w:type="dxa"/>
            <w:vAlign w:val="bottom"/>
            <w:tcBorders>
              <w:bottom w:val="single" w:sz="8" w:color="auto"/>
            </w:tcBorders>
            <w:shd w:val="clear" w:color="auto" w:fill="CFF0FC"/>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(17,238 )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-779145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-779145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-33655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-16510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-33655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-16510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-33655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-16510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2024 and 2023</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2024 and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6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(DECREASE)</w:t>
            </w:r>
          </w:p>
        </w:tc>
      </w:tr>
      <w:tr>
        <w:trPr>
          <w:trHeight w:val="183"/>
        </w:trPr>
        <w:tc>
          <w:tcPr>
            <w:tcW w:w="65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Employee-related</w:t>
            </w:r>
          </w:p>
        </w:tc>
        <w:tc>
          <w:tcPr>
            <w:tcW w:w="280" w:type="dxa"/>
            <w:vAlign w:val="bottom"/>
            <w:shd w:val="clear" w:color="auto" w:fill="CFF0FC"/>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11,669</w:t>
            </w:r>
          </w:p>
        </w:tc>
        <w:tc>
          <w:tcPr>
            <w:tcW w:w="58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13,362</w:t>
            </w:r>
          </w:p>
        </w:tc>
        <w:tc>
          <w:tcPr>
            <w:tcW w:w="4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7"/>
                <w:szCs w:val="17"/>
                <w:color w:val="auto"/>
              </w:rPr>
              <w:t>(1,693 )</w:t>
            </w:r>
          </w:p>
        </w:tc>
      </w:tr>
      <w:tr>
        <w:trPr>
          <w:trHeight w:val="189"/>
        </w:trPr>
        <w:tc>
          <w:tcPr>
            <w:tcW w:w="6580" w:type="dxa"/>
            <w:vAlign w:val="bottom"/>
          </w:tcPr>
          <w:p>
            <w:pPr>
              <w:ind w:left="20"/>
              <w:spacing w:after="0" w:line="189" w:lineRule="exact"/>
              <w:rPr>
                <w:sz w:val="20"/>
                <w:szCs w:val="20"/>
                <w:color w:val="auto"/>
              </w:rPr>
            </w:pPr>
            <w:r>
              <w:rPr>
                <w:rFonts w:ascii="Arial" w:cs="Arial" w:eastAsia="Arial" w:hAnsi="Arial"/>
                <w:sz w:val="17"/>
                <w:szCs w:val="17"/>
                <w:color w:val="auto"/>
              </w:rPr>
              <w:t>Clinical development</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5,196</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7,940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(2,744 )</w:t>
            </w:r>
          </w:p>
        </w:tc>
      </w:tr>
      <w:tr>
        <w:trPr>
          <w:trHeight w:val="189"/>
        </w:trPr>
        <w:tc>
          <w:tcPr>
            <w:tcW w:w="658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Depreciation, impairment, and loss on sale of fixed assets</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1,020</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1,419</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(399 )</w:t>
            </w:r>
          </w:p>
        </w:tc>
      </w:tr>
      <w:tr>
        <w:trPr>
          <w:trHeight w:val="189"/>
        </w:trPr>
        <w:tc>
          <w:tcPr>
            <w:tcW w:w="6580" w:type="dxa"/>
            <w:vAlign w:val="bottom"/>
          </w:tcPr>
          <w:p>
            <w:pPr>
              <w:ind w:left="20"/>
              <w:spacing w:after="0" w:line="189" w:lineRule="exact"/>
              <w:rPr>
                <w:sz w:val="20"/>
                <w:szCs w:val="20"/>
                <w:color w:val="auto"/>
              </w:rPr>
            </w:pPr>
            <w:r>
              <w:rPr>
                <w:rFonts w:ascii="Arial" w:cs="Arial" w:eastAsia="Arial" w:hAnsi="Arial"/>
                <w:sz w:val="17"/>
                <w:szCs w:val="17"/>
                <w:color w:val="auto"/>
              </w:rPr>
              <w:t>Occupancy</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546</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526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20</w:t>
            </w:r>
          </w:p>
        </w:tc>
        <w:tc>
          <w:tcPr>
            <w:tcW w:w="100" w:type="dxa"/>
            <w:vAlign w:val="bottom"/>
          </w:tcPr>
          <w:p>
            <w:pPr>
              <w:spacing w:after="0"/>
              <w:rPr>
                <w:sz w:val="16"/>
                <w:szCs w:val="16"/>
                <w:color w:val="auto"/>
              </w:rPr>
            </w:pPr>
          </w:p>
        </w:tc>
      </w:tr>
      <w:tr>
        <w:trPr>
          <w:trHeight w:val="189"/>
        </w:trPr>
        <w:tc>
          <w:tcPr>
            <w:tcW w:w="658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Pre-clinical research</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384</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660</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(276 )</w:t>
            </w:r>
          </w:p>
        </w:tc>
      </w:tr>
      <w:tr>
        <w:trPr>
          <w:trHeight w:val="189"/>
        </w:trPr>
        <w:tc>
          <w:tcPr>
            <w:tcW w:w="6580" w:type="dxa"/>
            <w:vAlign w:val="bottom"/>
          </w:tcPr>
          <w:p>
            <w:pPr>
              <w:ind w:left="20"/>
              <w:spacing w:after="0" w:line="189" w:lineRule="exact"/>
              <w:rPr>
                <w:sz w:val="20"/>
                <w:szCs w:val="20"/>
                <w:color w:val="auto"/>
              </w:rPr>
            </w:pPr>
            <w:r>
              <w:rPr>
                <w:rFonts w:ascii="Arial" w:cs="Arial" w:eastAsia="Arial" w:hAnsi="Arial"/>
                <w:sz w:val="17"/>
                <w:szCs w:val="17"/>
                <w:color w:val="auto"/>
              </w:rPr>
              <w:t>Recruiting</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286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(286 )</w:t>
            </w:r>
          </w:p>
        </w:tc>
      </w:tr>
      <w:tr>
        <w:trPr>
          <w:trHeight w:val="189"/>
        </w:trPr>
        <w:tc>
          <w:tcPr>
            <w:tcW w:w="6580" w:type="dxa"/>
            <w:vAlign w:val="bottom"/>
            <w:tcBorders>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499</w:t>
            </w: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313</w:t>
            </w:r>
          </w:p>
        </w:tc>
        <w:tc>
          <w:tcPr>
            <w:tcW w:w="2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186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580" w:type="dxa"/>
            <w:vAlign w:val="bottom"/>
          </w:tcPr>
          <w:p>
            <w:pPr>
              <w:spacing w:after="0"/>
              <w:rPr>
                <w:sz w:val="15"/>
                <w:szCs w:val="15"/>
                <w:color w:val="auto"/>
              </w:rPr>
            </w:pPr>
          </w:p>
        </w:tc>
        <w:tc>
          <w:tcPr>
            <w:tcW w:w="280" w:type="dxa"/>
            <w:vAlign w:val="bottom"/>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auto"/>
              </w:rPr>
              <w:t>19,314</w:t>
            </w:r>
          </w:p>
        </w:tc>
        <w:tc>
          <w:tcPr>
            <w:tcW w:w="580" w:type="dxa"/>
            <w:vAlign w:val="bottom"/>
            <w:gridSpan w:val="2"/>
          </w:tcPr>
          <w:p>
            <w:pPr>
              <w:jc w:val="right"/>
              <w:ind w:right="200"/>
              <w:spacing w:after="0" w:line="183"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7"/>
                <w:szCs w:val="17"/>
                <w:color w:val="auto"/>
              </w:rPr>
              <w:t>24,506</w:t>
            </w:r>
          </w:p>
        </w:tc>
        <w:tc>
          <w:tcPr>
            <w:tcW w:w="44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(5,192 )</w:t>
            </w: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-161925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-161925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Research and development expenses decreased $5.2 million from $24.5 million for the year ended December 31, 2023 to $19.3 million for the year ended December 31, 2024. The decrease was primarily attributable to a $2.7 million decrease in clinical development costs driven by decreased regulatory, manufacturing and clinical trial costs for CAN-2409 programs, a $1.7 million decrease in employee-related expenses due to the corporate restructuring in the fourth quarter of 2023, and a $0.4 million decrease in depreciation, impairment, and loss on the sale of fixed assets.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years ended December 31, 2024 and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66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(DECREASE)</w:t>
            </w: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Employee-related</w:t>
            </w:r>
          </w:p>
        </w:tc>
        <w:tc>
          <w:tcPr>
            <w:tcW w:w="280" w:type="dxa"/>
            <w:vAlign w:val="bottom"/>
            <w:shd w:val="clear" w:color="auto" w:fill="CFF0FC"/>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6,831</w:t>
            </w:r>
          </w:p>
        </w:tc>
        <w:tc>
          <w:tcPr>
            <w:tcW w:w="580" w:type="dxa"/>
            <w:vAlign w:val="bottom"/>
            <w:gridSpan w:val="2"/>
            <w:shd w:val="clear" w:color="auto" w:fill="CFF0FC"/>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7,573</w:t>
            </w:r>
          </w:p>
        </w:tc>
        <w:tc>
          <w:tcPr>
            <w:tcW w:w="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7"/>
                <w:szCs w:val="17"/>
                <w:color w:val="auto"/>
              </w:rPr>
              <w:t>(742 )</w:t>
            </w:r>
          </w:p>
        </w:tc>
      </w:tr>
      <w:tr>
        <w:trPr>
          <w:trHeight w:val="189"/>
        </w:trPr>
        <w:tc>
          <w:tcPr>
            <w:tcW w:w="6600" w:type="dxa"/>
            <w:vAlign w:val="bottom"/>
          </w:tcPr>
          <w:p>
            <w:pPr>
              <w:ind w:left="20"/>
              <w:spacing w:after="0" w:line="189" w:lineRule="exact"/>
              <w:rPr>
                <w:sz w:val="20"/>
                <w:szCs w:val="20"/>
                <w:color w:val="auto"/>
              </w:rPr>
            </w:pPr>
            <w:r>
              <w:rPr>
                <w:rFonts w:ascii="Arial" w:cs="Arial" w:eastAsia="Arial" w:hAnsi="Arial"/>
                <w:sz w:val="17"/>
                <w:szCs w:val="17"/>
                <w:color w:val="auto"/>
              </w:rPr>
              <w:t>Professional and consulting fees</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5,263</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3,666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1,597</w:t>
            </w:r>
          </w:p>
        </w:tc>
        <w:tc>
          <w:tcPr>
            <w:tcW w:w="100" w:type="dxa"/>
            <w:vAlign w:val="bottom"/>
          </w:tcPr>
          <w:p>
            <w:pPr>
              <w:spacing w:after="0"/>
              <w:rPr>
                <w:sz w:val="16"/>
                <w:szCs w:val="16"/>
                <w:color w:val="auto"/>
              </w:rPr>
            </w:pPr>
          </w:p>
        </w:tc>
      </w:tr>
      <w:tr>
        <w:trPr>
          <w:trHeight w:val="189"/>
        </w:trPr>
        <w:tc>
          <w:tcPr>
            <w:tcW w:w="660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Insurance</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1,188</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1,597</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(409 )</w:t>
            </w:r>
          </w:p>
        </w:tc>
      </w:tr>
      <w:tr>
        <w:trPr>
          <w:trHeight w:val="189"/>
        </w:trPr>
        <w:tc>
          <w:tcPr>
            <w:tcW w:w="6600" w:type="dxa"/>
            <w:vAlign w:val="bottom"/>
          </w:tcPr>
          <w:p>
            <w:pPr>
              <w:ind w:left="20"/>
              <w:spacing w:after="0" w:line="189" w:lineRule="exact"/>
              <w:rPr>
                <w:sz w:val="20"/>
                <w:szCs w:val="20"/>
                <w:color w:val="auto"/>
              </w:rPr>
            </w:pPr>
            <w:r>
              <w:rPr>
                <w:rFonts w:ascii="Arial" w:cs="Arial" w:eastAsia="Arial" w:hAnsi="Arial"/>
                <w:sz w:val="17"/>
                <w:szCs w:val="17"/>
                <w:color w:val="auto"/>
              </w:rPr>
              <w:t>Occupancy</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192</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161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6"/>
                <w:szCs w:val="16"/>
                <w:color w:val="auto"/>
              </w:rPr>
            </w:pPr>
          </w:p>
        </w:tc>
      </w:tr>
      <w:tr>
        <w:trPr>
          <w:trHeight w:val="189"/>
        </w:trPr>
        <w:tc>
          <w:tcPr>
            <w:tcW w:w="660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Information technology costs</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125</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263</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(138 )</w:t>
            </w:r>
          </w:p>
        </w:tc>
      </w:tr>
      <w:tr>
        <w:trPr>
          <w:trHeight w:val="189"/>
        </w:trPr>
        <w:tc>
          <w:tcPr>
            <w:tcW w:w="6600" w:type="dxa"/>
            <w:vAlign w:val="bottom"/>
          </w:tcPr>
          <w:p>
            <w:pPr>
              <w:ind w:left="20"/>
              <w:spacing w:after="0" w:line="189" w:lineRule="exact"/>
              <w:rPr>
                <w:sz w:val="20"/>
                <w:szCs w:val="20"/>
                <w:color w:val="auto"/>
              </w:rPr>
            </w:pPr>
            <w:r>
              <w:rPr>
                <w:rFonts w:ascii="Arial" w:cs="Arial" w:eastAsia="Arial" w:hAnsi="Arial"/>
                <w:sz w:val="17"/>
                <w:szCs w:val="17"/>
                <w:color w:val="auto"/>
              </w:rPr>
              <w:t>Recruiting</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159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(159 )</w:t>
            </w:r>
          </w:p>
        </w:tc>
      </w:tr>
      <w:tr>
        <w:trPr>
          <w:trHeight w:val="189"/>
        </w:trPr>
        <w:tc>
          <w:tcPr>
            <w:tcW w:w="660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Other</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458</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466</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(8 )</w:t>
            </w:r>
          </w:p>
        </w:tc>
      </w:tr>
      <w:tr>
        <w:trPr>
          <w:trHeight w:val="183"/>
        </w:trPr>
        <w:tc>
          <w:tcPr>
            <w:tcW w:w="660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14,057</w:t>
            </w:r>
          </w:p>
        </w:tc>
        <w:tc>
          <w:tcPr>
            <w:tcW w:w="26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13,885</w:t>
            </w:r>
          </w:p>
        </w:tc>
        <w:tc>
          <w:tcPr>
            <w:tcW w:w="26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172</w:t>
            </w:r>
          </w:p>
        </w:tc>
        <w:tc>
          <w:tcPr>
            <w:tcW w:w="100" w:type="dxa"/>
            <w:vAlign w:val="bottom"/>
            <w:tcBorders>
              <w:top w:val="single" w:sz="8" w:color="CFF0FC"/>
            </w:tcBorders>
          </w:tcPr>
          <w:p>
            <w:pPr>
              <w:spacing w:after="0"/>
              <w:rPr>
                <w:sz w:val="15"/>
                <w:szCs w:val="15"/>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-161925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-161925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General and administrative expenses increased $0.2 million from $13.9 million for the year ended December 31, 2023 to $14.1 million for the year ended December 31, 2024. The increase was primarily attributable to a $1.6 million increase in professional and consulting fees. The increase was partially offset by a $0.7 million decrease in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3" w:name="page114"/>
    <w:bookmarkEnd w:id="113"/>
    <w:p>
      <w:pPr>
        <w:ind w:right="160"/>
        <w:spacing w:after="0" w:line="267" w:lineRule="auto"/>
        <w:rPr>
          <w:sz w:val="20"/>
          <w:szCs w:val="20"/>
          <w:color w:val="auto"/>
        </w:rPr>
      </w:pPr>
      <w:r>
        <w:rPr>
          <w:rFonts w:ascii="Arial" w:cs="Arial" w:eastAsia="Arial" w:hAnsi="Arial"/>
          <w:sz w:val="17"/>
          <w:szCs w:val="17"/>
          <w:color w:val="auto"/>
        </w:rPr>
        <w:t>employee-related expenses due to the corporate restructuring in the fourth quarter of 2023, and a $0.4 million decrease in the cost of directors and officers insurance.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29" w:lineRule="exact"/>
        <w:rPr>
          <w:sz w:val="20"/>
          <w:szCs w:val="20"/>
          <w:color w:val="auto"/>
        </w:rPr>
      </w:pPr>
    </w:p>
    <w:p>
      <w:pPr>
        <w:ind w:right="400"/>
        <w:spacing w:after="0" w:line="249" w:lineRule="auto"/>
        <w:rPr>
          <w:sz w:val="20"/>
          <w:szCs w:val="20"/>
          <w:color w:val="auto"/>
        </w:rPr>
      </w:pPr>
      <w:r>
        <w:rPr>
          <w:rFonts w:ascii="Arial" w:cs="Arial" w:eastAsia="Arial" w:hAnsi="Arial"/>
          <w:sz w:val="17"/>
          <w:szCs w:val="17"/>
          <w:color w:val="auto"/>
        </w:rPr>
        <w:t>Interest income was $1.1 million for the year ended December 31, 2024, compared to $2.1 million for the year ended December 31, 2023, and primarily represents earnings on our cash equivalents. The decrease in interest income is the result of interest being generated on a lower cash equivalents balance for most of the year ended December 31, 2024 compared to the year ended December 31, 2023.</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2"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Interest expense was $2.1 million for the year ended December 31, 2024, compared to $2.6 million for the year ended December 31, 2023, and represents interest expense on our outstanding debt obligations.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 Liability</w:t>
      </w:r>
    </w:p>
    <w:p>
      <w:pPr>
        <w:spacing w:after="0" w:line="14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change in fair value of our warrant liability was an increase in the fair value of $20.8 million for the year ended December 31, 2024, compared to a decrease in the fair value of $1.0 million for the year ended December 31, 2023. The change in the fair value of the warrant liability is primarily driven by changes in the underlying value of our stock price.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w:t>
      </w:r>
      <w:r>
        <w:rPr>
          <w:rFonts w:ascii="Arial" w:cs="Arial" w:eastAsia="Arial" w:hAnsi="Arial"/>
          <w:sz w:val="17"/>
          <w:szCs w:val="17"/>
          <w:u w:val="single" w:color="auto"/>
          <w:color w:val="auto"/>
        </w:rPr>
        <w:t>As of December 31, 2024,</w:t>
      </w:r>
      <w:r>
        <w:rPr>
          <w:rFonts w:ascii="Arial" w:cs="Arial" w:eastAsia="Arial" w:hAnsi="Arial"/>
          <w:sz w:val="17"/>
          <w:szCs w:val="17"/>
          <w:color w:val="auto"/>
        </w:rPr>
        <w:t xml:space="preserve"> </w:t>
      </w:r>
      <w:r>
        <w:rPr>
          <w:rFonts w:ascii="Arial" w:cs="Arial" w:eastAsia="Arial" w:hAnsi="Arial"/>
          <w:sz w:val="17"/>
          <w:szCs w:val="17"/>
          <w:u w:val="single" w:color="auto"/>
          <w:color w:val="auto"/>
        </w:rPr>
        <w:t>we had cash and cash equivalents of $102.7 million.</w:t>
      </w:r>
      <w:r>
        <w:rPr>
          <w:rFonts w:ascii="Arial" w:cs="Arial" w:eastAsia="Arial" w:hAnsi="Arial"/>
          <w:sz w:val="17"/>
          <w:szCs w:val="17"/>
          <w:color w:val="auto"/>
        </w:rPr>
        <w:t xml:space="preserve"> Based on current plans and assumptions, we expect that our existing cash and cash equivalents will be sufficient to fund our current operating plan into the first quarter of 2027, including the expected completion of the final overall survival phase 2a data readouts in borderline resectable pancreatic ductal adenocarcinoma (“PDAC”), announced on February 25, 2025, and non-small cell lung cancer (“NSCLC”) in the first quarter of 2025 and the final overall survival readout for the ongoing Phase 1b trial in recurrent high-grade glioma with CAN-3110 in the fourth quarter of 2025. We will require additional capital to further advance development of CAN-2409 in NSCLC and PDAC or of CAN-3110 beyond the current trials and to complete the clinical development of, or commercialize, any of our product candidates or programs.</w:t>
      </w:r>
    </w:p>
    <w:p>
      <w:pPr>
        <w:spacing w:after="0" w:line="247"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December 31, 2024, we have raised approximately $270.9 million of gross proceeds from such transactions, including $15.6 million of government grants, $66.1 million from the sale of convertible preferred stock, $187.4 million from the sale of our common stock and accompanying pre-funded warrants, and $1.8 million from stock option exercises. Our cash and cash equivalents totaled $102.7 million as of December 31, 2024. We had $12.5 million of debt as of December 31, 2024. As of December 31, 2024, we have raised $15.8 million of net proceeds under the ATM Program (as defined below). Subsequent to December 31, 2024 and through March 6, 2025, we raised an additional $0.4 million of net proceeds under the ATM Program.</w:t>
      </w:r>
    </w:p>
    <w:p>
      <w:pPr>
        <w:spacing w:after="0" w:line="11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On February 24, 2022, we entered into a Loan Agreement with SVB pursuant to which SVB agreed to provide term loans to us in an aggregate principal amount of $20.0 million. We borrowed $20.0 million upon entering into the Loan Agreement. The term loans are secured by substantially all of our properties, rights and assets, except for our intellectual property, which is subject to a negative pledge under the Loan Agreement.</w:t>
      </w:r>
    </w:p>
    <w:p>
      <w:pPr>
        <w:spacing w:after="0" w:line="9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We are required to make monthly interest payments, and commencing on February 1, 2024, 24 consecutive installments of principal plus monthly payments of accrued interest. The term loans mature on January 1, 2026. Upon repayment in full of the term loans, we will be required to pay a final payment fee equal to 4.50% of the original principal amount of any funded term loan being repaid. The Loan Agreement permits voluntary prepayment of all, but not less than all, of the SVB term loans, subject to</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4" w:name="page115"/>
    <w:bookmarkEnd w:id="114"/>
    <w:p>
      <w:pPr>
        <w:ind w:right="660"/>
        <w:spacing w:after="0" w:line="267" w:lineRule="auto"/>
        <w:rPr>
          <w:sz w:val="20"/>
          <w:szCs w:val="20"/>
          <w:color w:val="auto"/>
        </w:rPr>
      </w:pPr>
      <w:r>
        <w:rPr>
          <w:rFonts w:ascii="Arial" w:cs="Arial" w:eastAsia="Arial" w:hAnsi="Arial"/>
          <w:sz w:val="17"/>
          <w:szCs w:val="17"/>
          <w:color w:val="auto"/>
        </w:rPr>
        <w:t>a prepayment premium of 1% to 3% based upon the timing of the prepayment. As of December 31, 2024, $11.6 million of indebtedness was outstanding under the Loan Agreement.</w:t>
      </w:r>
    </w:p>
    <w:p>
      <w:pPr>
        <w:spacing w:after="0" w:line="51"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On August 5, 2022, we filed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ATM Program. The Shelf was declared effective by the SEC on August 12, 2022. As of March 6, 2025, we have sold and issued 2,976,391 shares of common stock under the ATM Program, with total net proceeds of $16.2 million.</w:t>
      </w:r>
    </w:p>
    <w:p>
      <w:pPr>
        <w:spacing w:after="0" w:line="7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the 2024 Follow-On Offering,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We received approximately $85.9 million in net proceeds from the 2024 Follow-On Offering after deducting underwriting discounts and commissions and offering expenses.</w:t>
      </w:r>
    </w:p>
    <w:p>
      <w:pPr>
        <w:spacing w:after="0" w:line="6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As of December 31, 2024, we had an accumulated deficit of $192.2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8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Net cash used in operating activities</w:t>
            </w:r>
          </w:p>
        </w:tc>
        <w:tc>
          <w:tcPr>
            <w:tcW w:w="980" w:type="dxa"/>
            <w:vAlign w:val="bottom"/>
            <w:shd w:val="clear" w:color="auto" w:fill="CFF0FC"/>
          </w:tcPr>
          <w:p>
            <w:pPr>
              <w:jc w:val="right"/>
              <w:ind w:right="781"/>
              <w:spacing w:after="0" w:line="183"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7"/>
                <w:szCs w:val="17"/>
                <w:color w:val="auto"/>
                <w:w w:val="96"/>
              </w:rPr>
              <w:t>(27,023 )</w:t>
            </w:r>
          </w:p>
        </w:tc>
        <w:tc>
          <w:tcPr>
            <w:tcW w:w="960" w:type="dxa"/>
            <w:vAlign w:val="bottom"/>
            <w:shd w:val="clear" w:color="auto" w:fill="CFF0FC"/>
          </w:tcPr>
          <w:p>
            <w:pPr>
              <w:jc w:val="right"/>
              <w:ind w:right="779"/>
              <w:spacing w:after="0" w:line="183"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7"/>
                <w:szCs w:val="17"/>
                <w:color w:val="auto"/>
                <w:w w:val="96"/>
              </w:rPr>
              <w:t>(34,244 )</w:t>
            </w: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7"/>
                <w:szCs w:val="17"/>
                <w:color w:val="auto"/>
              </w:rPr>
              <w:t>Net cash used in investing activities</w:t>
            </w:r>
          </w:p>
        </w:tc>
        <w:tc>
          <w:tcPr>
            <w:tcW w:w="98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(16 )</w:t>
            </w:r>
          </w:p>
        </w:tc>
        <w:tc>
          <w:tcPr>
            <w:tcW w:w="960" w:type="dxa"/>
            <w:vAlign w:val="bottom"/>
          </w:tcPr>
          <w:p>
            <w:pPr>
              <w:spacing w:after="0"/>
              <w:rPr>
                <w:sz w:val="16"/>
                <w:szCs w:val="16"/>
                <w:color w:val="auto"/>
              </w:rPr>
            </w:pPr>
          </w:p>
        </w:tc>
        <w:tc>
          <w:tcPr>
            <w:tcW w:w="7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(280 )</w:t>
            </w:r>
          </w:p>
        </w:tc>
      </w:tr>
      <w:tr>
        <w:trPr>
          <w:trHeight w:val="189"/>
        </w:trPr>
        <w:tc>
          <w:tcPr>
            <w:tcW w:w="768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Net cash provided by (used in) financing activities</w:t>
            </w: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94,280</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(121 )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7"/>
                <w:szCs w:val="17"/>
                <w:color w:val="auto"/>
              </w:rPr>
              <w:t>Net increase (decrease) in cash, cash equivalents and restricted cash</w:t>
            </w:r>
          </w:p>
        </w:tc>
        <w:tc>
          <w:tcPr>
            <w:tcW w:w="980" w:type="dxa"/>
            <w:vAlign w:val="bottom"/>
          </w:tcPr>
          <w:p>
            <w:pPr>
              <w:jc w:val="right"/>
              <w:ind w:right="781"/>
              <w:spacing w:after="0" w:line="183"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7"/>
                <w:szCs w:val="17"/>
                <w:color w:val="auto"/>
              </w:rPr>
              <w:t>67,241</w:t>
            </w:r>
          </w:p>
        </w:tc>
        <w:tc>
          <w:tcPr>
            <w:tcW w:w="300" w:type="dxa"/>
            <w:vAlign w:val="bottom"/>
          </w:tcPr>
          <w:p>
            <w:pPr>
              <w:spacing w:after="0"/>
              <w:rPr>
                <w:sz w:val="15"/>
                <w:szCs w:val="15"/>
                <w:color w:val="auto"/>
              </w:rPr>
            </w:pPr>
          </w:p>
        </w:tc>
        <w:tc>
          <w:tcPr>
            <w:tcW w:w="960" w:type="dxa"/>
            <w:vAlign w:val="bottom"/>
          </w:tcPr>
          <w:p>
            <w:pPr>
              <w:jc w:val="right"/>
              <w:ind w:right="779"/>
              <w:spacing w:after="0" w:line="183" w:lineRule="exact"/>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w w:val="96"/>
              </w:rPr>
              <w:t>(34,645 )</w:t>
            </w: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-299720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for the Years Ended December 31, 2024 and 2023</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4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Net cash used in operating activities for the year ended December 31, 2024 was $27.0 million, primarily consisting of a net loss of $55.2 million as we incurred expenses associated with our clinical programs and incurred costs associated with operating as a public company. We had non-cash charges of $27.8 million primarily related to the $20.8 million change in the fair value of our warrant liability and non-cash stock-based compensation. Net cash used in operating activities was also impacted by $0.3 million in changes in operating assets and liabilities, primarily driven by an increase of $0.8 million in accrued expenses and a decrease of $0.2 million in prepaid expenses and other current assets. These changes were partially offset by a decrease of $0.5 million in lease-related liabilities and a decrease of $0.2 million in accounts payable.</w:t>
      </w:r>
    </w:p>
    <w:p>
      <w:pPr>
        <w:spacing w:after="0" w:line="101"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Net cash used in operating activities for the year ended December 31, 2023 was $34.2 million, primarily consisting of a net loss of $37.9 million as we incurred expenses associated with our clinical programs, increased our headcount prior to the restructuring in the fourth quarter of 2023 and incurred costs associated with operating as a public company. In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5" w:name="page116"/>
    <w:bookmarkEnd w:id="115"/>
    <w:p>
      <w:pPr>
        <w:ind w:right="180"/>
        <w:spacing w:after="0" w:line="241" w:lineRule="auto"/>
        <w:rPr>
          <w:sz w:val="20"/>
          <w:szCs w:val="20"/>
          <w:color w:val="auto"/>
        </w:rPr>
      </w:pPr>
      <w:r>
        <w:rPr>
          <w:rFonts w:ascii="Arial" w:cs="Arial" w:eastAsia="Arial" w:hAnsi="Arial"/>
          <w:sz w:val="17"/>
          <w:szCs w:val="17"/>
          <w:color w:val="auto"/>
        </w:rPr>
        <w:t>addition, we had non-cash income of $1.0 million as a result of the change in the fair value of our warrant liability. Non-cash income was partially offset by $5.2 million in non-cash charges primarily related to non-cash stock-based compensation and depreciation expense. Net cash used in operating activities was also impacted by $0.5 million in changes in operating assets and liabilities, primarily driven by a decrease of $0.5 million in lease-related liabilities and a decrease of $0.3 million in accrued expenses. These changes were partially offset by a decrease of $0.5 million in prepaid expenses and other current assets.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year ended December 31, 2024 was $16,000 and consisted of the purchase of fixed assets.</w:t>
      </w:r>
    </w:p>
    <w:p>
      <w:pPr>
        <w:spacing w:after="0" w:line="142"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Net cash used in investing activities for the year ended December 31, 2023 was $0.3 million, and consisted of the purchase of fixed assets, which was partially offset by proceeds from the sale of fixed assets.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4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Net cash provided by financing activities for the year ended December 31, 2024 was $94.3 million and consisted of $85.9 million of net proceeds from the issuance of common stock and accompanying pre-funded warrants in the 2024 Follow-On Offering, $15.8 million of net proceeds from the issuance of common stock under the ATM Program and $1.7 million of proceeds from option exercises, partially offset by $9.2 million of principal payments on our term loan with SVB.</w:t>
      </w:r>
    </w:p>
    <w:p>
      <w:pPr>
        <w:spacing w:after="0" w:line="11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Net cash used in financing activities for the year ended December 31, 2023 was $0.1 million and consisted of payments related to tax withholding for vested restricted stock units.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Requirements</w:t>
      </w:r>
    </w:p>
    <w:p>
      <w:pPr>
        <w:spacing w:after="0" w:line="14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expect our operating expenses to increase substantially in the future in connection with our ongoing activities, particularly as we advance CAN-2409 and CAN-3110 through research and development, clinical trials, and develop our manufacturing capabilities, as we research and develop additional product candidates including preclinical activities and as we prepare for potential marketing approval and potential commercialization. We also expect to incur additional costs associated with operating as a public company.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29"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clinical development of CAN-2409 and CAN-3110;</w:t>
      </w:r>
    </w:p>
    <w:p>
      <w:pPr>
        <w:spacing w:after="0" w:line="154" w:lineRule="exact"/>
        <w:rPr>
          <w:rFonts w:ascii="Times New Roman" w:cs="Times New Roman" w:eastAsia="Times New Roman" w:hAnsi="Times New Roman"/>
          <w:sz w:val="17"/>
          <w:szCs w:val="17"/>
          <w:color w:val="auto"/>
        </w:rPr>
      </w:pPr>
    </w:p>
    <w:p>
      <w:pPr>
        <w:jc w:val="both"/>
        <w:ind w:left="760" w:hanging="378"/>
        <w:spacing w:after="0" w:line="249" w:lineRule="auto"/>
        <w:tabs>
          <w:tab w:leader="none" w:pos="7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develop our manufacturing capabilities, including through relationships with contract manufacturers for potential commercial manufacturing of our product candidate CAN-2409 and the development, construction and qualification of our clinical manufacturing capabilities, internally or through CDMOs for our product candidate CAN-3110;</w:t>
      </w:r>
    </w:p>
    <w:p>
      <w:pPr>
        <w:spacing w:after="0" w:line="10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pursue preparatory activities for potential launch and commercialization for CAN-2409 in localized prostate cancer;</w:t>
      </w:r>
    </w:p>
    <w:p>
      <w:pPr>
        <w:spacing w:after="0" w:line="141" w:lineRule="exact"/>
        <w:rPr>
          <w:rFonts w:ascii="Times New Roman" w:cs="Times New Roman" w:eastAsia="Times New Roman" w:hAnsi="Times New Roman"/>
          <w:sz w:val="17"/>
          <w:szCs w:val="17"/>
          <w:color w:val="auto"/>
        </w:rPr>
      </w:pPr>
    </w:p>
    <w:p>
      <w:pPr>
        <w:ind w:left="760" w:right="240" w:hanging="378"/>
        <w:spacing w:after="0" w:line="266" w:lineRule="auto"/>
        <w:tabs>
          <w:tab w:leader="none" w:pos="7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pursue the preclinical and clinical development of other product candidates using our enLIGHTEN™ Discovery Platform, an HSV-based platform; and</w:t>
      </w:r>
    </w:p>
    <w:p>
      <w:pPr>
        <w:spacing w:after="0" w:line="92" w:lineRule="exact"/>
        <w:rPr>
          <w:rFonts w:ascii="Times New Roman" w:cs="Times New Roman" w:eastAsia="Times New Roman" w:hAnsi="Times New Roman"/>
          <w:sz w:val="17"/>
          <w:szCs w:val="17"/>
          <w:color w:val="auto"/>
        </w:rPr>
      </w:pPr>
    </w:p>
    <w:p>
      <w:pPr>
        <w:ind w:left="760" w:right="200" w:hanging="378"/>
        <w:spacing w:after="0" w:line="266" w:lineRule="auto"/>
        <w:tabs>
          <w:tab w:leader="none" w:pos="7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9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believe that our existing cash and cash equivalents as of December 31, 2024 will enable us to fund our operating expenses and capital expense requirements into the first quarter of 2027. We have based this estimate on assumptions that may prove to be incorrect, and we could utilize our available capital resources sooner than we currently expect.</w:t>
      </w:r>
    </w:p>
    <w:p>
      <w:pPr>
        <w:spacing w:after="0" w:line="94"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92" w:lineRule="exact"/>
        <w:rPr>
          <w:sz w:val="20"/>
          <w:szCs w:val="20"/>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clinical development and clinical trials for CAN-2409 and CAN-3110;</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6" w:name="page117"/>
    <w:bookmarkEnd w:id="116"/>
    <w:p>
      <w:pPr>
        <w:ind w:left="760" w:hanging="378"/>
        <w:spacing w:after="0"/>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41" w:lineRule="exact"/>
        <w:rPr>
          <w:rFonts w:ascii="Times New Roman" w:cs="Times New Roman" w:eastAsia="Times New Roman" w:hAnsi="Times New Roman"/>
          <w:sz w:val="17"/>
          <w:szCs w:val="17"/>
          <w:color w:val="auto"/>
        </w:rPr>
      </w:pPr>
    </w:p>
    <w:p>
      <w:pPr>
        <w:ind w:left="760" w:right="120" w:hanging="378"/>
        <w:spacing w:after="0" w:line="266" w:lineRule="auto"/>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internal and external process development for our manufacturing capabilities;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141" w:lineRule="exact"/>
        <w:rPr>
          <w:rFonts w:ascii="Times New Roman" w:cs="Times New Roman" w:eastAsia="Times New Roman" w:hAnsi="Times New Roman"/>
          <w:sz w:val="17"/>
          <w:szCs w:val="17"/>
          <w:color w:val="auto"/>
        </w:rPr>
      </w:pPr>
    </w:p>
    <w:p>
      <w:pPr>
        <w:ind w:left="760" w:right="200" w:hanging="378"/>
        <w:spacing w:after="0" w:line="249" w:lineRule="auto"/>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10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141"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92"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operating as a public company.</w:t>
      </w:r>
    </w:p>
    <w:p>
      <w:pPr>
        <w:spacing w:after="0" w:line="1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4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December 31, 2024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4"/>
          </w:tcPr>
          <w:p>
            <w:pPr>
              <w:jc w:val="right"/>
              <w:ind w:right="699"/>
              <w:spacing w:after="0" w:line="147"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81"/>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1 TO 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3 TO 5</w:t>
            </w:r>
          </w:p>
        </w:tc>
      </w:tr>
      <w:tr>
        <w:trPr>
          <w:trHeight w:val="171"/>
        </w:trPr>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r>
      <w:tr>
        <w:trPr>
          <w:trHeight w:val="183"/>
        </w:trPr>
        <w:tc>
          <w:tcPr>
            <w:tcW w:w="576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Operating lease obligation (1)</w:t>
            </w:r>
          </w:p>
        </w:tc>
        <w:tc>
          <w:tcPr>
            <w:tcW w:w="220" w:type="dxa"/>
            <w:vAlign w:val="bottom"/>
            <w:shd w:val="clear" w:color="auto" w:fill="CFF0FC"/>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1,028</w:t>
            </w:r>
          </w:p>
        </w:tc>
        <w:tc>
          <w:tcPr>
            <w:tcW w:w="3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613</w:t>
            </w:r>
          </w:p>
        </w:tc>
        <w:tc>
          <w:tcPr>
            <w:tcW w:w="4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415</w:t>
            </w:r>
          </w:p>
        </w:tc>
        <w:tc>
          <w:tcPr>
            <w:tcW w:w="4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ind w:left="740"/>
              <w:spacing w:after="0" w:line="183" w:lineRule="exact"/>
              <w:rPr>
                <w:sz w:val="20"/>
                <w:szCs w:val="20"/>
                <w:color w:val="auto"/>
              </w:rPr>
            </w:pPr>
            <w:r>
              <w:rPr>
                <w:rFonts w:ascii="Arial" w:cs="Arial" w:eastAsia="Arial" w:hAnsi="Arial"/>
                <w:sz w:val="17"/>
                <w:szCs w:val="17"/>
                <w:color w:val="auto"/>
              </w:rPr>
              <w:t>—</w:t>
            </w:r>
          </w:p>
        </w:tc>
      </w:tr>
      <w:tr>
        <w:trPr>
          <w:trHeight w:val="189"/>
        </w:trPr>
        <w:tc>
          <w:tcPr>
            <w:tcW w:w="5760" w:type="dxa"/>
            <w:vAlign w:val="bottom"/>
          </w:tcPr>
          <w:p>
            <w:pPr>
              <w:ind w:left="20"/>
              <w:spacing w:after="0" w:line="189" w:lineRule="exact"/>
              <w:rPr>
                <w:sz w:val="20"/>
                <w:szCs w:val="20"/>
                <w:color w:val="auto"/>
              </w:rPr>
            </w:pPr>
            <w:r>
              <w:rPr>
                <w:rFonts w:ascii="Arial" w:cs="Arial" w:eastAsia="Arial" w:hAnsi="Arial"/>
                <w:sz w:val="17"/>
                <w:szCs w:val="17"/>
                <w:color w:val="auto"/>
              </w:rPr>
              <w:t>Loan Agreement with SVB (2)</w:t>
            </w: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11,475</w:t>
            </w:r>
          </w:p>
        </w:tc>
        <w:tc>
          <w:tcPr>
            <w:tcW w:w="3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10,634</w:t>
            </w:r>
          </w:p>
        </w:tc>
        <w:tc>
          <w:tcPr>
            <w:tcW w:w="4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841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740"/>
              <w:spacing w:after="0" w:line="189" w:lineRule="exact"/>
              <w:rPr>
                <w:sz w:val="20"/>
                <w:szCs w:val="20"/>
                <w:color w:val="auto"/>
              </w:rPr>
            </w:pPr>
            <w:r>
              <w:rPr>
                <w:rFonts w:ascii="Arial" w:cs="Arial" w:eastAsia="Arial" w:hAnsi="Arial"/>
                <w:sz w:val="17"/>
                <w:szCs w:val="17"/>
                <w:color w:val="auto"/>
              </w:rPr>
              <w:t>—</w:t>
            </w:r>
          </w:p>
        </w:tc>
      </w:tr>
      <w:tr>
        <w:trPr>
          <w:trHeight w:val="189"/>
        </w:trPr>
        <w:tc>
          <w:tcPr>
            <w:tcW w:w="5760" w:type="dxa"/>
            <w:vAlign w:val="bottom"/>
            <w:tcBorders>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7"/>
                <w:szCs w:val="17"/>
                <w:color w:val="auto"/>
              </w:rPr>
              <w:t>Periphagen Note (3)</w:t>
            </w:r>
          </w:p>
        </w:tc>
        <w:tc>
          <w:tcPr>
            <w:tcW w:w="2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1,352</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1,352</w:t>
            </w: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ind w:left="740"/>
              <w:spacing w:after="0" w:line="189"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760" w:type="dxa"/>
            <w:vAlign w:val="bottom"/>
          </w:tcPr>
          <w:p>
            <w:pPr>
              <w:ind w:left="20"/>
              <w:spacing w:after="0" w:line="183" w:lineRule="exact"/>
              <w:rPr>
                <w:sz w:val="20"/>
                <w:szCs w:val="20"/>
                <w:color w:val="auto"/>
              </w:rPr>
            </w:pPr>
            <w:r>
              <w:rPr>
                <w:rFonts w:ascii="Arial" w:cs="Arial" w:eastAsia="Arial" w:hAnsi="Arial"/>
                <w:sz w:val="17"/>
                <w:szCs w:val="17"/>
                <w:color w:val="auto"/>
              </w:rPr>
              <w:t>Total</w:t>
            </w:r>
          </w:p>
        </w:tc>
        <w:tc>
          <w:tcPr>
            <w:tcW w:w="220" w:type="dxa"/>
            <w:vAlign w:val="bottom"/>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13,855</w:t>
            </w:r>
          </w:p>
        </w:tc>
        <w:tc>
          <w:tcPr>
            <w:tcW w:w="38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7"/>
                <w:szCs w:val="17"/>
                <w:color w:val="auto"/>
              </w:rPr>
              <w:t>11,247</w:t>
            </w:r>
          </w:p>
        </w:tc>
        <w:tc>
          <w:tcPr>
            <w:tcW w:w="4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2,608</w:t>
            </w:r>
          </w:p>
        </w:tc>
        <w:tc>
          <w:tcPr>
            <w:tcW w:w="48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1040" w:type="dxa"/>
            <w:vAlign w:val="bottom"/>
            <w:gridSpan w:val="2"/>
          </w:tcPr>
          <w:p>
            <w:pPr>
              <w:ind w:left="740"/>
              <w:spacing w:after="0" w:line="183" w:lineRule="exact"/>
              <w:rPr>
                <w:sz w:val="20"/>
                <w:szCs w:val="20"/>
                <w:color w:val="auto"/>
              </w:rPr>
            </w:pPr>
            <w:r>
              <w:rPr>
                <w:rFonts w:ascii="Arial" w:cs="Arial" w:eastAsia="Arial" w:hAnsi="Arial"/>
                <w:sz w:val="17"/>
                <w:szCs w:val="17"/>
                <w:color w:val="auto"/>
              </w:rPr>
              <w:t>—</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-153670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-153670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1020" w:right="60" w:hanging="503"/>
        <w:spacing w:after="0" w:line="285" w:lineRule="auto"/>
        <w:tabs>
          <w:tab w:leader="none" w:pos="10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future minimum lease payments under our operating lease for office and laboratory space at our Needham, Massachusetts facility. Our facility lease extends to August of 2026.</w:t>
      </w:r>
    </w:p>
    <w:p>
      <w:pPr>
        <w:spacing w:after="0" w:line="49" w:lineRule="exact"/>
        <w:rPr>
          <w:rFonts w:ascii="Arial" w:cs="Arial" w:eastAsia="Arial" w:hAnsi="Arial"/>
          <w:sz w:val="14"/>
          <w:szCs w:val="14"/>
          <w:color w:val="auto"/>
        </w:rPr>
      </w:pPr>
    </w:p>
    <w:p>
      <w:pPr>
        <w:ind w:left="1020" w:hanging="503"/>
        <w:spacing w:after="0"/>
        <w:tabs>
          <w:tab w:leader="none" w:pos="10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future principal, interest payments, and the final payment fee on our Loan Agreement with SVB, which matures on January 1, 2026.</w:t>
      </w:r>
    </w:p>
    <w:p>
      <w:pPr>
        <w:spacing w:after="0" w:line="109" w:lineRule="exact"/>
        <w:rPr>
          <w:rFonts w:ascii="Arial" w:cs="Arial" w:eastAsia="Arial" w:hAnsi="Arial"/>
          <w:sz w:val="14"/>
          <w:szCs w:val="14"/>
          <w:color w:val="auto"/>
        </w:rPr>
      </w:pPr>
    </w:p>
    <w:p>
      <w:pPr>
        <w:ind w:left="1020" w:right="280" w:hanging="503"/>
        <w:spacing w:after="0" w:line="285" w:lineRule="auto"/>
        <w:tabs>
          <w:tab w:leader="none" w:pos="10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a $1.0 million promissory note plus interest under the terms of our asset purchase agreements with Periphagen, Inc. The promissory note is due upon maturity in November 2027.</w:t>
      </w:r>
    </w:p>
    <w:p>
      <w:pPr>
        <w:spacing w:after="0" w:line="64"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See our consolidated financial statements and related footnotes elsewhere in this Annual Report on Form 10-K for additional information on these agreements.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7" w:name="page118"/>
    <w:bookmarkEnd w:id="117"/>
    <w:p>
      <w:pPr>
        <w:ind w:right="20"/>
        <w:spacing w:after="0" w:line="241"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42"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U.S. generally accepted accounting principles (GAAP). The preparation of our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included elsewhere in this Annual Report on Form 10-K, we believe that the following accounting policies are those most significant to the judgments and estimates used in the preparation of our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Research and Development Expenses</w:t>
      </w:r>
    </w:p>
    <w:p>
      <w:pPr>
        <w:spacing w:after="0" w:line="14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Most of our service providers invoice us in arrears for services performed, on a pre-determined schedule or when contractual milestones are met; however, some require advance payments. We make estimates of our accrued expenses as of each balance sheet date in our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 the following:</w:t>
      </w:r>
    </w:p>
    <w:p>
      <w:pPr>
        <w:spacing w:after="0" w:line="116"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clinical trial sites where patients are being treated with our product candidates;</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consultants providing services related to process development, regulatory and other services; and</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83"/>
        </w:numPr>
        <w:rPr>
          <w:rFonts w:ascii="Times New Roman" w:cs="Times New Roman" w:eastAsia="Times New Roman" w:hAnsi="Times New Roman"/>
          <w:sz w:val="17"/>
          <w:szCs w:val="17"/>
          <w:color w:val="auto"/>
        </w:rPr>
      </w:pPr>
      <w:r>
        <w:rPr>
          <w:rFonts w:ascii="Arial" w:cs="Arial" w:eastAsia="Arial" w:hAnsi="Arial"/>
          <w:sz w:val="17"/>
          <w:szCs w:val="17"/>
          <w:color w:val="auto"/>
        </w:rPr>
        <w:t>CDMOs who are manufacturing commercial-scale quantities of our product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Actual services performed may vary from our estimates, resulting in adjustments to research and development costs or inventories in future periods.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estimates that result in material changes to our accruals could materially affect our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Fair Value of Warrants</w:t>
      </w:r>
    </w:p>
    <w:p>
      <w:pPr>
        <w:spacing w:after="0" w:line="14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connection with the Series B convertible preferred stock issuance in November 2018, we issued warrants to purchase shares of common stock of which certain warrants are shown as a liability on the balance sheet. The fair value of the warrants was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prior to the IPO, risk-free interest rate, expected dividend yield, expected volatility of the price of the underlying preferred stock, and the remaining contractual term of the warrants. The most significant assumption in the model impacting the fair value of the common stock warrants is the fair value of our common stock as of each remeasurement date. Prior to the IPO, we determined the fair value per share of the underlying common stock by taking into consideration the most recent sales of preferred stock, results obtained from third-party valuations and additional factors that were deemed relevant.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118" w:name="page119"/>
    <w:bookmarkEnd w:id="118"/>
    <w:p>
      <w:pPr>
        <w:ind w:right="160"/>
        <w:spacing w:after="0" w:line="244" w:lineRule="auto"/>
        <w:rPr>
          <w:sz w:val="20"/>
          <w:szCs w:val="20"/>
          <w:color w:val="auto"/>
        </w:rPr>
      </w:pPr>
      <w:r>
        <w:rPr>
          <w:rFonts w:ascii="Arial" w:cs="Arial" w:eastAsia="Arial" w:hAnsi="Arial"/>
          <w:sz w:val="17"/>
          <w:szCs w:val="17"/>
          <w:color w:val="auto"/>
        </w:rPr>
        <w:t>We measure stock options and other stock-based awards granted to our employees, directors, consultants, advisors based on the fair value on the date of the grant. We recognize compensation expense over the requisite service period, which is generally the vesting period of the respective award. We recognize forfeitures as they occur. For stock-based awards granted to non-employees, compensation expense is recognized over the vesting period which approximates the period over which services are rendered by such non-employees.</w:t>
      </w:r>
    </w:p>
    <w:p>
      <w:pPr>
        <w:spacing w:after="0" w:line="9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estimate the fair value of each stock option grant on the date of grant using the Black-Scholes option-pricing model, which uses as inputs the fair value of our common stock and assumptions we make for the expected volatility of our common stock, the expected term of our stock options, the risk-free interest rate for a period that approximates the expected term of our stock options, and our expected dividend yield.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description of recent accounting pronouncements that may potentially impact our financial position, results of operations, or cash flows is disclosed in Note 2 to our audited consolidated financial statements included elsewhere in this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4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115"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w:t>
      </w:r>
    </w:p>
    <w:p>
      <w:pPr>
        <w:spacing w:after="0" w:line="1" w:lineRule="exact"/>
        <w:rPr>
          <w:sz w:val="20"/>
          <w:szCs w:val="20"/>
          <w:color w:val="auto"/>
        </w:rPr>
      </w:pPr>
    </w:p>
    <w:p>
      <w:pPr>
        <w:ind w:right="80" w:firstLine="8"/>
        <w:spacing w:after="0" w:line="248" w:lineRule="auto"/>
        <w:tabs>
          <w:tab w:leader="none" w:pos="25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securities during the prior three-year period; and (4) the last day of the fiscal year ending after the fifth anniversary of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42"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Our consolidated financial statements, together with the report of our independent registered public accounting firm, appear beginning on page F-1 of this Annual Report for the year ended December 31, 2024.</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10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4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2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Interim Chief Financial Officer (our principal executive officer and principal financial officer, respectively), evaluated the effectiveness of our disclosure controls and procedures as of December 31, 2024. Based on the evaluation of our disclosure controls and procedures as of December 31, 2024, our Chief Executive Officer and Interim Chief Financial Officer concluded that, as of such date, our disclosure controls and procedures were effective at the reasonable assurance level.</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02"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1020" w:right="580" w:hanging="503"/>
        <w:spacing w:after="0" w:line="266" w:lineRule="auto"/>
        <w:tabs>
          <w:tab w:leader="none" w:pos="102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 company’s assets;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65"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5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Under the supervision of and with the participation of our principal executive officer and principal financial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20" w:name="page121"/>
    <w:bookmarkEnd w:id="120"/>
    <w:p>
      <w:pPr>
        <w:ind w:right="20"/>
        <w:spacing w:after="0" w:line="249" w:lineRule="auto"/>
        <w:rPr>
          <w:sz w:val="20"/>
          <w:szCs w:val="20"/>
          <w:color w:val="auto"/>
        </w:rPr>
      </w:pPr>
      <w:r>
        <w:rPr>
          <w:rFonts w:ascii="Arial" w:cs="Arial" w:eastAsia="Arial" w:hAnsi="Arial"/>
          <w:sz w:val="17"/>
          <w:szCs w:val="17"/>
          <w:color w:val="auto"/>
        </w:rPr>
        <w:t>officer, our management assessed the effectiveness of our internal control over financial reporting as of December 31, 2024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2024.</w:t>
      </w:r>
    </w:p>
    <w:p>
      <w:pPr>
        <w:spacing w:after="0" w:line="6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3" w:lineRule="exact"/>
        <w:rPr>
          <w:sz w:val="20"/>
          <w:szCs w:val="20"/>
          <w:color w:val="auto"/>
        </w:rPr>
      </w:pPr>
    </w:p>
    <w:p>
      <w:pPr>
        <w:jc w:val="both"/>
        <w:ind w:right="420"/>
        <w:spacing w:after="0" w:line="249"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three months ended December 31, 2024 that has materially affected, or is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9"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None.</w:t>
      </w:r>
    </w:p>
    <w:p>
      <w:pPr>
        <w:spacing w:after="0" w:line="142" w:lineRule="exact"/>
        <w:rPr>
          <w:rFonts w:ascii="Arial" w:cs="Arial" w:eastAsia="Arial" w:hAnsi="Arial"/>
          <w:sz w:val="17"/>
          <w:szCs w:val="17"/>
          <w:b w:val="1"/>
          <w:bCs w:val="1"/>
          <w:color w:val="auto"/>
        </w:rPr>
      </w:pPr>
    </w:p>
    <w:p>
      <w:pPr>
        <w:ind w:right="120" w:firstLine="8"/>
        <w:spacing w:after="0" w:line="249" w:lineRule="auto"/>
        <w:tabs>
          <w:tab w:leader="none" w:pos="266"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The following table describes contracts, instructions or written plans for the sale or purchase of our securities adopted by our directors and certain officers during the fourth quarter of 2024, each of which is intended to satisfy the affirmative defense conditions of Exchange Act Rule 10b5-1(c), referred to as Rule 10b5-1 trading plans.</w:t>
      </w:r>
    </w:p>
    <w:p>
      <w:pPr>
        <w:spacing w:after="0" w:line="60" w:lineRule="exact"/>
        <w:rPr>
          <w:sz w:val="20"/>
          <w:szCs w:val="20"/>
          <w:color w:val="auto"/>
        </w:rPr>
      </w:pPr>
    </w:p>
    <w:tbl>
      <w:tblPr>
        <w:tblLayout w:type="fixed"/>
        <w:tblInd w:w="900" w:type="dxa"/>
        <w:tblCellMar>
          <w:top w:w="0" w:type="dxa"/>
          <w:left w:w="0" w:type="dxa"/>
          <w:bottom w:w="0" w:type="dxa"/>
          <w:right w:w="0" w:type="dxa"/>
        </w:tblCellMar>
      </w:tblPr>
      <w:tr>
        <w:trPr>
          <w:trHeight w:val="195"/>
        </w:trPr>
        <w:tc>
          <w:tcPr>
            <w:tcW w:w="1220" w:type="dxa"/>
            <w:vAlign w:val="bottom"/>
            <w:vMerge w:val="restart"/>
          </w:tcPr>
          <w:p>
            <w:pPr>
              <w:spacing w:after="0"/>
              <w:rPr>
                <w:sz w:val="20"/>
                <w:szCs w:val="20"/>
                <w:color w:val="auto"/>
              </w:rPr>
            </w:pPr>
            <w:r>
              <w:rPr>
                <w:rFonts w:ascii="Arial" w:cs="Arial" w:eastAsia="Arial" w:hAnsi="Arial"/>
                <w:sz w:val="17"/>
                <w:szCs w:val="17"/>
                <w:b w:val="1"/>
                <w:bCs w:val="1"/>
                <w:color w:val="auto"/>
              </w:rPr>
              <w:t>Name</w:t>
            </w:r>
          </w:p>
        </w:tc>
        <w:tc>
          <w:tcPr>
            <w:tcW w:w="2300" w:type="dxa"/>
            <w:vAlign w:val="bottom"/>
            <w:vMerge w:val="restart"/>
          </w:tcPr>
          <w:p>
            <w:pPr>
              <w:ind w:left="740"/>
              <w:spacing w:after="0"/>
              <w:rPr>
                <w:sz w:val="20"/>
                <w:szCs w:val="20"/>
                <w:color w:val="auto"/>
              </w:rPr>
            </w:pPr>
            <w:r>
              <w:rPr>
                <w:rFonts w:ascii="Arial" w:cs="Arial" w:eastAsia="Arial" w:hAnsi="Arial"/>
                <w:sz w:val="17"/>
                <w:szCs w:val="17"/>
                <w:b w:val="1"/>
                <w:bCs w:val="1"/>
                <w:color w:val="auto"/>
              </w:rPr>
              <w:t>Action Taken</w:t>
            </w:r>
          </w:p>
        </w:tc>
        <w:tc>
          <w:tcPr>
            <w:tcW w:w="2280" w:type="dxa"/>
            <w:vAlign w:val="bottom"/>
          </w:tcPr>
          <w:p>
            <w:pPr>
              <w:jc w:val="center"/>
              <w:ind w:left="15"/>
              <w:spacing w:after="0"/>
              <w:rPr>
                <w:sz w:val="20"/>
                <w:szCs w:val="20"/>
                <w:color w:val="auto"/>
              </w:rPr>
            </w:pPr>
            <w:r>
              <w:rPr>
                <w:rFonts w:ascii="Arial" w:cs="Arial" w:eastAsia="Arial" w:hAnsi="Arial"/>
                <w:sz w:val="17"/>
                <w:szCs w:val="17"/>
                <w:b w:val="1"/>
                <w:bCs w:val="1"/>
                <w:color w:val="auto"/>
              </w:rPr>
              <w:t>Nature of Trading</w:t>
            </w: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rPr>
              <w:t>Duration of Trading</w:t>
            </w:r>
          </w:p>
        </w:tc>
        <w:tc>
          <w:tcPr>
            <w:tcW w:w="2020" w:type="dxa"/>
            <w:vAlign w:val="bottom"/>
          </w:tcPr>
          <w:p>
            <w:pPr>
              <w:ind w:left="280"/>
              <w:spacing w:after="0"/>
              <w:rPr>
                <w:sz w:val="20"/>
                <w:szCs w:val="20"/>
                <w:color w:val="auto"/>
              </w:rPr>
            </w:pPr>
            <w:r>
              <w:rPr>
                <w:rFonts w:ascii="Arial" w:cs="Arial" w:eastAsia="Arial" w:hAnsi="Arial"/>
                <w:sz w:val="17"/>
                <w:szCs w:val="17"/>
                <w:b w:val="1"/>
                <w:bCs w:val="1"/>
                <w:color w:val="auto"/>
                <w:w w:val="98"/>
              </w:rPr>
              <w:t>Aggregate Number of</w:t>
            </w:r>
          </w:p>
        </w:tc>
        <w:tc>
          <w:tcPr>
            <w:tcW w:w="0" w:type="dxa"/>
            <w:vAlign w:val="bottom"/>
          </w:tcPr>
          <w:p>
            <w:pPr>
              <w:spacing w:after="0"/>
              <w:rPr>
                <w:sz w:val="1"/>
                <w:szCs w:val="1"/>
                <w:color w:val="auto"/>
              </w:rPr>
            </w:pPr>
          </w:p>
        </w:tc>
      </w:tr>
      <w:tr>
        <w:trPr>
          <w:trHeight w:val="140"/>
        </w:trPr>
        <w:tc>
          <w:tcPr>
            <w:tcW w:w="1220" w:type="dxa"/>
            <w:vAlign w:val="bottom"/>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2280" w:type="dxa"/>
            <w:vAlign w:val="bottom"/>
            <w:vMerge w:val="restart"/>
          </w:tcPr>
          <w:p>
            <w:pPr>
              <w:jc w:val="center"/>
              <w:ind w:left="55"/>
              <w:spacing w:after="0"/>
              <w:rPr>
                <w:sz w:val="20"/>
                <w:szCs w:val="20"/>
                <w:color w:val="auto"/>
              </w:rPr>
            </w:pPr>
            <w:r>
              <w:rPr>
                <w:rFonts w:ascii="Arial" w:cs="Arial" w:eastAsia="Arial" w:hAnsi="Arial"/>
                <w:sz w:val="17"/>
                <w:szCs w:val="17"/>
                <w:b w:val="1"/>
                <w:bCs w:val="1"/>
                <w:color w:val="auto"/>
              </w:rPr>
              <w:t>Arrangement</w:t>
            </w:r>
          </w:p>
        </w:tc>
        <w:tc>
          <w:tcPr>
            <w:tcW w:w="2240" w:type="dxa"/>
            <w:vAlign w:val="bottom"/>
            <w:vMerge w:val="restart"/>
          </w:tcPr>
          <w:p>
            <w:pPr>
              <w:jc w:val="center"/>
              <w:ind w:left="35"/>
              <w:spacing w:after="0"/>
              <w:rPr>
                <w:sz w:val="20"/>
                <w:szCs w:val="20"/>
                <w:color w:val="auto"/>
              </w:rPr>
            </w:pPr>
            <w:r>
              <w:rPr>
                <w:rFonts w:ascii="Arial" w:cs="Arial" w:eastAsia="Arial" w:hAnsi="Arial"/>
                <w:sz w:val="17"/>
                <w:szCs w:val="17"/>
                <w:b w:val="1"/>
                <w:bCs w:val="1"/>
                <w:color w:val="auto"/>
              </w:rPr>
              <w:t>Arrangement</w:t>
            </w:r>
          </w:p>
        </w:tc>
        <w:tc>
          <w:tcPr>
            <w:tcW w:w="2020" w:type="dxa"/>
            <w:vAlign w:val="bottom"/>
            <w:vMerge w:val="restart"/>
          </w:tcPr>
          <w:p>
            <w:pPr>
              <w:ind w:left="780"/>
              <w:spacing w:after="0"/>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78"/>
        </w:trPr>
        <w:tc>
          <w:tcPr>
            <w:tcW w:w="12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2280" w:type="dxa"/>
            <w:vAlign w:val="bottom"/>
            <w:vMerge w:val="continue"/>
          </w:tcPr>
          <w:p>
            <w:pPr>
              <w:spacing w:after="0"/>
              <w:rPr>
                <w:sz w:val="6"/>
                <w:szCs w:val="6"/>
                <w:color w:val="auto"/>
              </w:rPr>
            </w:pPr>
          </w:p>
        </w:tc>
        <w:tc>
          <w:tcPr>
            <w:tcW w:w="2240" w:type="dxa"/>
            <w:vAlign w:val="bottom"/>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200" w:type="dxa"/>
            <w:vAlign w:val="bottom"/>
          </w:tcPr>
          <w:p>
            <w:pPr>
              <w:spacing w:after="0"/>
              <w:rPr>
                <w:sz w:val="20"/>
                <w:szCs w:val="20"/>
                <w:color w:val="auto"/>
              </w:rPr>
            </w:pPr>
            <w:r>
              <w:rPr>
                <w:rFonts w:ascii="Arial" w:cs="Arial" w:eastAsia="Arial" w:hAnsi="Arial"/>
                <w:sz w:val="17"/>
                <w:szCs w:val="17"/>
                <w:color w:val="auto"/>
              </w:rPr>
              <w:t>Paul Peter Tak, M.D., Ph.D.,</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line="189" w:lineRule="exact"/>
              <w:rPr>
                <w:sz w:val="20"/>
                <w:szCs w:val="20"/>
                <w:color w:val="auto"/>
              </w:rPr>
            </w:pPr>
            <w:r>
              <w:rPr>
                <w:rFonts w:ascii="Arial" w:cs="Arial" w:eastAsia="Arial" w:hAnsi="Arial"/>
                <w:sz w:val="17"/>
                <w:szCs w:val="17"/>
                <w:color w:val="auto"/>
              </w:rPr>
              <w:t>FMedSci (Chief Executive</w:t>
            </w:r>
          </w:p>
        </w:tc>
        <w:tc>
          <w:tcPr>
            <w:tcW w:w="1900" w:type="dxa"/>
            <w:vAlign w:val="bottom"/>
          </w:tcPr>
          <w:p>
            <w:pPr>
              <w:ind w:left="60"/>
              <w:spacing w:after="0" w:line="189" w:lineRule="exact"/>
              <w:rPr>
                <w:sz w:val="20"/>
                <w:szCs w:val="20"/>
                <w:color w:val="auto"/>
              </w:rPr>
            </w:pPr>
            <w:r>
              <w:rPr>
                <w:rFonts w:ascii="Arial" w:cs="Arial" w:eastAsia="Arial" w:hAnsi="Arial"/>
                <w:sz w:val="17"/>
                <w:szCs w:val="17"/>
                <w:color w:val="auto"/>
                <w:w w:val="98"/>
              </w:rPr>
              <w:t>Adoption (November 19,</w:t>
            </w:r>
          </w:p>
        </w:tc>
        <w:tc>
          <w:tcPr>
            <w:tcW w:w="0" w:type="dxa"/>
            <w:vAlign w:val="bottom"/>
          </w:tcPr>
          <w:p>
            <w:pPr>
              <w:spacing w:after="0"/>
              <w:rPr>
                <w:sz w:val="1"/>
                <w:szCs w:val="1"/>
                <w:color w:val="auto"/>
              </w:rPr>
            </w:pPr>
          </w:p>
        </w:tc>
      </w:tr>
      <w:tr>
        <w:trPr>
          <w:trHeight w:val="189"/>
        </w:trPr>
        <w:tc>
          <w:tcPr>
            <w:tcW w:w="2200" w:type="dxa"/>
            <w:vAlign w:val="bottom"/>
          </w:tcPr>
          <w:p>
            <w:pPr>
              <w:spacing w:after="0" w:line="189" w:lineRule="exact"/>
              <w:rPr>
                <w:sz w:val="20"/>
                <w:szCs w:val="20"/>
                <w:color w:val="auto"/>
              </w:rPr>
            </w:pPr>
            <w:r>
              <w:rPr>
                <w:rFonts w:ascii="Arial" w:cs="Arial" w:eastAsia="Arial" w:hAnsi="Arial"/>
                <w:sz w:val="17"/>
                <w:szCs w:val="17"/>
                <w:color w:val="auto"/>
              </w:rPr>
              <w:t>Officer, President and</w:t>
            </w:r>
          </w:p>
        </w:tc>
        <w:tc>
          <w:tcPr>
            <w:tcW w:w="1900" w:type="dxa"/>
            <w:vAlign w:val="bottom"/>
          </w:tcPr>
          <w:p>
            <w:pPr>
              <w:ind w:left="60"/>
              <w:spacing w:after="0" w:line="189"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25"/>
        </w:trPr>
        <w:tc>
          <w:tcPr>
            <w:tcW w:w="2200" w:type="dxa"/>
            <w:vAlign w:val="bottom"/>
          </w:tcPr>
          <w:p>
            <w:pPr>
              <w:spacing w:after="0"/>
              <w:rPr>
                <w:sz w:val="20"/>
                <w:szCs w:val="20"/>
                <w:color w:val="auto"/>
              </w:rPr>
            </w:pPr>
            <w:r>
              <w:rPr>
                <w:rFonts w:ascii="Arial" w:cs="Arial" w:eastAsia="Arial" w:hAnsi="Arial"/>
                <w:sz w:val="17"/>
                <w:szCs w:val="17"/>
                <w:color w:val="auto"/>
              </w:rPr>
              <w:t>Director)</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200" w:type="dxa"/>
            <w:vAlign w:val="bottom"/>
          </w:tcPr>
          <w:p>
            <w:pPr>
              <w:spacing w:after="0"/>
              <w:rPr>
                <w:sz w:val="20"/>
                <w:szCs w:val="20"/>
                <w:color w:val="auto"/>
              </w:rPr>
            </w:pPr>
            <w:r>
              <w:rPr>
                <w:rFonts w:ascii="Arial" w:cs="Arial" w:eastAsia="Arial" w:hAnsi="Arial"/>
                <w:sz w:val="17"/>
                <w:szCs w:val="17"/>
                <w:color w:val="auto"/>
              </w:rPr>
              <w:t>Charles Schoch (Interim</w:t>
            </w:r>
          </w:p>
        </w:tc>
        <w:tc>
          <w:tcPr>
            <w:tcW w:w="1900" w:type="dxa"/>
            <w:vAlign w:val="bottom"/>
            <w:vMerge w:val="restart"/>
          </w:tcPr>
          <w:p>
            <w:pPr>
              <w:ind w:left="60"/>
              <w:spacing w:after="0"/>
              <w:rPr>
                <w:sz w:val="20"/>
                <w:szCs w:val="20"/>
                <w:color w:val="auto"/>
              </w:rPr>
            </w:pPr>
            <w:r>
              <w:rPr>
                <w:rFonts w:ascii="Arial" w:cs="Arial" w:eastAsia="Arial" w:hAnsi="Arial"/>
                <w:sz w:val="17"/>
                <w:szCs w:val="17"/>
                <w:color w:val="auto"/>
                <w:w w:val="98"/>
              </w:rPr>
              <w:t>Adoption (November 15,</w:t>
            </w:r>
          </w:p>
        </w:tc>
        <w:tc>
          <w:tcPr>
            <w:tcW w:w="0" w:type="dxa"/>
            <w:vAlign w:val="bottom"/>
          </w:tcPr>
          <w:p>
            <w:pPr>
              <w:spacing w:after="0"/>
              <w:rPr>
                <w:sz w:val="1"/>
                <w:szCs w:val="1"/>
                <w:color w:val="auto"/>
              </w:rPr>
            </w:pPr>
          </w:p>
        </w:tc>
      </w:tr>
      <w:tr>
        <w:trPr>
          <w:trHeight w:val="94"/>
        </w:trPr>
        <w:tc>
          <w:tcPr>
            <w:tcW w:w="2200" w:type="dxa"/>
            <w:vAlign w:val="bottom"/>
            <w:vMerge w:val="restart"/>
          </w:tcPr>
          <w:p>
            <w:pPr>
              <w:spacing w:after="0" w:line="189" w:lineRule="exact"/>
              <w:rPr>
                <w:sz w:val="20"/>
                <w:szCs w:val="20"/>
                <w:color w:val="auto"/>
              </w:rPr>
            </w:pPr>
            <w:r>
              <w:rPr>
                <w:rFonts w:ascii="Arial" w:cs="Arial" w:eastAsia="Arial" w:hAnsi="Arial"/>
                <w:sz w:val="17"/>
                <w:szCs w:val="17"/>
                <w:color w:val="auto"/>
              </w:rPr>
              <w:t>Chief Financial Officer,</w:t>
            </w: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00" w:type="dxa"/>
            <w:vAlign w:val="bottom"/>
            <w:vMerge w:val="continue"/>
          </w:tcPr>
          <w:p>
            <w:pPr>
              <w:spacing w:after="0"/>
              <w:rPr>
                <w:sz w:val="8"/>
                <w:szCs w:val="8"/>
                <w:color w:val="auto"/>
              </w:rPr>
            </w:pPr>
          </w:p>
        </w:tc>
        <w:tc>
          <w:tcPr>
            <w:tcW w:w="1900" w:type="dxa"/>
            <w:vAlign w:val="bottom"/>
            <w:vMerge w:val="restart"/>
          </w:tcPr>
          <w:p>
            <w:pPr>
              <w:ind w:left="60"/>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130"/>
        </w:trPr>
        <w:tc>
          <w:tcPr>
            <w:tcW w:w="2200" w:type="dxa"/>
            <w:vAlign w:val="bottom"/>
            <w:vMerge w:val="restart"/>
          </w:tcPr>
          <w:p>
            <w:pPr>
              <w:spacing w:after="0"/>
              <w:rPr>
                <w:sz w:val="20"/>
                <w:szCs w:val="20"/>
                <w:color w:val="auto"/>
              </w:rPr>
            </w:pPr>
            <w:r>
              <w:rPr>
                <w:rFonts w:ascii="Arial" w:cs="Arial" w:eastAsia="Arial" w:hAnsi="Arial"/>
                <w:sz w:val="17"/>
                <w:szCs w:val="17"/>
                <w:color w:val="auto"/>
              </w:rPr>
              <w:t>Treasurer and Secretary)</w:t>
            </w: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20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1"/>
        </w:trPr>
        <w:tc>
          <w:tcPr>
            <w:tcW w:w="2200" w:type="dxa"/>
            <w:vAlign w:val="bottom"/>
          </w:tcPr>
          <w:p>
            <w:pPr>
              <w:spacing w:after="0"/>
              <w:rPr>
                <w:sz w:val="20"/>
                <w:szCs w:val="20"/>
                <w:color w:val="auto"/>
              </w:rPr>
            </w:pPr>
            <w:r>
              <w:rPr>
                <w:rFonts w:ascii="Arial" w:cs="Arial" w:eastAsia="Arial" w:hAnsi="Arial"/>
                <w:sz w:val="17"/>
                <w:szCs w:val="17"/>
                <w:color w:val="auto"/>
              </w:rPr>
              <w:t>Francesca Barone, M.D.,</w:t>
            </w:r>
          </w:p>
        </w:tc>
        <w:tc>
          <w:tcPr>
            <w:tcW w:w="1900" w:type="dxa"/>
            <w:vAlign w:val="bottom"/>
            <w:vMerge w:val="restart"/>
          </w:tcPr>
          <w:p>
            <w:pPr>
              <w:ind w:left="60"/>
              <w:spacing w:after="0"/>
              <w:rPr>
                <w:sz w:val="20"/>
                <w:szCs w:val="20"/>
                <w:color w:val="auto"/>
              </w:rPr>
            </w:pPr>
            <w:r>
              <w:rPr>
                <w:rFonts w:ascii="Arial" w:cs="Arial" w:eastAsia="Arial" w:hAnsi="Arial"/>
                <w:sz w:val="17"/>
                <w:szCs w:val="17"/>
                <w:color w:val="auto"/>
                <w:w w:val="98"/>
              </w:rPr>
              <w:t>Adoption (November 22,</w:t>
            </w:r>
          </w:p>
        </w:tc>
        <w:tc>
          <w:tcPr>
            <w:tcW w:w="0" w:type="dxa"/>
            <w:vAlign w:val="bottom"/>
          </w:tcPr>
          <w:p>
            <w:pPr>
              <w:spacing w:after="0"/>
              <w:rPr>
                <w:sz w:val="1"/>
                <w:szCs w:val="1"/>
                <w:color w:val="auto"/>
              </w:rPr>
            </w:pPr>
          </w:p>
        </w:tc>
      </w:tr>
      <w:tr>
        <w:trPr>
          <w:trHeight w:val="95"/>
        </w:trPr>
        <w:tc>
          <w:tcPr>
            <w:tcW w:w="2200" w:type="dxa"/>
            <w:vAlign w:val="bottom"/>
            <w:vMerge w:val="restart"/>
          </w:tcPr>
          <w:p>
            <w:pPr>
              <w:spacing w:after="0" w:line="189" w:lineRule="exact"/>
              <w:rPr>
                <w:sz w:val="20"/>
                <w:szCs w:val="20"/>
                <w:color w:val="auto"/>
              </w:rPr>
            </w:pPr>
            <w:r>
              <w:rPr>
                <w:rFonts w:ascii="Arial" w:cs="Arial" w:eastAsia="Arial" w:hAnsi="Arial"/>
                <w:sz w:val="17"/>
                <w:szCs w:val="17"/>
                <w:color w:val="auto"/>
              </w:rPr>
              <w:t>Ph.D. (Chief Scientific</w:t>
            </w: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200" w:type="dxa"/>
            <w:vAlign w:val="bottom"/>
            <w:vMerge w:val="continue"/>
          </w:tcPr>
          <w:p>
            <w:pPr>
              <w:spacing w:after="0"/>
              <w:rPr>
                <w:sz w:val="8"/>
                <w:szCs w:val="8"/>
                <w:color w:val="auto"/>
              </w:rPr>
            </w:pPr>
          </w:p>
        </w:tc>
        <w:tc>
          <w:tcPr>
            <w:tcW w:w="1900" w:type="dxa"/>
            <w:vAlign w:val="bottom"/>
            <w:vMerge w:val="restart"/>
          </w:tcPr>
          <w:p>
            <w:pPr>
              <w:ind w:left="60"/>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130"/>
        </w:trPr>
        <w:tc>
          <w:tcPr>
            <w:tcW w:w="2200" w:type="dxa"/>
            <w:vAlign w:val="bottom"/>
            <w:vMerge w:val="restart"/>
          </w:tcPr>
          <w:p>
            <w:pPr>
              <w:spacing w:after="0"/>
              <w:rPr>
                <w:sz w:val="20"/>
                <w:szCs w:val="20"/>
                <w:color w:val="auto"/>
              </w:rPr>
            </w:pPr>
            <w:r>
              <w:rPr>
                <w:rFonts w:ascii="Arial" w:cs="Arial" w:eastAsia="Arial" w:hAnsi="Arial"/>
                <w:sz w:val="17"/>
                <w:szCs w:val="17"/>
                <w:color w:val="auto"/>
              </w:rPr>
              <w:t>Officer)</w:t>
            </w: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20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6"/>
        </w:trPr>
        <w:tc>
          <w:tcPr>
            <w:tcW w:w="2200" w:type="dxa"/>
            <w:vAlign w:val="bottom"/>
          </w:tcPr>
          <w:p>
            <w:pPr>
              <w:spacing w:after="0"/>
              <w:rPr>
                <w:sz w:val="20"/>
                <w:szCs w:val="20"/>
                <w:color w:val="auto"/>
              </w:rPr>
            </w:pPr>
            <w:r>
              <w:rPr>
                <w:rFonts w:ascii="Arial" w:cs="Arial" w:eastAsia="Arial" w:hAnsi="Arial"/>
                <w:sz w:val="17"/>
                <w:szCs w:val="17"/>
                <w:color w:val="auto"/>
              </w:rPr>
              <w:t>W. Garrett Nichols, M.D.,</w:t>
            </w:r>
          </w:p>
        </w:tc>
        <w:tc>
          <w:tcPr>
            <w:tcW w:w="1900" w:type="dxa"/>
            <w:vAlign w:val="bottom"/>
          </w:tcPr>
          <w:p>
            <w:pPr>
              <w:ind w:left="60"/>
              <w:spacing w:after="0"/>
              <w:rPr>
                <w:sz w:val="20"/>
                <w:szCs w:val="20"/>
                <w:color w:val="auto"/>
              </w:rPr>
            </w:pPr>
            <w:r>
              <w:rPr>
                <w:rFonts w:ascii="Arial" w:cs="Arial" w:eastAsia="Arial" w:hAnsi="Arial"/>
                <w:sz w:val="17"/>
                <w:szCs w:val="17"/>
                <w:color w:val="auto"/>
                <w:w w:val="98"/>
              </w:rPr>
              <w:t>Adoption (November 22,</w:t>
            </w:r>
          </w:p>
        </w:tc>
        <w:tc>
          <w:tcPr>
            <w:tcW w:w="0" w:type="dxa"/>
            <w:vAlign w:val="bottom"/>
          </w:tcPr>
          <w:p>
            <w:pPr>
              <w:spacing w:after="0"/>
              <w:rPr>
                <w:sz w:val="1"/>
                <w:szCs w:val="1"/>
                <w:color w:val="auto"/>
              </w:rPr>
            </w:pPr>
          </w:p>
        </w:tc>
      </w:tr>
      <w:tr>
        <w:trPr>
          <w:trHeight w:val="225"/>
        </w:trPr>
        <w:tc>
          <w:tcPr>
            <w:tcW w:w="2200" w:type="dxa"/>
            <w:vAlign w:val="bottom"/>
          </w:tcPr>
          <w:p>
            <w:pPr>
              <w:spacing w:after="0"/>
              <w:rPr>
                <w:sz w:val="20"/>
                <w:szCs w:val="20"/>
                <w:color w:val="auto"/>
              </w:rPr>
            </w:pPr>
            <w:r>
              <w:rPr>
                <w:rFonts w:ascii="Arial" w:cs="Arial" w:eastAsia="Arial" w:hAnsi="Arial"/>
                <w:sz w:val="17"/>
                <w:szCs w:val="17"/>
                <w:color w:val="auto"/>
              </w:rPr>
              <w:t>M.S. (Chief Medical Officer)</w:t>
            </w:r>
          </w:p>
        </w:tc>
        <w:tc>
          <w:tcPr>
            <w:tcW w:w="1900" w:type="dxa"/>
            <w:vAlign w:val="bottom"/>
          </w:tcPr>
          <w:p>
            <w:pPr>
              <w:ind w:left="60"/>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7"/>
          <w:szCs w:val="17"/>
          <w:color w:val="auto"/>
        </w:rPr>
        <w:t>Trading plan intended to satisfy the affirmative defense conditions of Exchange Act Rule 10b5-1(c)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-595630</wp:posOffset>
            </wp:positionV>
            <wp:extent cx="7132320" cy="6000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Trading plan intended to satisfy the affirmative defense conditions of Exchange Act Rule 10b5-1(c)</w:t>
      </w:r>
    </w:p>
    <w:p>
      <w:pPr>
        <w:spacing w:after="0" w:line="232" w:lineRule="auto"/>
        <w:rPr>
          <w:sz w:val="20"/>
          <w:szCs w:val="20"/>
          <w:color w:val="auto"/>
        </w:rPr>
      </w:pPr>
      <w:r>
        <w:rPr>
          <w:rFonts w:ascii="Arial" w:cs="Arial" w:eastAsia="Arial" w:hAnsi="Arial"/>
          <w:sz w:val="17"/>
          <w:szCs w:val="17"/>
          <w:color w:val="auto"/>
        </w:rPr>
        <w:t>Trading plan intended to satisfy the affirmative defense conditions of Exchange Act Rule 10b5-1(c)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-595630</wp:posOffset>
            </wp:positionV>
            <wp:extent cx="7132320" cy="6000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Trading plan intended to satisfy the affirmative defense conditions of Exchange Act Rule 10b5-1(c)</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Earlier of (i) 466 days and (ii) the completed sale of the maximum aggregate number of securities under the plan</w:t>
      </w:r>
    </w:p>
    <w:p>
      <w:pPr>
        <w:spacing w:after="0" w:line="15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Earlier of (i) 379 days and (ii) the completed sale of the maximum aggregate number of securities under the plan</w:t>
      </w:r>
    </w:p>
    <w:p>
      <w:pPr>
        <w:spacing w:after="0" w:line="15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Earlier of (i) 372 days and (ii) the completed sale of the maximum aggregate number of securities under the plan</w:t>
      </w:r>
    </w:p>
    <w:p>
      <w:pPr>
        <w:spacing w:after="0" w:line="15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Earlier of (i) 372 days and (ii) the completed sale of the maximum aggregate number of securities under the plan</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Up to 868,783 shares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Up to 20,000 shares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Up to 38,646 shares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Up to 49,848 shares</w:t>
      </w:r>
    </w:p>
    <w:p>
      <w:pPr>
        <w:spacing w:after="0" w:line="388" w:lineRule="exact"/>
        <w:rPr>
          <w:sz w:val="20"/>
          <w:szCs w:val="20"/>
          <w:color w:val="auto"/>
        </w:rPr>
      </w:pPr>
    </w:p>
    <w:p>
      <w:pPr>
        <w:sectPr>
          <w:pgSz w:w="11900" w:h="16838" w:orient="portrait"/>
          <w:cols w:equalWidth="0" w:num="4">
            <w:col w:w="4120" w:space="420"/>
            <w:col w:w="1920" w:space="320"/>
            <w:col w:w="2180" w:space="60"/>
            <w:col w:w="222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10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2300" w:type="dxa"/>
            <w:vAlign w:val="bottom"/>
            <w:shd w:val="clear" w:color="auto" w:fill="CFF0FC"/>
          </w:tcPr>
          <w:p>
            <w:pPr>
              <w:ind w:left="220"/>
              <w:spacing w:after="0" w:line="173" w:lineRule="exact"/>
              <w:rPr>
                <w:sz w:val="20"/>
                <w:szCs w:val="20"/>
                <w:color w:val="auto"/>
              </w:rPr>
            </w:pPr>
            <w:r>
              <w:rPr>
                <w:rFonts w:ascii="Arial" w:cs="Arial" w:eastAsia="Arial" w:hAnsi="Arial"/>
                <w:sz w:val="17"/>
                <w:szCs w:val="17"/>
                <w:color w:val="auto"/>
              </w:rPr>
              <w:t>Trading plan intended to</w:t>
            </w:r>
          </w:p>
        </w:tc>
        <w:tc>
          <w:tcPr>
            <w:tcW w:w="2360" w:type="dxa"/>
            <w:vAlign w:val="bottom"/>
            <w:vMerge w:val="restart"/>
            <w:shd w:val="clear" w:color="auto" w:fill="CFF0FC"/>
          </w:tcPr>
          <w:p>
            <w:pPr>
              <w:ind w:left="160"/>
              <w:spacing w:after="0"/>
              <w:rPr>
                <w:sz w:val="20"/>
                <w:szCs w:val="20"/>
                <w:color w:val="auto"/>
              </w:rPr>
            </w:pPr>
            <w:r>
              <w:rPr>
                <w:rFonts w:ascii="Arial" w:cs="Arial" w:eastAsia="Arial" w:hAnsi="Arial"/>
                <w:sz w:val="17"/>
                <w:szCs w:val="17"/>
                <w:color w:val="auto"/>
                <w:w w:val="99"/>
              </w:rPr>
              <w:t>Earlier of (i) 470 days and (ii)</w:t>
            </w:r>
          </w:p>
        </w:tc>
        <w:tc>
          <w:tcPr>
            <w:tcW w:w="2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00" w:type="dxa"/>
            <w:vAlign w:val="bottom"/>
            <w:vMerge w:val="restart"/>
            <w:shd w:val="clear" w:color="auto" w:fill="CFF0FC"/>
          </w:tcPr>
          <w:p>
            <w:pPr>
              <w:ind w:left="20"/>
              <w:spacing w:after="0" w:line="189" w:lineRule="exact"/>
              <w:rPr>
                <w:sz w:val="20"/>
                <w:szCs w:val="20"/>
                <w:color w:val="auto"/>
              </w:rPr>
            </w:pPr>
            <w:r>
              <w:rPr>
                <w:rFonts w:ascii="Arial" w:cs="Arial" w:eastAsia="Arial" w:hAnsi="Arial"/>
                <w:sz w:val="17"/>
                <w:szCs w:val="17"/>
                <w:color w:val="auto"/>
              </w:rPr>
              <w:t>Seshu Tyagarajan, Ph.D.</w:t>
            </w:r>
          </w:p>
        </w:tc>
        <w:tc>
          <w:tcPr>
            <w:tcW w:w="2220" w:type="dxa"/>
            <w:vAlign w:val="bottom"/>
            <w:shd w:val="clear" w:color="auto" w:fill="CFF0FC"/>
          </w:tcPr>
          <w:p>
            <w:pPr>
              <w:spacing w:after="0"/>
              <w:rPr>
                <w:sz w:val="8"/>
                <w:szCs w:val="8"/>
                <w:color w:val="auto"/>
              </w:rPr>
            </w:pPr>
          </w:p>
        </w:tc>
        <w:tc>
          <w:tcPr>
            <w:tcW w:w="2300" w:type="dxa"/>
            <w:vAlign w:val="bottom"/>
            <w:vMerge w:val="restart"/>
            <w:shd w:val="clear" w:color="auto" w:fill="CFF0FC"/>
          </w:tcPr>
          <w:p>
            <w:pPr>
              <w:ind w:left="220"/>
              <w:spacing w:after="0" w:line="189" w:lineRule="exact"/>
              <w:rPr>
                <w:sz w:val="20"/>
                <w:szCs w:val="20"/>
                <w:color w:val="auto"/>
              </w:rPr>
            </w:pPr>
            <w:r>
              <w:rPr>
                <w:rFonts w:ascii="Arial" w:cs="Arial" w:eastAsia="Arial" w:hAnsi="Arial"/>
                <w:sz w:val="17"/>
                <w:szCs w:val="17"/>
                <w:color w:val="auto"/>
              </w:rPr>
              <w:t>satisfy the affirmative</w:t>
            </w:r>
          </w:p>
        </w:tc>
        <w:tc>
          <w:tcPr>
            <w:tcW w:w="2360" w:type="dxa"/>
            <w:vAlign w:val="bottom"/>
            <w:vMerge w:val="continue"/>
            <w:shd w:val="clear" w:color="auto" w:fill="CFF0FC"/>
          </w:tcPr>
          <w:p>
            <w:pPr>
              <w:spacing w:after="0"/>
              <w:rPr>
                <w:sz w:val="8"/>
                <w:szCs w:val="8"/>
                <w:color w:val="auto"/>
              </w:rPr>
            </w:pPr>
          </w:p>
        </w:tc>
        <w:tc>
          <w:tcPr>
            <w:tcW w:w="22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00" w:type="dxa"/>
            <w:vAlign w:val="bottom"/>
            <w:vMerge w:val="continue"/>
            <w:shd w:val="clear" w:color="auto" w:fill="CFF0FC"/>
          </w:tcPr>
          <w:p>
            <w:pPr>
              <w:spacing w:after="0"/>
              <w:rPr>
                <w:sz w:val="8"/>
                <w:szCs w:val="8"/>
                <w:color w:val="auto"/>
              </w:rPr>
            </w:pPr>
          </w:p>
        </w:tc>
        <w:tc>
          <w:tcPr>
            <w:tcW w:w="2220" w:type="dxa"/>
            <w:vAlign w:val="bottom"/>
            <w:vMerge w:val="restart"/>
            <w:shd w:val="clear" w:color="auto" w:fill="CFF0FC"/>
          </w:tcPr>
          <w:p>
            <w:pPr>
              <w:ind w:left="180"/>
              <w:spacing w:after="0" w:line="189" w:lineRule="exact"/>
              <w:rPr>
                <w:sz w:val="20"/>
                <w:szCs w:val="20"/>
                <w:color w:val="auto"/>
              </w:rPr>
            </w:pPr>
            <w:r>
              <w:rPr>
                <w:rFonts w:ascii="Arial" w:cs="Arial" w:eastAsia="Arial" w:hAnsi="Arial"/>
                <w:sz w:val="17"/>
                <w:szCs w:val="17"/>
                <w:color w:val="auto"/>
              </w:rPr>
              <w:t>Adoption (November 15,</w:t>
            </w:r>
          </w:p>
        </w:tc>
        <w:tc>
          <w:tcPr>
            <w:tcW w:w="2300" w:type="dxa"/>
            <w:vAlign w:val="bottom"/>
            <w:vMerge w:val="continue"/>
            <w:shd w:val="clear" w:color="auto" w:fill="CFF0FC"/>
          </w:tcPr>
          <w:p>
            <w:pPr>
              <w:spacing w:after="0"/>
              <w:rPr>
                <w:sz w:val="8"/>
                <w:szCs w:val="8"/>
                <w:color w:val="auto"/>
              </w:rPr>
            </w:pPr>
          </w:p>
        </w:tc>
        <w:tc>
          <w:tcPr>
            <w:tcW w:w="2360" w:type="dxa"/>
            <w:vAlign w:val="bottom"/>
            <w:vMerge w:val="restart"/>
            <w:shd w:val="clear" w:color="auto" w:fill="CFF0FC"/>
          </w:tcPr>
          <w:p>
            <w:pPr>
              <w:ind w:left="160"/>
              <w:spacing w:after="0" w:line="189" w:lineRule="exact"/>
              <w:rPr>
                <w:sz w:val="20"/>
                <w:szCs w:val="20"/>
                <w:color w:val="auto"/>
              </w:rPr>
            </w:pPr>
            <w:r>
              <w:rPr>
                <w:rFonts w:ascii="Arial" w:cs="Arial" w:eastAsia="Arial" w:hAnsi="Arial"/>
                <w:sz w:val="17"/>
                <w:szCs w:val="17"/>
                <w:color w:val="auto"/>
              </w:rPr>
              <w:t>the completed sale of the</w:t>
            </w:r>
          </w:p>
        </w:tc>
        <w:tc>
          <w:tcPr>
            <w:tcW w:w="22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100" w:type="dxa"/>
            <w:vAlign w:val="bottom"/>
            <w:vMerge w:val="restart"/>
            <w:shd w:val="clear" w:color="auto" w:fill="CFF0FC"/>
          </w:tcPr>
          <w:p>
            <w:pPr>
              <w:ind w:left="20"/>
              <w:spacing w:after="0"/>
              <w:rPr>
                <w:sz w:val="20"/>
                <w:szCs w:val="20"/>
                <w:color w:val="auto"/>
              </w:rPr>
            </w:pPr>
            <w:r>
              <w:rPr>
                <w:rFonts w:ascii="Arial" w:cs="Arial" w:eastAsia="Arial" w:hAnsi="Arial"/>
                <w:sz w:val="17"/>
                <w:szCs w:val="17"/>
                <w:color w:val="auto"/>
              </w:rPr>
              <w:t>RAC (Chief Technical</w:t>
            </w:r>
          </w:p>
        </w:tc>
        <w:tc>
          <w:tcPr>
            <w:tcW w:w="2220" w:type="dxa"/>
            <w:vAlign w:val="bottom"/>
            <w:vMerge w:val="continue"/>
            <w:shd w:val="clear" w:color="auto" w:fill="CFF0FC"/>
          </w:tcPr>
          <w:p>
            <w:pPr>
              <w:spacing w:after="0"/>
              <w:rPr>
                <w:sz w:val="8"/>
                <w:szCs w:val="8"/>
                <w:color w:val="auto"/>
              </w:rPr>
            </w:pPr>
          </w:p>
        </w:tc>
        <w:tc>
          <w:tcPr>
            <w:tcW w:w="230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defense conditions of</w:t>
            </w:r>
          </w:p>
        </w:tc>
        <w:tc>
          <w:tcPr>
            <w:tcW w:w="2360" w:type="dxa"/>
            <w:vAlign w:val="bottom"/>
            <w:vMerge w:val="continue"/>
            <w:shd w:val="clear" w:color="auto" w:fill="CFF0FC"/>
          </w:tcPr>
          <w:p>
            <w:pPr>
              <w:spacing w:after="0"/>
              <w:rPr>
                <w:sz w:val="8"/>
                <w:szCs w:val="8"/>
                <w:color w:val="auto"/>
              </w:rPr>
            </w:pPr>
          </w:p>
        </w:tc>
        <w:tc>
          <w:tcPr>
            <w:tcW w:w="2260" w:type="dxa"/>
            <w:vAlign w:val="bottom"/>
            <w:vMerge w:val="restart"/>
            <w:shd w:val="clear" w:color="auto" w:fill="CFF0FC"/>
          </w:tcPr>
          <w:p>
            <w:pPr>
              <w:ind w:left="40"/>
              <w:spacing w:after="0"/>
              <w:rPr>
                <w:sz w:val="20"/>
                <w:szCs w:val="20"/>
                <w:color w:val="auto"/>
              </w:rPr>
            </w:pPr>
            <w:r>
              <w:rPr>
                <w:rFonts w:ascii="Arial" w:cs="Arial" w:eastAsia="Arial" w:hAnsi="Arial"/>
                <w:sz w:val="17"/>
                <w:szCs w:val="17"/>
                <w:color w:val="auto"/>
              </w:rPr>
              <w:t>Up to 61,278 shares</w:t>
            </w:r>
          </w:p>
        </w:tc>
        <w:tc>
          <w:tcPr>
            <w:tcW w:w="0" w:type="dxa"/>
            <w:vAlign w:val="bottom"/>
          </w:tcPr>
          <w:p>
            <w:pPr>
              <w:spacing w:after="0"/>
              <w:rPr>
                <w:sz w:val="1"/>
                <w:szCs w:val="1"/>
                <w:color w:val="auto"/>
              </w:rPr>
            </w:pPr>
          </w:p>
        </w:tc>
      </w:tr>
      <w:tr>
        <w:trPr>
          <w:trHeight w:val="171"/>
        </w:trPr>
        <w:tc>
          <w:tcPr>
            <w:tcW w:w="2100" w:type="dxa"/>
            <w:vAlign w:val="bottom"/>
            <w:vMerge w:val="continue"/>
            <w:shd w:val="clear" w:color="auto" w:fill="CFF0FC"/>
          </w:tcPr>
          <w:p>
            <w:pPr>
              <w:spacing w:after="0"/>
              <w:rPr>
                <w:sz w:val="14"/>
                <w:szCs w:val="14"/>
                <w:color w:val="auto"/>
              </w:rPr>
            </w:pPr>
          </w:p>
        </w:tc>
        <w:tc>
          <w:tcPr>
            <w:tcW w:w="2220" w:type="dxa"/>
            <w:vAlign w:val="bottom"/>
            <w:shd w:val="clear" w:color="auto" w:fill="CFF0FC"/>
          </w:tcPr>
          <w:p>
            <w:pPr>
              <w:ind w:left="180"/>
              <w:spacing w:after="0" w:line="171" w:lineRule="exact"/>
              <w:rPr>
                <w:sz w:val="20"/>
                <w:szCs w:val="20"/>
                <w:color w:val="auto"/>
              </w:rPr>
            </w:pPr>
            <w:r>
              <w:rPr>
                <w:rFonts w:ascii="Arial" w:cs="Arial" w:eastAsia="Arial" w:hAnsi="Arial"/>
                <w:sz w:val="17"/>
                <w:szCs w:val="17"/>
                <w:color w:val="auto"/>
              </w:rPr>
              <w:t>2024)</w:t>
            </w:r>
          </w:p>
        </w:tc>
        <w:tc>
          <w:tcPr>
            <w:tcW w:w="2300" w:type="dxa"/>
            <w:vAlign w:val="bottom"/>
            <w:vMerge w:val="continue"/>
            <w:shd w:val="clear" w:color="auto" w:fill="CFF0FC"/>
          </w:tcPr>
          <w:p>
            <w:pPr>
              <w:spacing w:after="0"/>
              <w:rPr>
                <w:sz w:val="14"/>
                <w:szCs w:val="14"/>
                <w:color w:val="auto"/>
              </w:rPr>
            </w:pPr>
          </w:p>
        </w:tc>
        <w:tc>
          <w:tcPr>
            <w:tcW w:w="2360" w:type="dxa"/>
            <w:vAlign w:val="bottom"/>
            <w:shd w:val="clear" w:color="auto" w:fill="CFF0FC"/>
          </w:tcPr>
          <w:p>
            <w:pPr>
              <w:ind w:left="160"/>
              <w:spacing w:after="0" w:line="171" w:lineRule="exact"/>
              <w:rPr>
                <w:sz w:val="20"/>
                <w:szCs w:val="20"/>
                <w:color w:val="auto"/>
              </w:rPr>
            </w:pPr>
            <w:r>
              <w:rPr>
                <w:rFonts w:ascii="Arial" w:cs="Arial" w:eastAsia="Arial" w:hAnsi="Arial"/>
                <w:sz w:val="17"/>
                <w:szCs w:val="17"/>
                <w:color w:val="auto"/>
              </w:rPr>
              <w:t>maximum aggregate number</w:t>
            </w:r>
          </w:p>
        </w:tc>
        <w:tc>
          <w:tcPr>
            <w:tcW w:w="22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100" w:type="dxa"/>
            <w:vAlign w:val="bottom"/>
            <w:shd w:val="clear" w:color="auto" w:fill="CFF0FC"/>
          </w:tcPr>
          <w:p>
            <w:pPr>
              <w:ind w:left="20"/>
              <w:spacing w:after="0" w:line="113" w:lineRule="exact"/>
              <w:rPr>
                <w:sz w:val="20"/>
                <w:szCs w:val="20"/>
                <w:color w:val="auto"/>
              </w:rPr>
            </w:pPr>
            <w:r>
              <w:rPr>
                <w:rFonts w:ascii="Arial" w:cs="Arial" w:eastAsia="Arial" w:hAnsi="Arial"/>
                <w:sz w:val="13"/>
                <w:szCs w:val="13"/>
                <w:color w:val="auto"/>
              </w:rPr>
              <w:t>Development Director)</w:t>
            </w:r>
          </w:p>
        </w:tc>
        <w:tc>
          <w:tcPr>
            <w:tcW w:w="2220" w:type="dxa"/>
            <w:vAlign w:val="bottom"/>
            <w:shd w:val="clear" w:color="auto" w:fill="CFF0FC"/>
          </w:tcPr>
          <w:p>
            <w:pPr>
              <w:spacing w:after="0"/>
              <w:rPr>
                <w:sz w:val="9"/>
                <w:szCs w:val="9"/>
                <w:color w:val="auto"/>
              </w:rPr>
            </w:pPr>
          </w:p>
        </w:tc>
        <w:tc>
          <w:tcPr>
            <w:tcW w:w="2300" w:type="dxa"/>
            <w:vAlign w:val="bottom"/>
            <w:shd w:val="clear" w:color="auto" w:fill="CFF0FC"/>
          </w:tcPr>
          <w:p>
            <w:pPr>
              <w:ind w:left="220"/>
              <w:spacing w:after="0" w:line="113" w:lineRule="exact"/>
              <w:rPr>
                <w:sz w:val="20"/>
                <w:szCs w:val="20"/>
                <w:color w:val="auto"/>
              </w:rPr>
            </w:pPr>
            <w:r>
              <w:rPr>
                <w:rFonts w:ascii="Arial" w:cs="Arial" w:eastAsia="Arial" w:hAnsi="Arial"/>
                <w:sz w:val="13"/>
                <w:szCs w:val="13"/>
                <w:color w:val="auto"/>
              </w:rPr>
              <w:t>Exchange Act Rule 10b5-</w:t>
            </w:r>
          </w:p>
        </w:tc>
        <w:tc>
          <w:tcPr>
            <w:tcW w:w="2360" w:type="dxa"/>
            <w:vAlign w:val="bottom"/>
            <w:vMerge w:val="restart"/>
            <w:shd w:val="clear" w:color="auto" w:fill="CFF0FC"/>
          </w:tcPr>
          <w:p>
            <w:pPr>
              <w:ind w:left="160"/>
              <w:spacing w:after="0"/>
              <w:rPr>
                <w:sz w:val="20"/>
                <w:szCs w:val="20"/>
                <w:color w:val="auto"/>
              </w:rPr>
            </w:pPr>
            <w:r>
              <w:rPr>
                <w:rFonts w:ascii="Arial" w:cs="Arial" w:eastAsia="Arial" w:hAnsi="Arial"/>
                <w:sz w:val="17"/>
                <w:szCs w:val="17"/>
                <w:color w:val="auto"/>
              </w:rPr>
              <w:t>of securities under the plan</w:t>
            </w:r>
          </w:p>
        </w:tc>
        <w:tc>
          <w:tcPr>
            <w:tcW w:w="22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100" w:type="dxa"/>
            <w:vAlign w:val="bottom"/>
            <w:shd w:val="clear" w:color="auto" w:fill="CFF0FC"/>
          </w:tcPr>
          <w:p>
            <w:pPr>
              <w:spacing w:after="0"/>
              <w:rPr>
                <w:sz w:val="11"/>
                <w:szCs w:val="11"/>
                <w:color w:val="auto"/>
              </w:rPr>
            </w:pPr>
          </w:p>
        </w:tc>
        <w:tc>
          <w:tcPr>
            <w:tcW w:w="2220" w:type="dxa"/>
            <w:vAlign w:val="bottom"/>
            <w:shd w:val="clear" w:color="auto" w:fill="CFF0FC"/>
          </w:tcPr>
          <w:p>
            <w:pPr>
              <w:spacing w:after="0"/>
              <w:rPr>
                <w:sz w:val="11"/>
                <w:szCs w:val="11"/>
                <w:color w:val="auto"/>
              </w:rPr>
            </w:pPr>
          </w:p>
        </w:tc>
        <w:tc>
          <w:tcPr>
            <w:tcW w:w="230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1(c)</w:t>
            </w:r>
          </w:p>
        </w:tc>
        <w:tc>
          <w:tcPr>
            <w:tcW w:w="2360" w:type="dxa"/>
            <w:vAlign w:val="bottom"/>
            <w:vMerge w:val="continue"/>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00" w:type="dxa"/>
            <w:vAlign w:val="bottom"/>
            <w:shd w:val="clear" w:color="auto" w:fill="CFF0FC"/>
          </w:tcPr>
          <w:p>
            <w:pPr>
              <w:spacing w:after="0"/>
              <w:rPr>
                <w:sz w:val="7"/>
                <w:szCs w:val="7"/>
                <w:color w:val="auto"/>
              </w:rPr>
            </w:pPr>
          </w:p>
        </w:tc>
        <w:tc>
          <w:tcPr>
            <w:tcW w:w="2220" w:type="dxa"/>
            <w:vAlign w:val="bottom"/>
            <w:shd w:val="clear" w:color="auto" w:fill="CFF0FC"/>
          </w:tcPr>
          <w:p>
            <w:pPr>
              <w:spacing w:after="0"/>
              <w:rPr>
                <w:sz w:val="7"/>
                <w:szCs w:val="7"/>
                <w:color w:val="auto"/>
              </w:rPr>
            </w:pPr>
          </w:p>
        </w:tc>
        <w:tc>
          <w:tcPr>
            <w:tcW w:w="2300" w:type="dxa"/>
            <w:vAlign w:val="bottom"/>
            <w:vMerge w:val="continue"/>
            <w:shd w:val="clear" w:color="auto" w:fill="CFF0FC"/>
          </w:tcPr>
          <w:p>
            <w:pPr>
              <w:spacing w:after="0"/>
              <w:rPr>
                <w:sz w:val="7"/>
                <w:szCs w:val="7"/>
                <w:color w:val="auto"/>
              </w:rPr>
            </w:pPr>
          </w:p>
        </w:tc>
        <w:tc>
          <w:tcPr>
            <w:tcW w:w="2360" w:type="dxa"/>
            <w:vAlign w:val="bottom"/>
            <w:shd w:val="clear" w:color="auto" w:fill="CFF0FC"/>
          </w:tcPr>
          <w:p>
            <w:pPr>
              <w:spacing w:after="0"/>
              <w:rPr>
                <w:sz w:val="7"/>
                <w:szCs w:val="7"/>
                <w:color w:val="auto"/>
              </w:rPr>
            </w:pPr>
          </w:p>
        </w:tc>
        <w:tc>
          <w:tcPr>
            <w:tcW w:w="22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21" w:name="page122"/>
    <w:bookmarkEnd w:id="121"/>
    <w:p>
      <w:pPr>
        <w:ind w:left="5300"/>
        <w:spacing w:after="0"/>
        <w:rPr>
          <w:sz w:val="20"/>
          <w:szCs w:val="20"/>
          <w:color w:val="auto"/>
        </w:rPr>
      </w:pPr>
      <w:r>
        <w:rPr>
          <w:rFonts w:ascii="Arial" w:cs="Arial" w:eastAsia="Arial" w:hAnsi="Arial"/>
          <w:sz w:val="17"/>
          <w:szCs w:val="17"/>
          <w:b w:val="1"/>
          <w:bCs w:val="1"/>
          <w:color w:val="auto"/>
        </w:rPr>
        <w:t>PART III</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information required by this Item 10 will be included in our Definitive Proxy Statement to be filed with the Securities and Exchange Commission (SEC) with respect to our 2025 Annual Meeting of Stockholders and is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4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11 will be included in our Definitive Proxy Statement to be filed with the SEC with respect to our 2025 Annual Meeting of Stockholders and is incorporated herein by reference.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4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12 will be included in our Definitive Proxy Statement to be filed with the SEC with respect to our 2025 Annual Meeting of Stockholders and is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13 will be included in our Definitive Proxy Statement to be filed with the SEC with respect to our 2025 Annual Meeting of Stockholders and is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independent public accounting firm is KPMG LLP, Boston, Massachusetts, PCAOB Auditor ID 185.</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information required by this Item 14 will be included in our Definitive Proxy Statement to be filed with the SEC with respect to our 2025 Annual Meeting of Stockholders and is incorporated herein by reference.</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122" w:name="page123"/>
    <w:bookmarkEnd w:id="122"/>
    <w:p>
      <w:pPr>
        <w:jc w:val="center"/>
        <w:ind w:right="-59"/>
        <w:spacing w:after="0"/>
        <w:rPr>
          <w:sz w:val="20"/>
          <w:szCs w:val="20"/>
          <w:color w:val="auto"/>
        </w:rPr>
      </w:pPr>
      <w:r>
        <w:rPr>
          <w:rFonts w:ascii="Arial" w:cs="Arial" w:eastAsia="Arial" w:hAnsi="Arial"/>
          <w:sz w:val="17"/>
          <w:szCs w:val="17"/>
          <w:b w:val="1"/>
          <w:bCs w:val="1"/>
          <w:color w:val="auto"/>
        </w:rPr>
        <w:t>PART IV</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For a list of the financial statements included herein, see Index to the Consolidated Financial Statements on page F-1 of this Annual Report on Form 10-K, incorporated into this Item by reference.</w:t>
      </w:r>
    </w:p>
    <w:p>
      <w:pPr>
        <w:spacing w:after="0" w:line="92"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color w:val="auto"/>
        </w:rPr>
        <w:t>Financial statement schedules have been omitted because they are either not required or not applicable or the information is included in the consolidated financial statements or the notes thereto.</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gridSpan w:val="31"/>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1260" w:type="dxa"/>
            <w:vAlign w:val="bottom"/>
          </w:tcPr>
          <w:p>
            <w:pPr>
              <w:ind w:left="20"/>
              <w:spacing w:after="0" w:line="155" w:lineRule="exact"/>
              <w:rPr>
                <w:sz w:val="20"/>
                <w:szCs w:val="20"/>
                <w:color w:val="auto"/>
              </w:rPr>
            </w:pPr>
            <w:r>
              <w:rPr>
                <w:rFonts w:ascii="Arial" w:cs="Arial" w:eastAsia="Arial" w:hAnsi="Arial"/>
                <w:sz w:val="17"/>
                <w:szCs w:val="17"/>
                <w:color w:val="auto"/>
              </w:rPr>
              <w:t>3.1</w:t>
            </w:r>
          </w:p>
        </w:tc>
        <w:tc>
          <w:tcPr>
            <w:tcW w:w="260" w:type="dxa"/>
            <w:vAlign w:val="bottom"/>
          </w:tcPr>
          <w:p>
            <w:pPr>
              <w:spacing w:after="0"/>
              <w:rPr>
                <w:sz w:val="13"/>
                <w:szCs w:val="13"/>
                <w:color w:val="auto"/>
              </w:rPr>
            </w:pPr>
          </w:p>
        </w:tc>
        <w:tc>
          <w:tcPr>
            <w:tcW w:w="9780" w:type="dxa"/>
            <w:vAlign w:val="bottom"/>
            <w:gridSpan w:val="38"/>
          </w:tcPr>
          <w:p>
            <w:pPr>
              <w:spacing w:after="0" w:line="155" w:lineRule="exact"/>
              <w:rPr>
                <w:rFonts w:ascii="Arial" w:cs="Arial" w:eastAsia="Arial" w:hAnsi="Arial"/>
                <w:sz w:val="17"/>
                <w:szCs w:val="17"/>
                <w:color w:val="0000FF"/>
              </w:rPr>
            </w:pPr>
            <w:hyperlink r:id="rId169">
              <w:r>
                <w:rPr>
                  <w:rFonts w:ascii="Arial" w:cs="Arial" w:eastAsia="Arial" w:hAnsi="Arial"/>
                  <w:sz w:val="17"/>
                  <w:szCs w:val="17"/>
                  <w:color w:val="0000FF"/>
                </w:rPr>
                <w:t>Amended and Restated Certificate of Incorporation of Candel Therapeutics, Inc. (incorporated by reference to Exhibit 3.1 to the</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20" w:type="dxa"/>
            <w:vAlign w:val="bottom"/>
            <w:tcBorders>
              <w:top w:val="single" w:sz="8" w:color="0000FF"/>
              <w:bottom w:val="single" w:sz="8" w:color="0000FF"/>
            </w:tcBorders>
            <w:gridSpan w:val="13"/>
          </w:tcPr>
          <w:p>
            <w:pPr>
              <w:spacing w:after="0" w:line="169" w:lineRule="exact"/>
              <w:rPr>
                <w:rFonts w:ascii="Arial" w:cs="Arial" w:eastAsia="Arial" w:hAnsi="Arial"/>
                <w:sz w:val="17"/>
                <w:szCs w:val="17"/>
                <w:color w:val="0000FF"/>
                <w:w w:val="99"/>
              </w:rPr>
            </w:pPr>
            <w:hyperlink r:id="rId169">
              <w:r>
                <w:rPr>
                  <w:rFonts w:ascii="Arial" w:cs="Arial" w:eastAsia="Arial" w:hAnsi="Arial"/>
                  <w:sz w:val="17"/>
                  <w:szCs w:val="17"/>
                  <w:color w:val="0000FF"/>
                  <w:w w:val="99"/>
                </w:rPr>
                <w:t>Registrant’s Current Report on Form 8-K filed with the SEC on July 30,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382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20"/>
              <w:spacing w:after="0" w:line="169" w:lineRule="exact"/>
              <w:rPr>
                <w:sz w:val="20"/>
                <w:szCs w:val="20"/>
                <w:color w:val="auto"/>
              </w:rPr>
            </w:pPr>
            <w:r>
              <w:rPr>
                <w:rFonts w:ascii="Arial" w:cs="Arial" w:eastAsia="Arial" w:hAnsi="Arial"/>
                <w:sz w:val="17"/>
                <w:szCs w:val="17"/>
                <w:color w:val="auto"/>
              </w:rPr>
              <w:t>3.2</w:t>
            </w:r>
          </w:p>
        </w:tc>
        <w:tc>
          <w:tcPr>
            <w:tcW w:w="260" w:type="dxa"/>
            <w:vAlign w:val="bottom"/>
          </w:tcPr>
          <w:p>
            <w:pPr>
              <w:spacing w:after="0"/>
              <w:rPr>
                <w:sz w:val="14"/>
                <w:szCs w:val="14"/>
                <w:color w:val="auto"/>
              </w:rPr>
            </w:pPr>
          </w:p>
        </w:tc>
        <w:tc>
          <w:tcPr>
            <w:tcW w:w="5840" w:type="dxa"/>
            <w:vAlign w:val="bottom"/>
            <w:gridSpan w:val="14"/>
          </w:tcPr>
          <w:p>
            <w:pPr>
              <w:spacing w:after="0" w:line="169" w:lineRule="exact"/>
              <w:rPr>
                <w:rFonts w:ascii="Arial" w:cs="Arial" w:eastAsia="Arial" w:hAnsi="Arial"/>
                <w:sz w:val="17"/>
                <w:szCs w:val="17"/>
                <w:color w:val="0000FF"/>
                <w:w w:val="99"/>
              </w:rPr>
            </w:pPr>
            <w:hyperlink r:id="rId170">
              <w:r>
                <w:rPr>
                  <w:rFonts w:ascii="Arial" w:cs="Arial" w:eastAsia="Arial" w:hAnsi="Arial"/>
                  <w:sz w:val="17"/>
                  <w:szCs w:val="17"/>
                  <w:color w:val="0000FF"/>
                  <w:w w:val="99"/>
                </w:rPr>
                <w:t>Amended and Restated Bylaws of Candel Therapeutics, Inc. (incorporated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gridSpan w:val="22"/>
          </w:tcPr>
          <w:p>
            <w:pPr>
              <w:spacing w:after="0" w:line="169" w:lineRule="exact"/>
              <w:rPr>
                <w:rFonts w:ascii="Arial" w:cs="Arial" w:eastAsia="Arial" w:hAnsi="Arial"/>
                <w:sz w:val="17"/>
                <w:szCs w:val="17"/>
                <w:color w:val="0000FF"/>
              </w:rPr>
            </w:pPr>
            <w:hyperlink r:id="rId170">
              <w:r>
                <w:rPr>
                  <w:rFonts w:ascii="Arial" w:cs="Arial" w:eastAsia="Arial" w:hAnsi="Arial"/>
                  <w:sz w:val="17"/>
                  <w:szCs w:val="17"/>
                  <w:color w:val="0000FF"/>
                </w:rPr>
                <w:t>reference to Exhibit 3.2 to the Registrant’s Current</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3.3</w:t>
            </w:r>
          </w:p>
        </w:tc>
        <w:tc>
          <w:tcPr>
            <w:tcW w:w="26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6"/>
          </w:tcPr>
          <w:p>
            <w:pPr>
              <w:spacing w:after="0" w:line="169" w:lineRule="exact"/>
              <w:rPr>
                <w:rFonts w:ascii="Arial" w:cs="Arial" w:eastAsia="Arial" w:hAnsi="Arial"/>
                <w:sz w:val="17"/>
                <w:szCs w:val="17"/>
                <w:color w:val="0000FF"/>
                <w:w w:val="99"/>
              </w:rPr>
            </w:pPr>
            <w:hyperlink r:id="rId170">
              <w:r>
                <w:rPr>
                  <w:rFonts w:ascii="Arial" w:cs="Arial" w:eastAsia="Arial" w:hAnsi="Arial"/>
                  <w:sz w:val="17"/>
                  <w:szCs w:val="17"/>
                  <w:color w:val="0000FF"/>
                  <w:w w:val="99"/>
                </w:rPr>
                <w:t>Report on Form 8-K filed with the SEC on July 30,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48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780" w:type="dxa"/>
            <w:vAlign w:val="bottom"/>
            <w:gridSpan w:val="38"/>
          </w:tcPr>
          <w:p>
            <w:pPr>
              <w:spacing w:after="0" w:line="169" w:lineRule="exact"/>
              <w:rPr>
                <w:rFonts w:ascii="Arial" w:cs="Arial" w:eastAsia="Arial" w:hAnsi="Arial"/>
                <w:sz w:val="17"/>
                <w:szCs w:val="17"/>
                <w:color w:val="0000FF"/>
              </w:rPr>
            </w:pPr>
            <w:hyperlink r:id="rId171">
              <w:r>
                <w:rPr>
                  <w:rFonts w:ascii="Arial" w:cs="Arial" w:eastAsia="Arial" w:hAnsi="Arial"/>
                  <w:sz w:val="17"/>
                  <w:szCs w:val="17"/>
                  <w:color w:val="0000FF"/>
                </w:rPr>
                <w:t>Amendment to the Amended and Restated Bylaws of Candel Therapeutics, Inc. (incorporated by reference to Exhibit 3.1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15"/>
          </w:tcPr>
          <w:p>
            <w:pPr>
              <w:spacing w:after="0" w:line="169" w:lineRule="exact"/>
              <w:rPr>
                <w:rFonts w:ascii="Arial" w:cs="Arial" w:eastAsia="Arial" w:hAnsi="Arial"/>
                <w:sz w:val="17"/>
                <w:szCs w:val="17"/>
                <w:color w:val="0000FF"/>
              </w:rPr>
            </w:pPr>
            <w:hyperlink r:id="rId171">
              <w:r>
                <w:rPr>
                  <w:rFonts w:ascii="Arial" w:cs="Arial" w:eastAsia="Arial" w:hAnsi="Arial"/>
                  <w:sz w:val="17"/>
                  <w:szCs w:val="17"/>
                  <w:color w:val="0000FF"/>
                </w:rPr>
                <w:t>Registrant's Current Report on Form 8-K filed with the SEC on May 30, 2024)</w:t>
              </w:r>
            </w:hyperlink>
          </w:p>
        </w:tc>
        <w:tc>
          <w:tcPr>
            <w:tcW w:w="20" w:type="dxa"/>
            <w:vAlign w:val="bottom"/>
            <w:tcBorders>
              <w:top w:val="single" w:sz="8" w:color="0000FF"/>
              <w:bottom w:val="single" w:sz="8" w:color="0000EE"/>
            </w:tcBorders>
          </w:tcPr>
          <w:p>
            <w:pPr>
              <w:spacing w:after="0"/>
              <w:rPr>
                <w:sz w:val="14"/>
                <w:szCs w:val="14"/>
                <w:color w:val="auto"/>
              </w:rPr>
            </w:pPr>
          </w:p>
        </w:tc>
        <w:tc>
          <w:tcPr>
            <w:tcW w:w="374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880" w:type="dxa"/>
            <w:vAlign w:val="bottom"/>
            <w:gridSpan w:val="16"/>
          </w:tcPr>
          <w:p>
            <w:pPr>
              <w:spacing w:after="0" w:line="169" w:lineRule="exact"/>
              <w:rPr>
                <w:rFonts w:ascii="Arial" w:cs="Arial" w:eastAsia="Arial" w:hAnsi="Arial"/>
                <w:sz w:val="17"/>
                <w:szCs w:val="17"/>
                <w:color w:val="0000FF"/>
              </w:rPr>
            </w:pPr>
            <w:hyperlink r:id="rId172">
              <w:r>
                <w:rPr>
                  <w:rFonts w:ascii="Arial" w:cs="Arial" w:eastAsia="Arial" w:hAnsi="Arial"/>
                  <w:sz w:val="17"/>
                  <w:szCs w:val="17"/>
                  <w:color w:val="0000FF"/>
                </w:rPr>
                <w:t>Specimen Common Stock Certificate (incorporated by reference to Exhibit 4.1</w:t>
              </w:r>
            </w:hyperlink>
          </w:p>
        </w:tc>
        <w:tc>
          <w:tcPr>
            <w:tcW w:w="3900" w:type="dxa"/>
            <w:vAlign w:val="bottom"/>
            <w:gridSpan w:val="22"/>
          </w:tcPr>
          <w:p>
            <w:pPr>
              <w:jc w:val="right"/>
              <w:ind w:right="460"/>
              <w:spacing w:after="0" w:line="169" w:lineRule="exact"/>
              <w:rPr>
                <w:rFonts w:ascii="Arial" w:cs="Arial" w:eastAsia="Arial" w:hAnsi="Arial"/>
                <w:sz w:val="17"/>
                <w:szCs w:val="17"/>
                <w:color w:val="0000FF"/>
              </w:rPr>
            </w:pPr>
            <w:hyperlink r:id="rId172">
              <w:r>
                <w:rPr>
                  <w:rFonts w:ascii="Arial" w:cs="Arial" w:eastAsia="Arial" w:hAnsi="Arial"/>
                  <w:sz w:val="17"/>
                  <w:szCs w:val="17"/>
                  <w:color w:val="0000FF"/>
                </w:rPr>
                <w:t>to the Registrant’s Registration Statement 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4.2*</w:t>
            </w:r>
          </w:p>
        </w:tc>
        <w:tc>
          <w:tcPr>
            <w:tcW w:w="260" w:type="dxa"/>
            <w:vAlign w:val="bottom"/>
          </w:tcPr>
          <w:p>
            <w:pPr>
              <w:spacing w:after="0"/>
              <w:rPr>
                <w:sz w:val="14"/>
                <w:szCs w:val="14"/>
                <w:color w:val="auto"/>
              </w:rPr>
            </w:pPr>
          </w:p>
        </w:tc>
        <w:tc>
          <w:tcPr>
            <w:tcW w:w="5380" w:type="dxa"/>
            <w:vAlign w:val="bottom"/>
            <w:tcBorders>
              <w:top w:val="single" w:sz="8" w:color="0000FF"/>
              <w:bottom w:val="single" w:sz="8" w:color="0000FF"/>
            </w:tcBorders>
            <w:gridSpan w:val="11"/>
          </w:tcPr>
          <w:p>
            <w:pPr>
              <w:spacing w:after="0" w:line="169" w:lineRule="exact"/>
              <w:rPr>
                <w:rFonts w:ascii="Arial" w:cs="Arial" w:eastAsia="Arial" w:hAnsi="Arial"/>
                <w:sz w:val="17"/>
                <w:szCs w:val="17"/>
                <w:color w:val="0000FF"/>
              </w:rPr>
            </w:pPr>
            <w:hyperlink r:id="rId172">
              <w:r>
                <w:rPr>
                  <w:rFonts w:ascii="Arial" w:cs="Arial" w:eastAsia="Arial" w:hAnsi="Arial"/>
                  <w:sz w:val="17"/>
                  <w:szCs w:val="17"/>
                  <w:color w:val="0000FF"/>
                </w:rPr>
                <w:t>Form S-1/A (File No. 333- 257444) filed with the SEC on July 16, 2021)</w:t>
              </w:r>
            </w:hyperlink>
          </w:p>
        </w:tc>
        <w:tc>
          <w:tcPr>
            <w:tcW w:w="400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380" w:type="dxa"/>
            <w:vAlign w:val="bottom"/>
            <w:gridSpan w:val="11"/>
          </w:tcPr>
          <w:p>
            <w:pPr>
              <w:spacing w:after="0" w:line="169" w:lineRule="exact"/>
              <w:rPr>
                <w:sz w:val="20"/>
                <w:szCs w:val="20"/>
                <w:color w:val="auto"/>
              </w:rPr>
            </w:pPr>
            <w:r>
              <w:rPr>
                <w:rFonts w:ascii="Arial" w:cs="Arial" w:eastAsia="Arial" w:hAnsi="Arial"/>
                <w:sz w:val="17"/>
                <w:szCs w:val="17"/>
                <w:color w:val="0000FF"/>
              </w:rPr>
              <w:t>Description of Securities</w:t>
            </w:r>
          </w:p>
        </w:tc>
        <w:tc>
          <w:tcPr>
            <w:tcW w:w="20" w:type="dxa"/>
            <w:vAlign w:val="bottom"/>
          </w:tcPr>
          <w:p>
            <w:pPr>
              <w:spacing w:after="0"/>
              <w:rPr>
                <w:sz w:val="14"/>
                <w:szCs w:val="14"/>
                <w:color w:val="auto"/>
              </w:rPr>
            </w:pPr>
          </w:p>
        </w:tc>
        <w:tc>
          <w:tcPr>
            <w:tcW w:w="10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4.3</w:t>
            </w: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780" w:type="dxa"/>
            <w:vAlign w:val="bottom"/>
            <w:gridSpan w:val="38"/>
          </w:tcPr>
          <w:p>
            <w:pPr>
              <w:spacing w:after="0" w:line="169" w:lineRule="exact"/>
              <w:rPr>
                <w:rFonts w:ascii="Arial" w:cs="Arial" w:eastAsia="Arial" w:hAnsi="Arial"/>
                <w:sz w:val="17"/>
                <w:szCs w:val="17"/>
                <w:color w:val="0000FF"/>
              </w:rPr>
            </w:pPr>
            <w:hyperlink r:id="rId173">
              <w:r>
                <w:rPr>
                  <w:rFonts w:ascii="Arial" w:cs="Arial" w:eastAsia="Arial" w:hAnsi="Arial"/>
                  <w:sz w:val="17"/>
                  <w:szCs w:val="17"/>
                  <w:color w:val="0000FF"/>
                </w:rPr>
                <w:t>Investors’ Rights Agreement (incorporated by reference to Exhibit 4.2 to the Registrant’s Registration Statement on Form S-1/A</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4.4</w:t>
            </w:r>
          </w:p>
        </w:tc>
        <w:tc>
          <w:tcPr>
            <w:tcW w:w="26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8"/>
          </w:tcPr>
          <w:p>
            <w:pPr>
              <w:spacing w:after="0" w:line="169" w:lineRule="exact"/>
              <w:rPr>
                <w:rFonts w:ascii="Arial" w:cs="Arial" w:eastAsia="Arial" w:hAnsi="Arial"/>
                <w:sz w:val="17"/>
                <w:szCs w:val="17"/>
                <w:color w:val="0000FF"/>
                <w:w w:val="99"/>
              </w:rPr>
            </w:pPr>
            <w:hyperlink r:id="rId173">
              <w:r>
                <w:rPr>
                  <w:rFonts w:ascii="Arial" w:cs="Arial" w:eastAsia="Arial" w:hAnsi="Arial"/>
                  <w:sz w:val="17"/>
                  <w:szCs w:val="17"/>
                  <w:color w:val="0000FF"/>
                  <w:w w:val="99"/>
                </w:rPr>
                <w:t>(File No. 333- 257444) filed with the SEC on June 25,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14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540" w:type="dxa"/>
            <w:vAlign w:val="bottom"/>
            <w:gridSpan w:val="9"/>
          </w:tcPr>
          <w:p>
            <w:pPr>
              <w:spacing w:after="0" w:line="169" w:lineRule="exact"/>
              <w:rPr>
                <w:rFonts w:ascii="Arial" w:cs="Arial" w:eastAsia="Arial" w:hAnsi="Arial"/>
                <w:sz w:val="17"/>
                <w:szCs w:val="17"/>
                <w:color w:val="0000FF"/>
                <w:w w:val="99"/>
              </w:rPr>
            </w:pPr>
            <w:hyperlink r:id="rId174">
              <w:r>
                <w:rPr>
                  <w:rFonts w:ascii="Arial" w:cs="Arial" w:eastAsia="Arial" w:hAnsi="Arial"/>
                  <w:sz w:val="17"/>
                  <w:szCs w:val="17"/>
                  <w:color w:val="0000FF"/>
                  <w:w w:val="99"/>
                </w:rPr>
                <w:t>Form of November 2018 Unconditional Warrant to Purchase</w:t>
              </w:r>
            </w:hyperlink>
          </w:p>
        </w:tc>
        <w:tc>
          <w:tcPr>
            <w:tcW w:w="5240" w:type="dxa"/>
            <w:vAlign w:val="bottom"/>
            <w:gridSpan w:val="29"/>
          </w:tcPr>
          <w:p>
            <w:pPr>
              <w:jc w:val="right"/>
              <w:ind w:right="460"/>
              <w:spacing w:after="0" w:line="169" w:lineRule="exact"/>
              <w:rPr>
                <w:rFonts w:ascii="Arial" w:cs="Arial" w:eastAsia="Arial" w:hAnsi="Arial"/>
                <w:sz w:val="17"/>
                <w:szCs w:val="17"/>
                <w:color w:val="0000FF"/>
              </w:rPr>
            </w:pPr>
            <w:hyperlink r:id="rId174">
              <w:r>
                <w:rPr>
                  <w:rFonts w:ascii="Arial" w:cs="Arial" w:eastAsia="Arial" w:hAnsi="Arial"/>
                  <w:sz w:val="17"/>
                  <w:szCs w:val="17"/>
                  <w:color w:val="0000FF"/>
                </w:rPr>
                <w:t>Common Stock (incorporated by reference to Exhibit 4.3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4.5</w:t>
            </w:r>
          </w:p>
        </w:tc>
        <w:tc>
          <w:tcPr>
            <w:tcW w:w="260" w:type="dxa"/>
            <w:vAlign w:val="bottom"/>
          </w:tcPr>
          <w:p>
            <w:pPr>
              <w:spacing w:after="0"/>
              <w:rPr>
                <w:sz w:val="14"/>
                <w:szCs w:val="14"/>
                <w:color w:val="auto"/>
              </w:rPr>
            </w:pPr>
          </w:p>
        </w:tc>
        <w:tc>
          <w:tcPr>
            <w:tcW w:w="9380" w:type="dxa"/>
            <w:vAlign w:val="bottom"/>
            <w:tcBorders>
              <w:top w:val="single" w:sz="8" w:color="0000FF"/>
            </w:tcBorders>
            <w:gridSpan w:val="26"/>
          </w:tcPr>
          <w:p>
            <w:pPr>
              <w:spacing w:after="0" w:line="169" w:lineRule="exact"/>
              <w:rPr>
                <w:rFonts w:ascii="Arial" w:cs="Arial" w:eastAsia="Arial" w:hAnsi="Arial"/>
                <w:sz w:val="17"/>
                <w:szCs w:val="17"/>
                <w:color w:val="0000FF"/>
              </w:rPr>
            </w:pPr>
            <w:hyperlink r:id="rId174">
              <w:r>
                <w:rPr>
                  <w:rFonts w:ascii="Arial" w:cs="Arial" w:eastAsia="Arial" w:hAnsi="Arial"/>
                  <w:sz w:val="17"/>
                  <w:szCs w:val="17"/>
                  <w:color w:val="0000FF"/>
                </w:rPr>
                <w:t>Registrant’s Registration Statement on Form S-1/A (File No. 333- 257444) filed with the SEC on July 16, 2021)</w:t>
              </w:r>
            </w:hyperlink>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40" w:type="dxa"/>
            <w:vAlign w:val="bottom"/>
            <w:gridSpan w:val="18"/>
            <w:vMerge w:val="restart"/>
          </w:tcPr>
          <w:p>
            <w:pPr>
              <w:ind w:left="80"/>
              <w:spacing w:after="0" w:line="189" w:lineRule="exact"/>
              <w:rPr>
                <w:rFonts w:ascii="Arial" w:cs="Arial" w:eastAsia="Arial" w:hAnsi="Arial"/>
                <w:sz w:val="17"/>
                <w:szCs w:val="17"/>
                <w:color w:val="0000FF"/>
              </w:rPr>
            </w:pPr>
            <w:hyperlink r:id="rId175">
              <w:r>
                <w:rPr>
                  <w:rFonts w:ascii="Arial" w:cs="Arial" w:eastAsia="Arial" w:hAnsi="Arial"/>
                  <w:sz w:val="17"/>
                  <w:szCs w:val="17"/>
                  <w:color w:val="0000FF"/>
                </w:rPr>
                <w:t>4.4 to the</w:t>
              </w:r>
            </w:hyperlink>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340" w:type="dxa"/>
            <w:vAlign w:val="bottom"/>
            <w:gridSpan w:val="20"/>
          </w:tcPr>
          <w:p>
            <w:pPr>
              <w:spacing w:after="0" w:line="169" w:lineRule="exact"/>
              <w:rPr>
                <w:rFonts w:ascii="Arial" w:cs="Arial" w:eastAsia="Arial" w:hAnsi="Arial"/>
                <w:sz w:val="17"/>
                <w:szCs w:val="17"/>
                <w:color w:val="0000FF"/>
                <w:w w:val="99"/>
              </w:rPr>
            </w:pPr>
            <w:hyperlink r:id="rId175">
              <w:r>
                <w:rPr>
                  <w:rFonts w:ascii="Arial" w:cs="Arial" w:eastAsia="Arial" w:hAnsi="Arial"/>
                  <w:sz w:val="17"/>
                  <w:szCs w:val="17"/>
                  <w:color w:val="0000FF"/>
                  <w:w w:val="99"/>
                </w:rPr>
                <w:t>Form of November 2018 Conditional Warrant to Purchase Common Stock (incorporated by reference to Exhibit</w:t>
              </w:r>
            </w:hyperlink>
          </w:p>
        </w:tc>
        <w:tc>
          <w:tcPr>
            <w:tcW w:w="144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4.6</w:t>
            </w:r>
          </w:p>
        </w:tc>
        <w:tc>
          <w:tcPr>
            <w:tcW w:w="260" w:type="dxa"/>
            <w:vAlign w:val="bottom"/>
          </w:tcPr>
          <w:p>
            <w:pPr>
              <w:spacing w:after="0"/>
              <w:rPr>
                <w:sz w:val="14"/>
                <w:szCs w:val="14"/>
                <w:color w:val="auto"/>
              </w:rPr>
            </w:pPr>
          </w:p>
        </w:tc>
        <w:tc>
          <w:tcPr>
            <w:tcW w:w="9180" w:type="dxa"/>
            <w:vAlign w:val="bottom"/>
            <w:tcBorders>
              <w:top w:val="single" w:sz="8" w:color="0000FF"/>
            </w:tcBorders>
            <w:gridSpan w:val="23"/>
          </w:tcPr>
          <w:p>
            <w:pPr>
              <w:spacing w:after="0" w:line="169" w:lineRule="exact"/>
              <w:rPr>
                <w:rFonts w:ascii="Arial" w:cs="Arial" w:eastAsia="Arial" w:hAnsi="Arial"/>
                <w:sz w:val="17"/>
                <w:szCs w:val="17"/>
                <w:color w:val="0000FF"/>
              </w:rPr>
            </w:pPr>
            <w:hyperlink r:id="rId175">
              <w:r>
                <w:rPr>
                  <w:rFonts w:ascii="Arial" w:cs="Arial" w:eastAsia="Arial" w:hAnsi="Arial"/>
                  <w:sz w:val="17"/>
                  <w:szCs w:val="17"/>
                  <w:color w:val="0000FF"/>
                </w:rPr>
                <w:t>Registrant’s Registration Statement on Form S-1/A (File No. 333- 257444) filed with the SEC on July 16, 2021)</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40" w:type="dxa"/>
            <w:vAlign w:val="bottom"/>
            <w:gridSpan w:val="18"/>
            <w:vMerge w:val="restart"/>
          </w:tcPr>
          <w:p>
            <w:pPr>
              <w:ind w:left="20"/>
              <w:spacing w:after="0" w:line="189" w:lineRule="exact"/>
              <w:rPr>
                <w:rFonts w:ascii="Arial" w:cs="Arial" w:eastAsia="Arial" w:hAnsi="Arial"/>
                <w:sz w:val="17"/>
                <w:szCs w:val="17"/>
                <w:color w:val="0000FF"/>
              </w:rPr>
            </w:pPr>
            <w:hyperlink r:id="rId176">
              <w:r>
                <w:rPr>
                  <w:rFonts w:ascii="Arial" w:cs="Arial" w:eastAsia="Arial" w:hAnsi="Arial"/>
                  <w:sz w:val="17"/>
                  <w:szCs w:val="17"/>
                  <w:color w:val="0000FF"/>
                </w:rPr>
                <w:t>the Registrant’s</w:t>
              </w:r>
            </w:hyperlink>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340" w:type="dxa"/>
            <w:vAlign w:val="bottom"/>
            <w:gridSpan w:val="20"/>
          </w:tcPr>
          <w:p>
            <w:pPr>
              <w:spacing w:after="0" w:line="169" w:lineRule="exact"/>
              <w:rPr>
                <w:rFonts w:ascii="Arial" w:cs="Arial" w:eastAsia="Arial" w:hAnsi="Arial"/>
                <w:sz w:val="17"/>
                <w:szCs w:val="17"/>
                <w:color w:val="0000FF"/>
              </w:rPr>
            </w:pPr>
            <w:hyperlink r:id="rId176">
              <w:r>
                <w:rPr>
                  <w:rFonts w:ascii="Arial" w:cs="Arial" w:eastAsia="Arial" w:hAnsi="Arial"/>
                  <w:sz w:val="17"/>
                  <w:szCs w:val="17"/>
                  <w:color w:val="0000FF"/>
                </w:rPr>
                <w:t>Form of Warrant to Purchase Series A Convertible Preferred Stock (incorporated by reference to Exhibit 4.5 to</w:t>
              </w:r>
            </w:hyperlink>
          </w:p>
        </w:tc>
        <w:tc>
          <w:tcPr>
            <w:tcW w:w="144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4.7</w:t>
            </w:r>
          </w:p>
        </w:tc>
        <w:tc>
          <w:tcPr>
            <w:tcW w:w="260" w:type="dxa"/>
            <w:vAlign w:val="bottom"/>
          </w:tcPr>
          <w:p>
            <w:pPr>
              <w:spacing w:after="0"/>
              <w:rPr>
                <w:sz w:val="14"/>
                <w:szCs w:val="14"/>
                <w:color w:val="auto"/>
              </w:rPr>
            </w:pPr>
          </w:p>
        </w:tc>
        <w:tc>
          <w:tcPr>
            <w:tcW w:w="9580" w:type="dxa"/>
            <w:vAlign w:val="bottom"/>
            <w:tcBorders>
              <w:top w:val="single" w:sz="8" w:color="0000FF"/>
            </w:tcBorders>
            <w:gridSpan w:val="29"/>
          </w:tcPr>
          <w:p>
            <w:pPr>
              <w:spacing w:after="0" w:line="169" w:lineRule="exact"/>
              <w:rPr>
                <w:rFonts w:ascii="Arial" w:cs="Arial" w:eastAsia="Arial" w:hAnsi="Arial"/>
                <w:sz w:val="17"/>
                <w:szCs w:val="17"/>
                <w:color w:val="0000FF"/>
              </w:rPr>
            </w:pPr>
            <w:hyperlink r:id="rId176">
              <w:r>
                <w:rPr>
                  <w:rFonts w:ascii="Arial" w:cs="Arial" w:eastAsia="Arial" w:hAnsi="Arial"/>
                  <w:sz w:val="17"/>
                  <w:szCs w:val="17"/>
                  <w:color w:val="0000FF"/>
                </w:rPr>
                <w:t>Registration Statement on Form S-1/A (File No. 333- 257444) filed with the SEC on June 25,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19"/>
            <w:vMerge w:val="restart"/>
          </w:tcPr>
          <w:p>
            <w:pPr>
              <w:spacing w:after="0" w:line="189" w:lineRule="exact"/>
              <w:rPr>
                <w:rFonts w:ascii="Arial" w:cs="Arial" w:eastAsia="Arial" w:hAnsi="Arial"/>
                <w:sz w:val="17"/>
                <w:szCs w:val="17"/>
                <w:color w:val="0000FF"/>
              </w:rPr>
            </w:pPr>
            <w:hyperlink r:id="rId177">
              <w:r>
                <w:rPr>
                  <w:rFonts w:ascii="Arial" w:cs="Arial" w:eastAsia="Arial" w:hAnsi="Arial"/>
                  <w:sz w:val="17"/>
                  <w:szCs w:val="17"/>
                  <w:color w:val="0000FF"/>
                </w:rPr>
                <w:t>Report on Form 8-K filed with</w:t>
              </w:r>
            </w:hyperlink>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80" w:type="dxa"/>
            <w:vAlign w:val="bottom"/>
            <w:gridSpan w:val="19"/>
          </w:tcPr>
          <w:p>
            <w:pPr>
              <w:spacing w:after="0" w:line="169" w:lineRule="exact"/>
              <w:rPr>
                <w:rFonts w:ascii="Arial" w:cs="Arial" w:eastAsia="Arial" w:hAnsi="Arial"/>
                <w:sz w:val="17"/>
                <w:szCs w:val="17"/>
                <w:color w:val="0000FF"/>
              </w:rPr>
            </w:pPr>
            <w:hyperlink r:id="rId177">
              <w:r>
                <w:rPr>
                  <w:rFonts w:ascii="Arial" w:cs="Arial" w:eastAsia="Arial" w:hAnsi="Arial"/>
                  <w:sz w:val="17"/>
                  <w:szCs w:val="17"/>
                  <w:color w:val="0000FF"/>
                </w:rPr>
                <w:t>Form of Pre-Funded Warrant (incorporated by reference to Exhibit 4.1 to the Registrant’s Current</w:t>
              </w:r>
            </w:hyperlink>
          </w:p>
        </w:tc>
        <w:tc>
          <w:tcPr>
            <w:tcW w:w="230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10.1#</w:t>
            </w:r>
          </w:p>
        </w:tc>
        <w:tc>
          <w:tcPr>
            <w:tcW w:w="260" w:type="dxa"/>
            <w:vAlign w:val="bottom"/>
          </w:tcPr>
          <w:p>
            <w:pPr>
              <w:spacing w:after="0"/>
              <w:rPr>
                <w:sz w:val="14"/>
                <w:szCs w:val="14"/>
                <w:color w:val="auto"/>
              </w:rPr>
            </w:pPr>
          </w:p>
        </w:tc>
        <w:tc>
          <w:tcPr>
            <w:tcW w:w="9640" w:type="dxa"/>
            <w:vAlign w:val="bottom"/>
            <w:tcBorders>
              <w:top w:val="single" w:sz="8" w:color="0000FF"/>
            </w:tcBorders>
            <w:gridSpan w:val="32"/>
          </w:tcPr>
          <w:p>
            <w:pPr>
              <w:spacing w:after="0" w:line="169" w:lineRule="exact"/>
              <w:rPr>
                <w:rFonts w:ascii="Arial" w:cs="Arial" w:eastAsia="Arial" w:hAnsi="Arial"/>
                <w:sz w:val="17"/>
                <w:szCs w:val="17"/>
                <w:color w:val="0000FF"/>
              </w:rPr>
            </w:pPr>
            <w:hyperlink r:id="rId177">
              <w:r>
                <w:rPr>
                  <w:rFonts w:ascii="Arial" w:cs="Arial" w:eastAsia="Arial" w:hAnsi="Arial"/>
                  <w:sz w:val="17"/>
                  <w:szCs w:val="17"/>
                  <w:color w:val="0000FF"/>
                </w:rPr>
                <w:t>the SEC on December 13, 2024)</w:t>
              </w:r>
            </w:hyperlink>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780" w:type="dxa"/>
            <w:vAlign w:val="bottom"/>
            <w:gridSpan w:val="38"/>
          </w:tcPr>
          <w:p>
            <w:pPr>
              <w:spacing w:after="0" w:line="169" w:lineRule="exact"/>
              <w:rPr>
                <w:rFonts w:ascii="Arial" w:cs="Arial" w:eastAsia="Arial" w:hAnsi="Arial"/>
                <w:sz w:val="17"/>
                <w:szCs w:val="17"/>
                <w:color w:val="0000FF"/>
              </w:rPr>
            </w:pPr>
            <w:hyperlink r:id="rId178">
              <w:r>
                <w:rPr>
                  <w:rFonts w:ascii="Arial" w:cs="Arial" w:eastAsia="Arial" w:hAnsi="Arial"/>
                  <w:sz w:val="17"/>
                  <w:szCs w:val="17"/>
                  <w:color w:val="0000FF"/>
                </w:rPr>
                <w:t>2015 Stock Plan, as amended, and forms of award agreements thereunder (incorporated by reference to Exhibit 10.1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10.2#</w:t>
            </w:r>
          </w:p>
        </w:tc>
        <w:tc>
          <w:tcPr>
            <w:tcW w:w="260" w:type="dxa"/>
            <w:vAlign w:val="bottom"/>
          </w:tcPr>
          <w:p>
            <w:pPr>
              <w:spacing w:after="0"/>
              <w:rPr>
                <w:sz w:val="14"/>
                <w:szCs w:val="14"/>
                <w:color w:val="auto"/>
              </w:rPr>
            </w:pPr>
          </w:p>
        </w:tc>
        <w:tc>
          <w:tcPr>
            <w:tcW w:w="9360" w:type="dxa"/>
            <w:vAlign w:val="bottom"/>
            <w:tcBorders>
              <w:top w:val="single" w:sz="8" w:color="0000FF"/>
            </w:tcBorders>
            <w:gridSpan w:val="25"/>
          </w:tcPr>
          <w:p>
            <w:pPr>
              <w:spacing w:after="0" w:line="169" w:lineRule="exact"/>
              <w:rPr>
                <w:rFonts w:ascii="Arial" w:cs="Arial" w:eastAsia="Arial" w:hAnsi="Arial"/>
                <w:sz w:val="17"/>
                <w:szCs w:val="17"/>
                <w:color w:val="0000FF"/>
              </w:rPr>
            </w:pPr>
            <w:hyperlink r:id="rId178">
              <w:r>
                <w:rPr>
                  <w:rFonts w:ascii="Arial" w:cs="Arial" w:eastAsia="Arial" w:hAnsi="Arial"/>
                  <w:sz w:val="17"/>
                  <w:szCs w:val="17"/>
                  <w:color w:val="0000FF"/>
                </w:rPr>
                <w:t>Registrant’s Registration Statement on Form S-1/A (File No. 333- 257444) filed with the SEC on July 16, 2021)</w:t>
              </w:r>
            </w:hyperlink>
          </w:p>
        </w:tc>
        <w:tc>
          <w:tcPr>
            <w:tcW w:w="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780" w:type="dxa"/>
            <w:vAlign w:val="bottom"/>
            <w:gridSpan w:val="38"/>
          </w:tcPr>
          <w:p>
            <w:pPr>
              <w:spacing w:after="0" w:line="169" w:lineRule="exact"/>
              <w:rPr>
                <w:rFonts w:ascii="Arial" w:cs="Arial" w:eastAsia="Arial" w:hAnsi="Arial"/>
                <w:sz w:val="17"/>
                <w:szCs w:val="17"/>
                <w:color w:val="0000FF"/>
              </w:rPr>
            </w:pPr>
            <w:hyperlink r:id="rId179">
              <w:r>
                <w:rPr>
                  <w:rFonts w:ascii="Arial" w:cs="Arial" w:eastAsia="Arial" w:hAnsi="Arial"/>
                  <w:sz w:val="17"/>
                  <w:szCs w:val="17"/>
                  <w:color w:val="0000FF"/>
                </w:rPr>
                <w:t>2021 Stock Option and Incentive Plan and forms of award agreements thereunder (incorporated by reference to Exhibit 10.2 to</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10.3#</w:t>
            </w:r>
          </w:p>
        </w:tc>
        <w:tc>
          <w:tcPr>
            <w:tcW w:w="260" w:type="dxa"/>
            <w:vAlign w:val="bottom"/>
          </w:tcPr>
          <w:p>
            <w:pPr>
              <w:spacing w:after="0"/>
              <w:rPr>
                <w:sz w:val="14"/>
                <w:szCs w:val="14"/>
                <w:color w:val="auto"/>
              </w:rPr>
            </w:pPr>
          </w:p>
        </w:tc>
        <w:tc>
          <w:tcPr>
            <w:tcW w:w="9600" w:type="dxa"/>
            <w:vAlign w:val="bottom"/>
            <w:tcBorders>
              <w:top w:val="single" w:sz="8" w:color="0000FF"/>
            </w:tcBorders>
            <w:gridSpan w:val="30"/>
          </w:tcPr>
          <w:p>
            <w:pPr>
              <w:spacing w:after="0" w:line="169" w:lineRule="exact"/>
              <w:rPr>
                <w:rFonts w:ascii="Arial" w:cs="Arial" w:eastAsia="Arial" w:hAnsi="Arial"/>
                <w:sz w:val="17"/>
                <w:szCs w:val="17"/>
                <w:color w:val="0000FF"/>
              </w:rPr>
            </w:pPr>
            <w:hyperlink r:id="rId179">
              <w:r>
                <w:rPr>
                  <w:rFonts w:ascii="Arial" w:cs="Arial" w:eastAsia="Arial" w:hAnsi="Arial"/>
                  <w:sz w:val="17"/>
                  <w:szCs w:val="17"/>
                  <w:color w:val="0000FF"/>
                </w:rPr>
                <w:t>the Registrant’s Registration Statement on Form S-1/A (File No. 333- 257444) filed with the SEC on July 16, 2021)</w:t>
              </w:r>
            </w:hyperlink>
          </w:p>
        </w:tc>
        <w:tc>
          <w:tcPr>
            <w:tcW w:w="10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780" w:type="dxa"/>
            <w:vAlign w:val="bottom"/>
            <w:gridSpan w:val="38"/>
          </w:tcPr>
          <w:p>
            <w:pPr>
              <w:spacing w:after="0" w:line="169" w:lineRule="exact"/>
              <w:rPr>
                <w:rFonts w:ascii="Arial" w:cs="Arial" w:eastAsia="Arial" w:hAnsi="Arial"/>
                <w:sz w:val="17"/>
                <w:szCs w:val="17"/>
                <w:color w:val="0000FF"/>
              </w:rPr>
            </w:pPr>
            <w:hyperlink r:id="rId180">
              <w:r>
                <w:rPr>
                  <w:rFonts w:ascii="Arial" w:cs="Arial" w:eastAsia="Arial" w:hAnsi="Arial"/>
                  <w:sz w:val="17"/>
                  <w:szCs w:val="17"/>
                  <w:color w:val="0000FF"/>
                </w:rPr>
                <w:t>Senior Executive Cash Incentive Bonus Plan (incorporated by reference to Exhibit 10.3 to the Registrant’s Registration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10.4#</w:t>
            </w:r>
          </w:p>
        </w:tc>
        <w:tc>
          <w:tcPr>
            <w:tcW w:w="260" w:type="dxa"/>
            <w:vAlign w:val="bottom"/>
          </w:tcPr>
          <w:p>
            <w:pPr>
              <w:spacing w:after="0"/>
              <w:rPr>
                <w:sz w:val="14"/>
                <w:szCs w:val="14"/>
                <w:color w:val="auto"/>
              </w:rPr>
            </w:pPr>
          </w:p>
        </w:tc>
        <w:tc>
          <w:tcPr>
            <w:tcW w:w="6440" w:type="dxa"/>
            <w:vAlign w:val="bottom"/>
            <w:tcBorders>
              <w:top w:val="single" w:sz="8" w:color="0000FF"/>
              <w:bottom w:val="single" w:sz="8" w:color="0000FF"/>
            </w:tcBorders>
            <w:gridSpan w:val="17"/>
          </w:tcPr>
          <w:p>
            <w:pPr>
              <w:spacing w:after="0" w:line="169" w:lineRule="exact"/>
              <w:rPr>
                <w:rFonts w:ascii="Arial" w:cs="Arial" w:eastAsia="Arial" w:hAnsi="Arial"/>
                <w:sz w:val="17"/>
                <w:szCs w:val="17"/>
                <w:color w:val="0000FF"/>
              </w:rPr>
            </w:pPr>
            <w:hyperlink r:id="rId180">
              <w:r>
                <w:rPr>
                  <w:rFonts w:ascii="Arial" w:cs="Arial" w:eastAsia="Arial" w:hAnsi="Arial"/>
                  <w:sz w:val="17"/>
                  <w:szCs w:val="17"/>
                  <w:color w:val="0000FF"/>
                </w:rPr>
                <w:t>Statement on Form S-1/A (File 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2520" w:type="dxa"/>
            <w:vAlign w:val="bottom"/>
            <w:tcBorders>
              <w:top w:val="single" w:sz="8" w:color="0000FF"/>
            </w:tcBorders>
            <w:gridSpan w:val="4"/>
          </w:tcPr>
          <w:p>
            <w:pPr>
              <w:spacing w:after="0"/>
              <w:rPr>
                <w:sz w:val="14"/>
                <w:szCs w:val="14"/>
                <w:color w:val="auto"/>
              </w:rPr>
            </w:pPr>
          </w:p>
        </w:tc>
        <w:tc>
          <w:tcPr>
            <w:tcW w:w="3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780" w:type="dxa"/>
            <w:vAlign w:val="bottom"/>
            <w:gridSpan w:val="38"/>
          </w:tcPr>
          <w:p>
            <w:pPr>
              <w:spacing w:after="0" w:line="169" w:lineRule="exact"/>
              <w:rPr>
                <w:rFonts w:ascii="Arial" w:cs="Arial" w:eastAsia="Arial" w:hAnsi="Arial"/>
                <w:sz w:val="17"/>
                <w:szCs w:val="17"/>
                <w:color w:val="0000FF"/>
              </w:rPr>
            </w:pPr>
            <w:hyperlink r:id="rId181">
              <w:r>
                <w:rPr>
                  <w:rFonts w:ascii="Arial" w:cs="Arial" w:eastAsia="Arial" w:hAnsi="Arial"/>
                  <w:sz w:val="17"/>
                  <w:szCs w:val="17"/>
                  <w:color w:val="0000FF"/>
                </w:rPr>
                <w:t>Employee Stock Purchase Plan (incorporated by reference to Exhibit 10.4 to the Registrant’s Registration Statement on Form 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940" w:type="dxa"/>
            <w:vAlign w:val="bottom"/>
            <w:gridSpan w:val="1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7"/>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10.5#</w:t>
            </w:r>
          </w:p>
        </w:tc>
        <w:tc>
          <w:tcPr>
            <w:tcW w:w="260" w:type="dxa"/>
            <w:vAlign w:val="bottom"/>
          </w:tcPr>
          <w:p>
            <w:pPr>
              <w:spacing w:after="0"/>
              <w:rPr>
                <w:sz w:val="14"/>
                <w:szCs w:val="14"/>
                <w:color w:val="auto"/>
              </w:rPr>
            </w:pPr>
          </w:p>
        </w:tc>
        <w:tc>
          <w:tcPr>
            <w:tcW w:w="9740" w:type="dxa"/>
            <w:vAlign w:val="bottom"/>
            <w:gridSpan w:val="36"/>
          </w:tcPr>
          <w:p>
            <w:pPr>
              <w:spacing w:after="0" w:line="169" w:lineRule="exact"/>
              <w:rPr>
                <w:rFonts w:ascii="Arial" w:cs="Arial" w:eastAsia="Arial" w:hAnsi="Arial"/>
                <w:sz w:val="17"/>
                <w:szCs w:val="17"/>
                <w:color w:val="0000FF"/>
              </w:rPr>
            </w:pPr>
            <w:hyperlink r:id="rId181">
              <w:r>
                <w:rPr>
                  <w:rFonts w:ascii="Arial" w:cs="Arial" w:eastAsia="Arial" w:hAnsi="Arial"/>
                  <w:sz w:val="17"/>
                  <w:szCs w:val="17"/>
                  <w:color w:val="0000FF"/>
                </w:rPr>
                <w:t>1/A (File No. 333- 257444) filed with the SEC on July 16, 2021)</w:t>
              </w:r>
            </w:hyperlink>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9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780" w:type="dxa"/>
            <w:vAlign w:val="bottom"/>
            <w:gridSpan w:val="38"/>
          </w:tcPr>
          <w:p>
            <w:pPr>
              <w:spacing w:after="0" w:line="169" w:lineRule="exact"/>
              <w:rPr>
                <w:rFonts w:ascii="Arial" w:cs="Arial" w:eastAsia="Arial" w:hAnsi="Arial"/>
                <w:sz w:val="17"/>
                <w:szCs w:val="17"/>
                <w:color w:val="0000FF"/>
              </w:rPr>
            </w:pPr>
            <w:hyperlink r:id="rId182">
              <w:r>
                <w:rPr>
                  <w:rFonts w:ascii="Arial" w:cs="Arial" w:eastAsia="Arial" w:hAnsi="Arial"/>
                  <w:sz w:val="17"/>
                  <w:szCs w:val="17"/>
                  <w:color w:val="0000FF"/>
                </w:rPr>
                <w:t>Employment Agreement by and between Advantagene, Inc. d/b/a Candel Therapeutics and Paul Peter Tak, M.D., Ph.D. dated</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560" w:type="dxa"/>
            <w:vAlign w:val="bottom"/>
            <w:tcBorders>
              <w:top w:val="single" w:sz="8" w:color="0000FF"/>
              <w:bottom w:val="single" w:sz="8" w:color="0000FF"/>
            </w:tcBorders>
            <w:gridSpan w:val="28"/>
          </w:tcPr>
          <w:p>
            <w:pPr>
              <w:spacing w:after="0" w:line="169" w:lineRule="exact"/>
              <w:rPr>
                <w:rFonts w:ascii="Arial" w:cs="Arial" w:eastAsia="Arial" w:hAnsi="Arial"/>
                <w:sz w:val="17"/>
                <w:szCs w:val="17"/>
                <w:color w:val="0000FF"/>
                <w:w w:val="99"/>
              </w:rPr>
            </w:pPr>
            <w:hyperlink r:id="rId182">
              <w:r>
                <w:rPr>
                  <w:rFonts w:ascii="Arial" w:cs="Arial" w:eastAsia="Arial" w:hAnsi="Arial"/>
                  <w:sz w:val="17"/>
                  <w:szCs w:val="17"/>
                  <w:color w:val="0000FF"/>
                  <w:w w:val="99"/>
                </w:rPr>
                <w:t>September 12, 2020 (incorporated by reference to Exhibit 10.5.1 to the Registrant’s Registration Statement on Form S-1/A (File</w:t>
              </w:r>
            </w:hyperlink>
          </w:p>
        </w:tc>
        <w:tc>
          <w:tcPr>
            <w:tcW w:w="140" w:type="dxa"/>
            <w:vAlign w:val="bottom"/>
            <w:tcBorders>
              <w:bottom w:val="single" w:sz="8" w:color="0000FF"/>
            </w:tcBorders>
            <w:gridSpan w:val="7"/>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10.6#</w:t>
            </w:r>
          </w:p>
        </w:tc>
        <w:tc>
          <w:tcPr>
            <w:tcW w:w="260" w:type="dxa"/>
            <w:vAlign w:val="bottom"/>
          </w:tcPr>
          <w:p>
            <w:pPr>
              <w:spacing w:after="0"/>
              <w:rPr>
                <w:sz w:val="14"/>
                <w:szCs w:val="14"/>
                <w:color w:val="auto"/>
              </w:rPr>
            </w:pPr>
          </w:p>
        </w:tc>
        <w:tc>
          <w:tcPr>
            <w:tcW w:w="4080" w:type="dxa"/>
            <w:vAlign w:val="bottom"/>
            <w:tcBorders>
              <w:bottom w:val="single" w:sz="8" w:color="0000FF"/>
            </w:tcBorders>
            <w:gridSpan w:val="4"/>
          </w:tcPr>
          <w:p>
            <w:pPr>
              <w:spacing w:after="0" w:line="169" w:lineRule="exact"/>
              <w:rPr>
                <w:rFonts w:ascii="Arial" w:cs="Arial" w:eastAsia="Arial" w:hAnsi="Arial"/>
                <w:sz w:val="17"/>
                <w:szCs w:val="17"/>
                <w:color w:val="0000FF"/>
                <w:w w:val="99"/>
              </w:rPr>
            </w:pPr>
            <w:hyperlink r:id="rId182">
              <w:r>
                <w:rPr>
                  <w:rFonts w:ascii="Arial" w:cs="Arial" w:eastAsia="Arial" w:hAnsi="Arial"/>
                  <w:sz w:val="17"/>
                  <w:szCs w:val="17"/>
                  <w:color w:val="0000FF"/>
                  <w:w w:val="99"/>
                </w:rPr>
                <w:t>No. 333- 257444) filed with the SEC on July 16, 2021)</w:t>
              </w:r>
            </w:hyperlink>
          </w:p>
        </w:tc>
        <w:tc>
          <w:tcPr>
            <w:tcW w:w="20" w:type="dxa"/>
            <w:vAlign w:val="bottom"/>
            <w:tcBorders>
              <w:bottom w:val="single" w:sz="8" w:color="0000EE"/>
            </w:tcBorders>
          </w:tcPr>
          <w:p>
            <w:pPr>
              <w:spacing w:after="0"/>
              <w:rPr>
                <w:sz w:val="14"/>
                <w:szCs w:val="14"/>
                <w:color w:val="auto"/>
              </w:rPr>
            </w:pPr>
          </w:p>
        </w:tc>
        <w:tc>
          <w:tcPr>
            <w:tcW w:w="5640" w:type="dxa"/>
            <w:vAlign w:val="bottom"/>
            <w:gridSpan w:val="31"/>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100" w:type="dxa"/>
            <w:vAlign w:val="bottom"/>
            <w:gridSpan w:val="5"/>
          </w:tcPr>
          <w:p>
            <w:pPr>
              <w:spacing w:after="0" w:line="169" w:lineRule="exact"/>
              <w:rPr>
                <w:rFonts w:ascii="Arial" w:cs="Arial" w:eastAsia="Arial" w:hAnsi="Arial"/>
                <w:sz w:val="17"/>
                <w:szCs w:val="17"/>
                <w:color w:val="0000FF"/>
              </w:rPr>
            </w:pPr>
            <w:hyperlink r:id="rId183">
              <w:r>
                <w:rPr>
                  <w:rFonts w:ascii="Arial" w:cs="Arial" w:eastAsia="Arial" w:hAnsi="Arial"/>
                  <w:sz w:val="17"/>
                  <w:szCs w:val="17"/>
                  <w:color w:val="0000FF"/>
                </w:rPr>
                <w:t>Form of Indemnification Agreement (incorporated by</w:t>
              </w:r>
            </w:hyperlink>
          </w:p>
        </w:tc>
        <w:tc>
          <w:tcPr>
            <w:tcW w:w="5680" w:type="dxa"/>
            <w:vAlign w:val="bottom"/>
            <w:gridSpan w:val="33"/>
          </w:tcPr>
          <w:p>
            <w:pPr>
              <w:spacing w:after="0" w:line="169" w:lineRule="exact"/>
              <w:rPr>
                <w:rFonts w:ascii="Arial" w:cs="Arial" w:eastAsia="Arial" w:hAnsi="Arial"/>
                <w:sz w:val="17"/>
                <w:szCs w:val="17"/>
                <w:color w:val="0000FF"/>
              </w:rPr>
            </w:pPr>
            <w:hyperlink r:id="rId183">
              <w:r>
                <w:rPr>
                  <w:rFonts w:ascii="Arial" w:cs="Arial" w:eastAsia="Arial" w:hAnsi="Arial"/>
                  <w:sz w:val="17"/>
                  <w:szCs w:val="17"/>
                  <w:color w:val="0000FF"/>
                </w:rPr>
                <w:t>reference to Exhibit 10.6 to the Registrant’s Registration Statement 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10.7</w:t>
            </w:r>
          </w:p>
        </w:tc>
        <w:tc>
          <w:tcPr>
            <w:tcW w:w="260" w:type="dxa"/>
            <w:vAlign w:val="bottom"/>
          </w:tcPr>
          <w:p>
            <w:pPr>
              <w:spacing w:after="0"/>
              <w:rPr>
                <w:sz w:val="14"/>
                <w:szCs w:val="14"/>
                <w:color w:val="auto"/>
              </w:rPr>
            </w:pPr>
          </w:p>
        </w:tc>
        <w:tc>
          <w:tcPr>
            <w:tcW w:w="5380" w:type="dxa"/>
            <w:vAlign w:val="bottom"/>
            <w:tcBorders>
              <w:top w:val="single" w:sz="8" w:color="0000FF"/>
              <w:bottom w:val="single" w:sz="8" w:color="0000FF"/>
            </w:tcBorders>
            <w:gridSpan w:val="11"/>
          </w:tcPr>
          <w:p>
            <w:pPr>
              <w:spacing w:after="0" w:line="169" w:lineRule="exact"/>
              <w:rPr>
                <w:rFonts w:ascii="Arial" w:cs="Arial" w:eastAsia="Arial" w:hAnsi="Arial"/>
                <w:sz w:val="17"/>
                <w:szCs w:val="17"/>
                <w:color w:val="0000FF"/>
              </w:rPr>
            </w:pPr>
            <w:hyperlink r:id="rId183">
              <w:r>
                <w:rPr>
                  <w:rFonts w:ascii="Arial" w:cs="Arial" w:eastAsia="Arial" w:hAnsi="Arial"/>
                  <w:sz w:val="17"/>
                  <w:szCs w:val="17"/>
                  <w:color w:val="0000FF"/>
                </w:rPr>
                <w:t>Form S-1/A (File 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3940" w:type="dxa"/>
            <w:vAlign w:val="bottom"/>
            <w:tcBorders>
              <w:top w:val="single" w:sz="8" w:color="0000FF"/>
            </w:tcBorders>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300" w:type="dxa"/>
            <w:vAlign w:val="bottom"/>
            <w:gridSpan w:val="8"/>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gridSpan w:val="12"/>
          </w:tcPr>
          <w:p>
            <w:pPr>
              <w:spacing w:after="0" w:line="169" w:lineRule="exact"/>
              <w:rPr>
                <w:rFonts w:ascii="Arial" w:cs="Arial" w:eastAsia="Arial" w:hAnsi="Arial"/>
                <w:sz w:val="17"/>
                <w:szCs w:val="17"/>
                <w:color w:val="0000FF"/>
              </w:rPr>
            </w:pPr>
            <w:hyperlink r:id="rId184">
              <w:r>
                <w:rPr>
                  <w:rFonts w:ascii="Arial" w:cs="Arial" w:eastAsia="Arial" w:hAnsi="Arial"/>
                  <w:sz w:val="17"/>
                  <w:szCs w:val="17"/>
                  <w:color w:val="0000FF"/>
                </w:rPr>
                <w:t>Exclusive License Agreement by and between Advantagene, Inc. and</w:t>
              </w:r>
            </w:hyperlink>
          </w:p>
        </w:tc>
        <w:tc>
          <w:tcPr>
            <w:tcW w:w="4380" w:type="dxa"/>
            <w:vAlign w:val="bottom"/>
            <w:gridSpan w:val="26"/>
          </w:tcPr>
          <w:p>
            <w:pPr>
              <w:jc w:val="right"/>
              <w:ind w:right="460"/>
              <w:spacing w:after="0" w:line="169" w:lineRule="exact"/>
              <w:rPr>
                <w:rFonts w:ascii="Arial" w:cs="Arial" w:eastAsia="Arial" w:hAnsi="Arial"/>
                <w:sz w:val="17"/>
                <w:szCs w:val="17"/>
                <w:color w:val="0000FF"/>
                <w:w w:val="97"/>
              </w:rPr>
            </w:pPr>
            <w:hyperlink r:id="rId184">
              <w:r>
                <w:rPr>
                  <w:rFonts w:ascii="Arial" w:cs="Arial" w:eastAsia="Arial" w:hAnsi="Arial"/>
                  <w:sz w:val="17"/>
                  <w:szCs w:val="17"/>
                  <w:color w:val="0000FF"/>
                  <w:w w:val="97"/>
                </w:rPr>
                <w:t>Ventagen, LLC dated March 1, 2014 (incorporated by</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0" w:type="dxa"/>
            <w:vAlign w:val="bottom"/>
            <w:tcBorders>
              <w:top w:val="single" w:sz="8" w:color="0000FF"/>
            </w:tcBorders>
            <w:gridSpan w:val="27"/>
          </w:tcPr>
          <w:p>
            <w:pPr>
              <w:spacing w:after="0" w:line="169" w:lineRule="exact"/>
              <w:rPr>
                <w:rFonts w:ascii="Arial" w:cs="Arial" w:eastAsia="Arial" w:hAnsi="Arial"/>
                <w:sz w:val="17"/>
                <w:szCs w:val="17"/>
                <w:color w:val="0000FF"/>
              </w:rPr>
            </w:pPr>
            <w:hyperlink r:id="rId184">
              <w:r>
                <w:rPr>
                  <w:rFonts w:ascii="Arial" w:cs="Arial" w:eastAsia="Arial" w:hAnsi="Arial"/>
                  <w:sz w:val="17"/>
                  <w:szCs w:val="17"/>
                  <w:color w:val="0000FF"/>
                </w:rPr>
                <w:t>reference to Exhibit 10.7 to the Registrant’s Registration Statement on Form S-1/A (File No. 333- 257444) filed with the SEC</w:t>
              </w:r>
            </w:hyperlink>
          </w:p>
        </w:tc>
        <w:tc>
          <w:tcPr>
            <w:tcW w:w="380" w:type="dxa"/>
            <w:vAlign w:val="bottom"/>
            <w:gridSpan w:val="11"/>
          </w:tcPr>
          <w:p>
            <w:pPr>
              <w:spacing w:after="0" w:line="169" w:lineRule="exact"/>
              <w:rPr>
                <w:rFonts w:ascii="Arial" w:cs="Arial" w:eastAsia="Arial" w:hAnsi="Arial"/>
                <w:sz w:val="17"/>
                <w:szCs w:val="17"/>
                <w:color w:val="0000FF"/>
              </w:rPr>
            </w:pPr>
            <w:hyperlink r:id="rId184">
              <w:r>
                <w:rPr>
                  <w:rFonts w:ascii="Arial" w:cs="Arial" w:eastAsia="Arial" w:hAnsi="Arial"/>
                  <w:sz w:val="17"/>
                  <w:szCs w:val="17"/>
                  <w:color w:val="0000FF"/>
                </w:rPr>
                <w:t>on</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top w:val="single" w:sz="8" w:color="0000FF"/>
              <w:bottom w:val="single" w:sz="8" w:color="0000FF"/>
            </w:tcBorders>
          </w:tcPr>
          <w:p>
            <w:pPr>
              <w:spacing w:after="0" w:line="169" w:lineRule="exact"/>
              <w:rPr>
                <w:rFonts w:ascii="Arial" w:cs="Arial" w:eastAsia="Arial" w:hAnsi="Arial"/>
                <w:sz w:val="17"/>
                <w:szCs w:val="17"/>
                <w:color w:val="0000FF"/>
                <w:w w:val="97"/>
              </w:rPr>
            </w:pPr>
            <w:hyperlink r:id="rId184">
              <w:r>
                <w:rPr>
                  <w:rFonts w:ascii="Arial" w:cs="Arial" w:eastAsia="Arial" w:hAnsi="Arial"/>
                  <w:sz w:val="17"/>
                  <w:szCs w:val="17"/>
                  <w:color w:val="0000FF"/>
                  <w:w w:val="97"/>
                </w:rPr>
                <w:t>July 16, 2021)</w:t>
              </w:r>
            </w:hyperlink>
          </w:p>
        </w:tc>
        <w:tc>
          <w:tcPr>
            <w:tcW w:w="8640" w:type="dxa"/>
            <w:vAlign w:val="bottom"/>
            <w:tcBorders>
              <w:top w:val="single" w:sz="8" w:color="0000FF"/>
            </w:tcBorders>
            <w:gridSpan w:val="34"/>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1260" w:type="dxa"/>
            <w:vAlign w:val="bottom"/>
          </w:tcPr>
          <w:p>
            <w:pPr>
              <w:spacing w:after="0"/>
              <w:rPr>
                <w:sz w:val="24"/>
                <w:szCs w:val="24"/>
                <w:color w:val="auto"/>
              </w:rPr>
            </w:pPr>
          </w:p>
        </w:tc>
        <w:tc>
          <w:tcPr>
            <w:tcW w:w="4520" w:type="dxa"/>
            <w:vAlign w:val="bottom"/>
            <w:gridSpan w:val="7"/>
          </w:tcPr>
          <w:p>
            <w:pPr>
              <w:jc w:val="right"/>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3" w:name="page124"/>
    <w:bookmarkEnd w:id="123"/>
    <w:tbl>
      <w:tblPr>
        <w:tblLayout w:type="fixed"/>
        <w:tblInd w:w="2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Arial" w:cs="Arial" w:eastAsia="Arial" w:hAnsi="Arial"/>
                <w:sz w:val="17"/>
                <w:szCs w:val="17"/>
                <w:color w:val="auto"/>
              </w:rPr>
              <w:t>10.8</w:t>
            </w:r>
          </w:p>
        </w:tc>
        <w:tc>
          <w:tcPr>
            <w:tcW w:w="9760" w:type="dxa"/>
            <w:vAlign w:val="bottom"/>
            <w:gridSpan w:val="42"/>
          </w:tcPr>
          <w:p>
            <w:pPr>
              <w:spacing w:after="0"/>
              <w:rPr>
                <w:rFonts w:ascii="Arial" w:cs="Arial" w:eastAsia="Arial" w:hAnsi="Arial"/>
                <w:sz w:val="17"/>
                <w:szCs w:val="17"/>
                <w:color w:val="0000FF"/>
              </w:rPr>
            </w:pPr>
            <w:hyperlink r:id="rId187">
              <w:r>
                <w:rPr>
                  <w:rFonts w:ascii="Arial" w:cs="Arial" w:eastAsia="Arial" w:hAnsi="Arial"/>
                  <w:sz w:val="17"/>
                  <w:szCs w:val="17"/>
                  <w:color w:val="0000FF"/>
                </w:rPr>
                <w:t>Exclusive License Agreement by and between Advantagene, Inc., d/b/a Candel Therapeutics and Periphagen, Inc. dated</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9740" w:type="dxa"/>
            <w:vAlign w:val="bottom"/>
            <w:gridSpan w:val="41"/>
          </w:tcPr>
          <w:p>
            <w:pPr>
              <w:spacing w:after="0" w:line="169" w:lineRule="exact"/>
              <w:rPr>
                <w:rFonts w:ascii="Arial" w:cs="Arial" w:eastAsia="Arial" w:hAnsi="Arial"/>
                <w:sz w:val="17"/>
                <w:szCs w:val="17"/>
                <w:color w:val="0000FF"/>
              </w:rPr>
            </w:pPr>
            <w:hyperlink r:id="rId187">
              <w:r>
                <w:rPr>
                  <w:rFonts w:ascii="Arial" w:cs="Arial" w:eastAsia="Arial" w:hAnsi="Arial"/>
                  <w:sz w:val="17"/>
                  <w:szCs w:val="17"/>
                  <w:color w:val="0000FF"/>
                </w:rPr>
                <w:t>December 9, 2019 (incorporated by reference to Exhibit 10.8 to the Registrant’s Registration Statement on Form S-1/A (File No.</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10.9</w:t>
            </w:r>
          </w:p>
        </w:tc>
        <w:tc>
          <w:tcPr>
            <w:tcW w:w="20" w:type="dxa"/>
            <w:vAlign w:val="bottom"/>
            <w:tcBorders>
              <w:bottom w:val="single" w:sz="8" w:color="0000EE"/>
            </w:tcBorders>
          </w:tcPr>
          <w:p>
            <w:pPr>
              <w:spacing w:after="0"/>
              <w:rPr>
                <w:sz w:val="14"/>
                <w:szCs w:val="14"/>
                <w:color w:val="auto"/>
              </w:rPr>
            </w:pPr>
          </w:p>
        </w:tc>
        <w:tc>
          <w:tcPr>
            <w:tcW w:w="3760" w:type="dxa"/>
            <w:vAlign w:val="bottom"/>
            <w:tcBorders>
              <w:top w:val="single" w:sz="8" w:color="0000FF"/>
              <w:bottom w:val="single" w:sz="8" w:color="0000FF"/>
            </w:tcBorders>
            <w:gridSpan w:val="8"/>
          </w:tcPr>
          <w:p>
            <w:pPr>
              <w:spacing w:after="0" w:line="169" w:lineRule="exact"/>
              <w:rPr>
                <w:rFonts w:ascii="Arial" w:cs="Arial" w:eastAsia="Arial" w:hAnsi="Arial"/>
                <w:sz w:val="17"/>
                <w:szCs w:val="17"/>
                <w:color w:val="0000FF"/>
                <w:w w:val="99"/>
              </w:rPr>
            </w:pPr>
            <w:hyperlink r:id="rId187">
              <w:r>
                <w:rPr>
                  <w:rFonts w:ascii="Arial" w:cs="Arial" w:eastAsia="Arial" w:hAnsi="Arial"/>
                  <w:sz w:val="17"/>
                  <w:szCs w:val="17"/>
                  <w:color w:val="0000FF"/>
                  <w:w w:val="99"/>
                </w:rPr>
                <w:t>333- 257444) filed with the SEC on July 16, 2021)</w:t>
              </w:r>
            </w:hyperlink>
          </w:p>
        </w:tc>
        <w:tc>
          <w:tcPr>
            <w:tcW w:w="5940" w:type="dxa"/>
            <w:vAlign w:val="bottom"/>
            <w:tcBorders>
              <w:top w:val="single" w:sz="8" w:color="0000FF"/>
            </w:tcBorders>
            <w:gridSpan w:val="3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42"/>
          </w:tcPr>
          <w:p>
            <w:pPr>
              <w:spacing w:after="0" w:line="169" w:lineRule="exact"/>
              <w:rPr>
                <w:rFonts w:ascii="Arial" w:cs="Arial" w:eastAsia="Arial" w:hAnsi="Arial"/>
                <w:sz w:val="17"/>
                <w:szCs w:val="17"/>
                <w:color w:val="0000FF"/>
              </w:rPr>
            </w:pPr>
            <w:hyperlink r:id="rId188">
              <w:r>
                <w:rPr>
                  <w:rFonts w:ascii="Arial" w:cs="Arial" w:eastAsia="Arial" w:hAnsi="Arial"/>
                  <w:sz w:val="17"/>
                  <w:szCs w:val="17"/>
                  <w:color w:val="0000FF"/>
                </w:rPr>
                <w:t>Exclusive Patent License Agreement by and between Advantagene, Inc. and Mass General Brigham (formerly known as The</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top w:val="single" w:sz="8" w:color="0000FF"/>
              <w:bottom w:val="single" w:sz="8" w:color="0000FF"/>
            </w:tcBorders>
            <w:gridSpan w:val="29"/>
          </w:tcPr>
          <w:p>
            <w:pPr>
              <w:spacing w:after="0" w:line="169" w:lineRule="exact"/>
              <w:rPr>
                <w:rFonts w:ascii="Arial" w:cs="Arial" w:eastAsia="Arial" w:hAnsi="Arial"/>
                <w:sz w:val="17"/>
                <w:szCs w:val="17"/>
                <w:color w:val="0000FF"/>
                <w:w w:val="99"/>
              </w:rPr>
            </w:pPr>
            <w:hyperlink r:id="rId188">
              <w:r>
                <w:rPr>
                  <w:rFonts w:ascii="Arial" w:cs="Arial" w:eastAsia="Arial" w:hAnsi="Arial"/>
                  <w:sz w:val="17"/>
                  <w:szCs w:val="17"/>
                  <w:color w:val="0000FF"/>
                  <w:w w:val="99"/>
                </w:rPr>
                <w:t>Brigham and Women’s Hospital, Inc.) dated September 15, 2020 (incorporated by reference to Exhibit 10.9 to the Registrant’s</w:t>
              </w:r>
            </w:hyperlink>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10.10</w:t>
            </w:r>
          </w:p>
        </w:tc>
        <w:tc>
          <w:tcPr>
            <w:tcW w:w="20" w:type="dxa"/>
            <w:vAlign w:val="bottom"/>
            <w:tcBorders>
              <w:bottom w:val="single" w:sz="8" w:color="0000EE"/>
            </w:tcBorders>
          </w:tcPr>
          <w:p>
            <w:pPr>
              <w:spacing w:after="0"/>
              <w:rPr>
                <w:sz w:val="14"/>
                <w:szCs w:val="14"/>
                <w:color w:val="auto"/>
              </w:rPr>
            </w:pPr>
          </w:p>
        </w:tc>
        <w:tc>
          <w:tcPr>
            <w:tcW w:w="7400" w:type="dxa"/>
            <w:vAlign w:val="bottom"/>
            <w:tcBorders>
              <w:bottom w:val="single" w:sz="8" w:color="0000FF"/>
            </w:tcBorders>
            <w:gridSpan w:val="14"/>
          </w:tcPr>
          <w:p>
            <w:pPr>
              <w:spacing w:after="0" w:line="169" w:lineRule="exact"/>
              <w:rPr>
                <w:rFonts w:ascii="Arial" w:cs="Arial" w:eastAsia="Arial" w:hAnsi="Arial"/>
                <w:sz w:val="17"/>
                <w:szCs w:val="17"/>
                <w:color w:val="0000FF"/>
              </w:rPr>
            </w:pPr>
            <w:hyperlink r:id="rId188">
              <w:r>
                <w:rPr>
                  <w:rFonts w:ascii="Arial" w:cs="Arial" w:eastAsia="Arial" w:hAnsi="Arial"/>
                  <w:sz w:val="17"/>
                  <w:szCs w:val="17"/>
                  <w:color w:val="0000FF"/>
                </w:rPr>
                <w:t>Registration Statement on Form S-1/A (File No. 333- 257444) filed with the SEC on July 16, 2021)</w:t>
              </w:r>
            </w:hyperlink>
          </w:p>
        </w:tc>
        <w:tc>
          <w:tcPr>
            <w:tcW w:w="20" w:type="dxa"/>
            <w:vAlign w:val="bottom"/>
            <w:tcBorders>
              <w:bottom w:val="single" w:sz="8" w:color="0000EE"/>
            </w:tcBorders>
          </w:tcPr>
          <w:p>
            <w:pPr>
              <w:spacing w:after="0"/>
              <w:rPr>
                <w:sz w:val="14"/>
                <w:szCs w:val="14"/>
                <w:color w:val="auto"/>
              </w:rPr>
            </w:pPr>
          </w:p>
        </w:tc>
        <w:tc>
          <w:tcPr>
            <w:tcW w:w="212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7440" w:type="dxa"/>
            <w:vAlign w:val="bottom"/>
            <w:gridSpan w:val="16"/>
          </w:tcPr>
          <w:p>
            <w:pPr>
              <w:spacing w:after="0" w:line="169" w:lineRule="exact"/>
              <w:rPr>
                <w:rFonts w:ascii="Arial" w:cs="Arial" w:eastAsia="Arial" w:hAnsi="Arial"/>
                <w:sz w:val="17"/>
                <w:szCs w:val="17"/>
                <w:color w:val="0000FF"/>
                <w:w w:val="99"/>
              </w:rPr>
            </w:pPr>
            <w:hyperlink r:id="rId189">
              <w:r>
                <w:rPr>
                  <w:rFonts w:ascii="Arial" w:cs="Arial" w:eastAsia="Arial" w:hAnsi="Arial"/>
                  <w:sz w:val="17"/>
                  <w:szCs w:val="17"/>
                  <w:color w:val="0000FF"/>
                  <w:w w:val="99"/>
                </w:rPr>
                <w:t>Lease of Premises at 117 Kendrick Street, Needham, Massachusetts by and between 117 Kendrick</w:t>
              </w:r>
            </w:hyperlink>
          </w:p>
        </w:tc>
        <w:tc>
          <w:tcPr>
            <w:tcW w:w="2320" w:type="dxa"/>
            <w:vAlign w:val="bottom"/>
            <w:gridSpan w:val="26"/>
          </w:tcPr>
          <w:p>
            <w:pPr>
              <w:ind w:left="140"/>
              <w:spacing w:after="0" w:line="169" w:lineRule="exact"/>
              <w:rPr>
                <w:rFonts w:ascii="Arial" w:cs="Arial" w:eastAsia="Arial" w:hAnsi="Arial"/>
                <w:sz w:val="17"/>
                <w:szCs w:val="17"/>
                <w:color w:val="0000FF"/>
              </w:rPr>
            </w:pPr>
            <w:hyperlink r:id="rId189">
              <w:r>
                <w:rPr>
                  <w:rFonts w:ascii="Arial" w:cs="Arial" w:eastAsia="Arial" w:hAnsi="Arial"/>
                  <w:sz w:val="17"/>
                  <w:szCs w:val="17"/>
                  <w:color w:val="0000FF"/>
                </w:rPr>
                <w:t>DE, LLC and the Registrant</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600" w:type="dxa"/>
            <w:vAlign w:val="bottom"/>
            <w:tcBorders>
              <w:top w:val="single" w:sz="8" w:color="0000FF"/>
              <w:bottom w:val="single" w:sz="8" w:color="0000FF"/>
            </w:tcBorders>
            <w:gridSpan w:val="34"/>
          </w:tcPr>
          <w:p>
            <w:pPr>
              <w:spacing w:after="0" w:line="169" w:lineRule="exact"/>
              <w:rPr>
                <w:rFonts w:ascii="Arial" w:cs="Arial" w:eastAsia="Arial" w:hAnsi="Arial"/>
                <w:sz w:val="17"/>
                <w:szCs w:val="17"/>
                <w:color w:val="0000FF"/>
              </w:rPr>
            </w:pPr>
            <w:hyperlink r:id="rId189">
              <w:r>
                <w:rPr>
                  <w:rFonts w:ascii="Arial" w:cs="Arial" w:eastAsia="Arial" w:hAnsi="Arial"/>
                  <w:sz w:val="17"/>
                  <w:szCs w:val="17"/>
                  <w:color w:val="0000FF"/>
                </w:rPr>
                <w:t>dated as of February 4, 2019 (incorporated by reference to Exhibit 10.10 to the Registrant’s Registration Statement on Form S-</w:t>
              </w:r>
            </w:hyperlink>
          </w:p>
        </w:tc>
        <w:tc>
          <w:tcPr>
            <w:tcW w:w="1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10.11</w:t>
            </w:r>
          </w:p>
        </w:tc>
        <w:tc>
          <w:tcPr>
            <w:tcW w:w="9620" w:type="dxa"/>
            <w:vAlign w:val="bottom"/>
            <w:gridSpan w:val="35"/>
          </w:tcPr>
          <w:p>
            <w:pPr>
              <w:spacing w:after="0" w:line="169" w:lineRule="exact"/>
              <w:rPr>
                <w:rFonts w:ascii="Arial" w:cs="Arial" w:eastAsia="Arial" w:hAnsi="Arial"/>
                <w:sz w:val="17"/>
                <w:szCs w:val="17"/>
                <w:color w:val="0000FF"/>
              </w:rPr>
            </w:pPr>
            <w:hyperlink r:id="rId189">
              <w:r>
                <w:rPr>
                  <w:rFonts w:ascii="Arial" w:cs="Arial" w:eastAsia="Arial" w:hAnsi="Arial"/>
                  <w:sz w:val="17"/>
                  <w:szCs w:val="17"/>
                  <w:color w:val="0000FF"/>
                </w:rPr>
                <w:t>1/A (File No. 333- 257444) filed with the SEC on July 16,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42"/>
          </w:tcPr>
          <w:p>
            <w:pPr>
              <w:spacing w:after="0" w:line="169" w:lineRule="exact"/>
              <w:rPr>
                <w:rFonts w:ascii="Arial" w:cs="Arial" w:eastAsia="Arial" w:hAnsi="Arial"/>
                <w:sz w:val="17"/>
                <w:szCs w:val="17"/>
                <w:color w:val="0000FF"/>
              </w:rPr>
            </w:pPr>
            <w:hyperlink r:id="rId190">
              <w:r>
                <w:rPr>
                  <w:rFonts w:ascii="Arial" w:cs="Arial" w:eastAsia="Arial" w:hAnsi="Arial"/>
                  <w:sz w:val="17"/>
                  <w:szCs w:val="17"/>
                  <w:color w:val="0000FF"/>
                </w:rPr>
                <w:t>Loan and Security Agreement by and between the Registrant and Silicon Valley Bank, dated February 24, 2022 (incorporated by</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560" w:type="dxa"/>
            <w:vAlign w:val="bottom"/>
            <w:tcBorders>
              <w:top w:val="single" w:sz="8" w:color="0000FF"/>
              <w:bottom w:val="single" w:sz="8" w:color="0000EE"/>
            </w:tcBorders>
            <w:gridSpan w:val="19"/>
          </w:tcPr>
          <w:p>
            <w:pPr>
              <w:spacing w:after="0" w:line="169" w:lineRule="exact"/>
              <w:rPr>
                <w:rFonts w:ascii="Arial" w:cs="Arial" w:eastAsia="Arial" w:hAnsi="Arial"/>
                <w:sz w:val="17"/>
                <w:szCs w:val="17"/>
                <w:color w:val="0000FF"/>
              </w:rPr>
            </w:pPr>
            <w:hyperlink r:id="rId190">
              <w:r>
                <w:rPr>
                  <w:rFonts w:ascii="Arial" w:cs="Arial" w:eastAsia="Arial" w:hAnsi="Arial"/>
                  <w:sz w:val="17"/>
                  <w:szCs w:val="17"/>
                  <w:color w:val="0000FF"/>
                </w:rPr>
                <w:t>reference to Exhibit 10.11 to the Registrant's Annual Report on Form 10-K filed with the SEC on March 29, 2022)</w:t>
              </w:r>
            </w:hyperlink>
          </w:p>
        </w:tc>
        <w:tc>
          <w:tcPr>
            <w:tcW w:w="1180" w:type="dxa"/>
            <w:vAlign w:val="bottom"/>
            <w:tcBorders>
              <w:top w:val="single" w:sz="8" w:color="0000FF"/>
            </w:tcBorders>
            <w:gridSpan w:val="2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7"/>
                <w:szCs w:val="17"/>
                <w:color w:val="auto"/>
              </w:rPr>
              <w:t>10.12#</w:t>
            </w:r>
          </w:p>
        </w:tc>
        <w:tc>
          <w:tcPr>
            <w:tcW w:w="8560" w:type="dxa"/>
            <w:vAlign w:val="bottom"/>
            <w:gridSpan w:val="19"/>
          </w:tcPr>
          <w:p>
            <w:pPr>
              <w:spacing w:after="0" w:line="169" w:lineRule="exact"/>
              <w:rPr>
                <w:rFonts w:ascii="Arial" w:cs="Arial" w:eastAsia="Arial" w:hAnsi="Arial"/>
                <w:sz w:val="17"/>
                <w:szCs w:val="17"/>
                <w:color w:val="0000FF"/>
              </w:rPr>
            </w:pPr>
            <w:hyperlink r:id="rId191">
              <w:r>
                <w:rPr>
                  <w:rFonts w:ascii="Arial" w:cs="Arial" w:eastAsia="Arial" w:hAnsi="Arial"/>
                  <w:sz w:val="17"/>
                  <w:szCs w:val="17"/>
                  <w:color w:val="0000FF"/>
                </w:rPr>
                <w:t>Employment Agreement by and between Candel Therapeutics and Francesca Barone dated February 3, 2022</w:t>
              </w:r>
            </w:hyperlink>
          </w:p>
        </w:tc>
        <w:tc>
          <w:tcPr>
            <w:tcW w:w="20" w:type="dxa"/>
            <w:vAlign w:val="bottom"/>
          </w:tcPr>
          <w:p>
            <w:pPr>
              <w:spacing w:after="0"/>
              <w:rPr>
                <w:sz w:val="14"/>
                <w:szCs w:val="14"/>
                <w:color w:val="auto"/>
              </w:rPr>
            </w:pPr>
          </w:p>
        </w:tc>
        <w:tc>
          <w:tcPr>
            <w:tcW w:w="1180" w:type="dxa"/>
            <w:vAlign w:val="bottom"/>
            <w:gridSpan w:val="22"/>
          </w:tcPr>
          <w:p>
            <w:pPr>
              <w:spacing w:after="0" w:line="169" w:lineRule="exact"/>
              <w:rPr>
                <w:rFonts w:ascii="Arial" w:cs="Arial" w:eastAsia="Arial" w:hAnsi="Arial"/>
                <w:sz w:val="17"/>
                <w:szCs w:val="17"/>
                <w:color w:val="0000FF"/>
                <w:w w:val="94"/>
              </w:rPr>
            </w:pPr>
            <w:hyperlink r:id="rId191">
              <w:r>
                <w:rPr>
                  <w:rFonts w:ascii="Arial" w:cs="Arial" w:eastAsia="Arial" w:hAnsi="Arial"/>
                  <w:sz w:val="17"/>
                  <w:szCs w:val="17"/>
                  <w:color w:val="0000FF"/>
                  <w:w w:val="94"/>
                </w:rPr>
                <w:t>(incorporated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10.13#</w:t>
            </w:r>
          </w:p>
        </w:tc>
        <w:tc>
          <w:tcPr>
            <w:tcW w:w="20" w:type="dxa"/>
            <w:vAlign w:val="bottom"/>
            <w:tcBorders>
              <w:bottom w:val="single" w:sz="8" w:color="0000EE"/>
            </w:tcBorders>
          </w:tcPr>
          <w:p>
            <w:pPr>
              <w:spacing w:after="0"/>
              <w:rPr>
                <w:sz w:val="14"/>
                <w:szCs w:val="14"/>
                <w:color w:val="auto"/>
              </w:rPr>
            </w:pPr>
          </w:p>
        </w:tc>
        <w:tc>
          <w:tcPr>
            <w:tcW w:w="8520" w:type="dxa"/>
            <w:vAlign w:val="bottom"/>
            <w:tcBorders>
              <w:top w:val="single" w:sz="8" w:color="0000FF"/>
              <w:bottom w:val="single" w:sz="8" w:color="0000FF"/>
            </w:tcBorders>
            <w:gridSpan w:val="17"/>
          </w:tcPr>
          <w:p>
            <w:pPr>
              <w:spacing w:after="0" w:line="169" w:lineRule="exact"/>
              <w:rPr>
                <w:rFonts w:ascii="Arial" w:cs="Arial" w:eastAsia="Arial" w:hAnsi="Arial"/>
                <w:sz w:val="17"/>
                <w:szCs w:val="17"/>
                <w:color w:val="0000FF"/>
              </w:rPr>
            </w:pPr>
            <w:hyperlink r:id="rId191">
              <w:r>
                <w:rPr>
                  <w:rFonts w:ascii="Arial" w:cs="Arial" w:eastAsia="Arial" w:hAnsi="Arial"/>
                  <w:sz w:val="17"/>
                  <w:szCs w:val="17"/>
                  <w:color w:val="0000FF"/>
                </w:rPr>
                <w:t>reference to Exhibit 10.12 to the Registrant's Annual Report on Form 10-K filed with the SEC on March 29,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1140" w:type="dxa"/>
            <w:vAlign w:val="bottom"/>
            <w:tcBorders>
              <w:top w:val="single" w:sz="8" w:color="0000FF"/>
            </w:tcBorders>
            <w:gridSpan w:val="20"/>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8560" w:type="dxa"/>
            <w:vAlign w:val="bottom"/>
            <w:gridSpan w:val="19"/>
          </w:tcPr>
          <w:p>
            <w:pPr>
              <w:spacing w:after="0" w:line="169" w:lineRule="exact"/>
              <w:rPr>
                <w:rFonts w:ascii="Arial" w:cs="Arial" w:eastAsia="Arial" w:hAnsi="Arial"/>
                <w:sz w:val="17"/>
                <w:szCs w:val="17"/>
                <w:color w:val="0000FF"/>
              </w:rPr>
            </w:pPr>
            <w:hyperlink r:id="rId192">
              <w:r>
                <w:rPr>
                  <w:rFonts w:ascii="Arial" w:cs="Arial" w:eastAsia="Arial" w:hAnsi="Arial"/>
                  <w:sz w:val="17"/>
                  <w:szCs w:val="17"/>
                  <w:color w:val="0000FF"/>
                </w:rPr>
                <w:t>Consulting Agreement by and between Candel Therapeutics, Inc. and Susan Stewart dated October 19, 2021</w:t>
              </w:r>
            </w:hyperlink>
          </w:p>
        </w:tc>
        <w:tc>
          <w:tcPr>
            <w:tcW w:w="1200" w:type="dxa"/>
            <w:vAlign w:val="bottom"/>
            <w:gridSpan w:val="23"/>
          </w:tcPr>
          <w:p>
            <w:pPr>
              <w:spacing w:after="0" w:line="169" w:lineRule="exact"/>
              <w:rPr>
                <w:rFonts w:ascii="Arial" w:cs="Arial" w:eastAsia="Arial" w:hAnsi="Arial"/>
                <w:sz w:val="17"/>
                <w:szCs w:val="17"/>
                <w:color w:val="0000FF"/>
                <w:w w:val="96"/>
              </w:rPr>
            </w:pPr>
            <w:hyperlink r:id="rId192">
              <w:r>
                <w:rPr>
                  <w:rFonts w:ascii="Arial" w:cs="Arial" w:eastAsia="Arial" w:hAnsi="Arial"/>
                  <w:sz w:val="17"/>
                  <w:szCs w:val="17"/>
                  <w:color w:val="0000FF"/>
                  <w:w w:val="96"/>
                </w:rPr>
                <w:t>(incorporated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10.14#</w:t>
            </w:r>
          </w:p>
        </w:tc>
        <w:tc>
          <w:tcPr>
            <w:tcW w:w="20" w:type="dxa"/>
            <w:vAlign w:val="bottom"/>
            <w:tcBorders>
              <w:bottom w:val="single" w:sz="8" w:color="0000EE"/>
            </w:tcBorders>
          </w:tcPr>
          <w:p>
            <w:pPr>
              <w:spacing w:after="0"/>
              <w:rPr>
                <w:sz w:val="14"/>
                <w:szCs w:val="14"/>
                <w:color w:val="auto"/>
              </w:rPr>
            </w:pPr>
          </w:p>
        </w:tc>
        <w:tc>
          <w:tcPr>
            <w:tcW w:w="8520" w:type="dxa"/>
            <w:vAlign w:val="bottom"/>
            <w:tcBorders>
              <w:top w:val="single" w:sz="8" w:color="0000FF"/>
              <w:bottom w:val="single" w:sz="8" w:color="0000FF"/>
            </w:tcBorders>
            <w:gridSpan w:val="17"/>
          </w:tcPr>
          <w:p>
            <w:pPr>
              <w:spacing w:after="0" w:line="169" w:lineRule="exact"/>
              <w:rPr>
                <w:rFonts w:ascii="Arial" w:cs="Arial" w:eastAsia="Arial" w:hAnsi="Arial"/>
                <w:sz w:val="17"/>
                <w:szCs w:val="17"/>
                <w:color w:val="0000FF"/>
              </w:rPr>
            </w:pPr>
            <w:hyperlink r:id="rId192">
              <w:r>
                <w:rPr>
                  <w:rFonts w:ascii="Arial" w:cs="Arial" w:eastAsia="Arial" w:hAnsi="Arial"/>
                  <w:sz w:val="17"/>
                  <w:szCs w:val="17"/>
                  <w:color w:val="0000FF"/>
                </w:rPr>
                <w:t>reference to Exhibit 10.13 to the Registrant's Annual Report on Form 10-K filed with the SEC on March 29,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110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42"/>
          </w:tcPr>
          <w:p>
            <w:pPr>
              <w:spacing w:after="0" w:line="169" w:lineRule="exact"/>
              <w:rPr>
                <w:rFonts w:ascii="Arial" w:cs="Arial" w:eastAsia="Arial" w:hAnsi="Arial"/>
                <w:sz w:val="17"/>
                <w:szCs w:val="17"/>
                <w:color w:val="0000FF"/>
              </w:rPr>
            </w:pPr>
            <w:hyperlink r:id="rId193">
              <w:r>
                <w:rPr>
                  <w:rFonts w:ascii="Arial" w:cs="Arial" w:eastAsia="Arial" w:hAnsi="Arial"/>
                  <w:sz w:val="17"/>
                  <w:szCs w:val="17"/>
                  <w:color w:val="0000FF"/>
                </w:rPr>
                <w:t>Employment Agreement by and between Candel Therapeutics and Seshu Tyagarajan dated April 14, 2022 (incorporated by</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500" w:type="dxa"/>
            <w:vAlign w:val="bottom"/>
            <w:tcBorders>
              <w:top w:val="single" w:sz="8" w:color="0000FF"/>
              <w:bottom w:val="single" w:sz="8" w:color="0000EE"/>
            </w:tcBorders>
            <w:gridSpan w:val="16"/>
          </w:tcPr>
          <w:p>
            <w:pPr>
              <w:spacing w:after="0" w:line="169" w:lineRule="exact"/>
              <w:rPr>
                <w:rFonts w:ascii="Arial" w:cs="Arial" w:eastAsia="Arial" w:hAnsi="Arial"/>
                <w:sz w:val="17"/>
                <w:szCs w:val="17"/>
                <w:color w:val="0000FF"/>
              </w:rPr>
            </w:pPr>
            <w:hyperlink r:id="rId193">
              <w:r>
                <w:rPr>
                  <w:rFonts w:ascii="Arial" w:cs="Arial" w:eastAsia="Arial" w:hAnsi="Arial"/>
                  <w:sz w:val="17"/>
                  <w:szCs w:val="17"/>
                  <w:color w:val="0000FF"/>
                </w:rPr>
                <w:t>reference to Exhibit 10.8 to the Registrant’s Quarterly Report on Form 10-Q filed with the SEC on May 12, 2022)</w:t>
              </w:r>
            </w:hyperlink>
          </w:p>
        </w:tc>
        <w:tc>
          <w:tcPr>
            <w:tcW w:w="8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7"/>
                <w:szCs w:val="17"/>
                <w:color w:val="auto"/>
              </w:rPr>
              <w:t>10.15#</w:t>
            </w:r>
          </w:p>
        </w:tc>
        <w:tc>
          <w:tcPr>
            <w:tcW w:w="8520" w:type="dxa"/>
            <w:vAlign w:val="bottom"/>
            <w:gridSpan w:val="17"/>
          </w:tcPr>
          <w:p>
            <w:pPr>
              <w:spacing w:after="0" w:line="169" w:lineRule="exact"/>
              <w:rPr>
                <w:rFonts w:ascii="Arial" w:cs="Arial" w:eastAsia="Arial" w:hAnsi="Arial"/>
                <w:sz w:val="17"/>
                <w:szCs w:val="17"/>
                <w:color w:val="0000FF"/>
              </w:rPr>
            </w:pPr>
            <w:hyperlink r:id="rId194">
              <w:r>
                <w:rPr>
                  <w:rFonts w:ascii="Arial" w:cs="Arial" w:eastAsia="Arial" w:hAnsi="Arial"/>
                  <w:sz w:val="17"/>
                  <w:szCs w:val="17"/>
                  <w:color w:val="0000FF"/>
                </w:rPr>
                <w:t>Employment Agreement by and between Candel Therapeutics and Jason A. Amello dated September 21, 2022</w:t>
              </w:r>
            </w:hyperlink>
          </w:p>
        </w:tc>
        <w:tc>
          <w:tcPr>
            <w:tcW w:w="1240" w:type="dxa"/>
            <w:vAlign w:val="bottom"/>
            <w:gridSpan w:val="25"/>
          </w:tcPr>
          <w:p>
            <w:pPr>
              <w:spacing w:after="0" w:line="169" w:lineRule="exact"/>
              <w:rPr>
                <w:rFonts w:ascii="Arial" w:cs="Arial" w:eastAsia="Arial" w:hAnsi="Arial"/>
                <w:sz w:val="17"/>
                <w:szCs w:val="17"/>
                <w:color w:val="0000FF"/>
                <w:w w:val="99"/>
              </w:rPr>
            </w:pPr>
            <w:hyperlink r:id="rId194">
              <w:r>
                <w:rPr>
                  <w:rFonts w:ascii="Arial" w:cs="Arial" w:eastAsia="Arial" w:hAnsi="Arial"/>
                  <w:sz w:val="17"/>
                  <w:szCs w:val="17"/>
                  <w:color w:val="0000FF"/>
                  <w:w w:val="99"/>
                </w:rPr>
                <w:t>(incorporated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10.16**</w:t>
            </w:r>
          </w:p>
        </w:tc>
        <w:tc>
          <w:tcPr>
            <w:tcW w:w="20" w:type="dxa"/>
            <w:vAlign w:val="bottom"/>
          </w:tcPr>
          <w:p>
            <w:pPr>
              <w:spacing w:after="0"/>
              <w:rPr>
                <w:sz w:val="14"/>
                <w:szCs w:val="14"/>
                <w:color w:val="auto"/>
              </w:rPr>
            </w:pPr>
          </w:p>
        </w:tc>
        <w:tc>
          <w:tcPr>
            <w:tcW w:w="9740" w:type="dxa"/>
            <w:vAlign w:val="bottom"/>
            <w:tcBorders>
              <w:top w:val="single" w:sz="8" w:color="0000FF"/>
            </w:tcBorders>
            <w:gridSpan w:val="41"/>
          </w:tcPr>
          <w:p>
            <w:pPr>
              <w:spacing w:after="0" w:line="169" w:lineRule="exact"/>
              <w:rPr>
                <w:rFonts w:ascii="Arial" w:cs="Arial" w:eastAsia="Arial" w:hAnsi="Arial"/>
                <w:sz w:val="17"/>
                <w:szCs w:val="17"/>
                <w:color w:val="0000FF"/>
              </w:rPr>
            </w:pPr>
            <w:hyperlink r:id="rId194">
              <w:r>
                <w:rPr>
                  <w:rFonts w:ascii="Arial" w:cs="Arial" w:eastAsia="Arial" w:hAnsi="Arial"/>
                  <w:sz w:val="17"/>
                  <w:szCs w:val="17"/>
                  <w:color w:val="0000FF"/>
                </w:rPr>
                <w:t>reference to Exhibit 10.1 to the Registrant’s Quarterly Report on Form 10-Q filed with the SEC on November 10, 2022)</w:t>
              </w:r>
            </w:hyperlink>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60" w:type="dxa"/>
            <w:vAlign w:val="bottom"/>
            <w:tcBorders>
              <w:right w:val="single" w:sz="8" w:color="0000EE"/>
            </w:tcBorders>
            <w:gridSpan w:val="7"/>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42"/>
          </w:tcPr>
          <w:p>
            <w:pPr>
              <w:spacing w:after="0" w:line="169" w:lineRule="exact"/>
              <w:rPr>
                <w:rFonts w:ascii="Arial" w:cs="Arial" w:eastAsia="Arial" w:hAnsi="Arial"/>
                <w:sz w:val="17"/>
                <w:szCs w:val="17"/>
                <w:color w:val="0000FF"/>
              </w:rPr>
            </w:pPr>
            <w:hyperlink r:id="rId195">
              <w:r>
                <w:rPr>
                  <w:rFonts w:ascii="Arial" w:cs="Arial" w:eastAsia="Arial" w:hAnsi="Arial"/>
                  <w:sz w:val="17"/>
                  <w:szCs w:val="17"/>
                  <w:color w:val="0000FF"/>
                </w:rPr>
                <w:t>Master Production Services Agreement by and between Candel Therapeutics and SAFC Carlsbad, Inc., effective November 3,</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35"/>
          </w:tcPr>
          <w:p>
            <w:pPr>
              <w:spacing w:after="0" w:line="169" w:lineRule="exact"/>
              <w:rPr>
                <w:rFonts w:ascii="Arial" w:cs="Arial" w:eastAsia="Arial" w:hAnsi="Arial"/>
                <w:sz w:val="17"/>
                <w:szCs w:val="17"/>
                <w:color w:val="0000FF"/>
              </w:rPr>
            </w:pPr>
            <w:hyperlink r:id="rId195">
              <w:r>
                <w:rPr>
                  <w:rFonts w:ascii="Arial" w:cs="Arial" w:eastAsia="Arial" w:hAnsi="Arial"/>
                  <w:sz w:val="17"/>
                  <w:szCs w:val="17"/>
                  <w:color w:val="0000FF"/>
                </w:rPr>
                <w:t>2022 (incorporated by reference to Exhibit 10.16 to the Registrant’s Annual Report on Form 10-K filed with the SEC on March</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10.17**</w:t>
            </w:r>
          </w:p>
        </w:tc>
        <w:tc>
          <w:tcPr>
            <w:tcW w:w="20" w:type="dxa"/>
            <w:vAlign w:val="bottom"/>
            <w:tcBorders>
              <w:bottom w:val="single" w:sz="8" w:color="0000EE"/>
            </w:tcBorders>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Arial" w:cs="Arial" w:eastAsia="Arial" w:hAnsi="Arial"/>
                <w:sz w:val="17"/>
                <w:szCs w:val="17"/>
                <w:color w:val="0000FF"/>
                <w:w w:val="94"/>
              </w:rPr>
            </w:pPr>
            <w:hyperlink r:id="rId195">
              <w:r>
                <w:rPr>
                  <w:rFonts w:ascii="Arial" w:cs="Arial" w:eastAsia="Arial" w:hAnsi="Arial"/>
                  <w:sz w:val="17"/>
                  <w:szCs w:val="17"/>
                  <w:color w:val="0000FF"/>
                  <w:w w:val="94"/>
                </w:rPr>
                <w:t>30, 2023)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740" w:type="dxa"/>
            <w:vAlign w:val="bottom"/>
            <w:gridSpan w:val="3"/>
          </w:tcPr>
          <w:p>
            <w:pPr>
              <w:spacing w:after="0" w:line="169" w:lineRule="exact"/>
              <w:rPr>
                <w:rFonts w:ascii="Arial" w:cs="Arial" w:eastAsia="Arial" w:hAnsi="Arial"/>
                <w:sz w:val="17"/>
                <w:szCs w:val="17"/>
                <w:color w:val="0000FF"/>
                <w:w w:val="78"/>
              </w:rPr>
            </w:pPr>
            <w:hyperlink r:id="rId196">
              <w:r>
                <w:rPr>
                  <w:rFonts w:ascii="Arial" w:cs="Arial" w:eastAsia="Arial" w:hAnsi="Arial"/>
                  <w:sz w:val="17"/>
                  <w:szCs w:val="17"/>
                  <w:color w:val="0000FF"/>
                  <w:w w:val="78"/>
                </w:rPr>
                <w:t>Amendment</w:t>
              </w:r>
            </w:hyperlink>
          </w:p>
        </w:tc>
        <w:tc>
          <w:tcPr>
            <w:tcW w:w="9020" w:type="dxa"/>
            <w:vAlign w:val="bottom"/>
            <w:gridSpan w:val="39"/>
          </w:tcPr>
          <w:p>
            <w:pPr>
              <w:ind w:left="240"/>
              <w:spacing w:after="0" w:line="169" w:lineRule="exact"/>
              <w:rPr>
                <w:rFonts w:ascii="Arial" w:cs="Arial" w:eastAsia="Arial" w:hAnsi="Arial"/>
                <w:sz w:val="17"/>
                <w:szCs w:val="17"/>
                <w:color w:val="0000FF"/>
              </w:rPr>
            </w:pPr>
            <w:hyperlink r:id="rId196">
              <w:r>
                <w:rPr>
                  <w:rFonts w:ascii="Arial" w:cs="Arial" w:eastAsia="Arial" w:hAnsi="Arial"/>
                  <w:sz w:val="17"/>
                  <w:szCs w:val="17"/>
                  <w:color w:val="0000FF"/>
                </w:rPr>
                <w:t>to Exclusive License Agreement by and between Candel Therapeutics, Inc. and Periphagen, Inc. dated June 7,</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2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9740" w:type="dxa"/>
            <w:vAlign w:val="bottom"/>
            <w:gridSpan w:val="41"/>
          </w:tcPr>
          <w:p>
            <w:pPr>
              <w:spacing w:after="0" w:line="169" w:lineRule="exact"/>
              <w:rPr>
                <w:rFonts w:ascii="Arial" w:cs="Arial" w:eastAsia="Arial" w:hAnsi="Arial"/>
                <w:sz w:val="17"/>
                <w:szCs w:val="17"/>
                <w:color w:val="0000FF"/>
              </w:rPr>
            </w:pPr>
            <w:hyperlink r:id="rId196">
              <w:r>
                <w:rPr>
                  <w:rFonts w:ascii="Arial" w:cs="Arial" w:eastAsia="Arial" w:hAnsi="Arial"/>
                  <w:sz w:val="17"/>
                  <w:szCs w:val="17"/>
                  <w:color w:val="0000FF"/>
                </w:rPr>
                <w:t>2023 (incorporated by reference to Exhibit 10.1 to the Registrant’s Quarterly Report on Form 10-Q filed with the SEC on August</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10.18</w:t>
            </w:r>
          </w:p>
        </w:tc>
        <w:tc>
          <w:tcPr>
            <w:tcW w:w="20" w:type="dxa"/>
            <w:vAlign w:val="bottom"/>
            <w:tcBorders>
              <w:bottom w:val="single" w:sz="8" w:color="0000EE"/>
            </w:tcBorders>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Arial" w:cs="Arial" w:eastAsia="Arial" w:hAnsi="Arial"/>
                <w:sz w:val="17"/>
                <w:szCs w:val="17"/>
                <w:color w:val="0000FF"/>
                <w:w w:val="94"/>
              </w:rPr>
            </w:pPr>
            <w:hyperlink r:id="rId196">
              <w:r>
                <w:rPr>
                  <w:rFonts w:ascii="Arial" w:cs="Arial" w:eastAsia="Arial" w:hAnsi="Arial"/>
                  <w:sz w:val="17"/>
                  <w:szCs w:val="17"/>
                  <w:color w:val="0000FF"/>
                  <w:w w:val="94"/>
                </w:rPr>
                <w:t>10, 2023)</w:t>
              </w:r>
            </w:hyperlink>
          </w:p>
        </w:tc>
        <w:tc>
          <w:tcPr>
            <w:tcW w:w="20" w:type="dxa"/>
            <w:vAlign w:val="bottom"/>
            <w:tcBorders>
              <w:top w:val="single" w:sz="8" w:color="0000FF"/>
              <w:bottom w:val="single" w:sz="8" w:color="0000EE"/>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42"/>
          </w:tcPr>
          <w:p>
            <w:pPr>
              <w:spacing w:after="0" w:line="169" w:lineRule="exact"/>
              <w:rPr>
                <w:rFonts w:ascii="Arial" w:cs="Arial" w:eastAsia="Arial" w:hAnsi="Arial"/>
                <w:sz w:val="17"/>
                <w:szCs w:val="17"/>
                <w:color w:val="0000FF"/>
              </w:rPr>
            </w:pPr>
            <w:hyperlink r:id="rId197">
              <w:r>
                <w:rPr>
                  <w:rFonts w:ascii="Arial" w:cs="Arial" w:eastAsia="Arial" w:hAnsi="Arial"/>
                  <w:sz w:val="17"/>
                  <w:szCs w:val="17"/>
                  <w:color w:val="0000FF"/>
                </w:rPr>
                <w:t>First Amendment to Loan and Security Agreement by and between Candel Therapeutics, Inc. and Silicon Valley Bank, dated</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top w:val="single" w:sz="8" w:color="0000FF"/>
              <w:bottom w:val="single" w:sz="8" w:color="0000FF"/>
            </w:tcBorders>
            <w:gridSpan w:val="28"/>
          </w:tcPr>
          <w:p>
            <w:pPr>
              <w:spacing w:after="0" w:line="169" w:lineRule="exact"/>
              <w:rPr>
                <w:rFonts w:ascii="Arial" w:cs="Arial" w:eastAsia="Arial" w:hAnsi="Arial"/>
                <w:sz w:val="17"/>
                <w:szCs w:val="17"/>
                <w:color w:val="0000FF"/>
                <w:w w:val="99"/>
              </w:rPr>
            </w:pPr>
            <w:hyperlink r:id="rId197">
              <w:r>
                <w:rPr>
                  <w:rFonts w:ascii="Arial" w:cs="Arial" w:eastAsia="Arial" w:hAnsi="Arial"/>
                  <w:sz w:val="17"/>
                  <w:szCs w:val="17"/>
                  <w:color w:val="0000FF"/>
                  <w:w w:val="99"/>
                </w:rPr>
                <w:t>June 14, 2023 (incorporated by reference to Exhibit 10.2 to the Registrant’s Quarterly Report on Form 10-Q filed with the SEC</w:t>
              </w:r>
            </w:hyperlink>
          </w:p>
        </w:tc>
        <w:tc>
          <w:tcPr>
            <w:tcW w:w="120" w:type="dxa"/>
            <w:vAlign w:val="bottom"/>
            <w:tcBorders>
              <w:bottom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10.19#</w:t>
            </w:r>
          </w:p>
        </w:tc>
        <w:tc>
          <w:tcPr>
            <w:tcW w:w="20" w:type="dxa"/>
            <w:vAlign w:val="bottom"/>
          </w:tcPr>
          <w:p>
            <w:pPr>
              <w:spacing w:after="0"/>
              <w:rPr>
                <w:sz w:val="14"/>
                <w:szCs w:val="14"/>
                <w:color w:val="auto"/>
              </w:rPr>
            </w:pPr>
          </w:p>
        </w:tc>
        <w:tc>
          <w:tcPr>
            <w:tcW w:w="9560" w:type="dxa"/>
            <w:vAlign w:val="bottom"/>
            <w:gridSpan w:val="32"/>
          </w:tcPr>
          <w:p>
            <w:pPr>
              <w:spacing w:after="0" w:line="169" w:lineRule="exact"/>
              <w:rPr>
                <w:rFonts w:ascii="Arial" w:cs="Arial" w:eastAsia="Arial" w:hAnsi="Arial"/>
                <w:sz w:val="17"/>
                <w:szCs w:val="17"/>
                <w:color w:val="0000FF"/>
              </w:rPr>
            </w:pPr>
            <w:hyperlink r:id="rId197">
              <w:r>
                <w:rPr>
                  <w:rFonts w:ascii="Arial" w:cs="Arial" w:eastAsia="Arial" w:hAnsi="Arial"/>
                  <w:sz w:val="17"/>
                  <w:szCs w:val="17"/>
                  <w:color w:val="0000FF"/>
                </w:rPr>
                <w:t>on August 10, 2023)</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EE"/>
          </w:tcPr>
          <w:p>
            <w:pPr>
              <w:spacing w:after="0" w:line="20" w:lineRule="exact"/>
              <w:rPr>
                <w:sz w:val="1"/>
                <w:szCs w:val="1"/>
                <w:color w:val="auto"/>
              </w:rPr>
            </w:pPr>
          </w:p>
        </w:tc>
        <w:tc>
          <w:tcPr>
            <w:tcW w:w="8200" w:type="dxa"/>
            <w:vAlign w:val="bottom"/>
            <w:gridSpan w:val="37"/>
            <w:vMerge w:val="restart"/>
          </w:tcPr>
          <w:p>
            <w:pPr>
              <w:spacing w:after="0" w:line="189" w:lineRule="exact"/>
              <w:rPr>
                <w:rFonts w:ascii="Arial" w:cs="Arial" w:eastAsia="Arial" w:hAnsi="Arial"/>
                <w:sz w:val="17"/>
                <w:szCs w:val="17"/>
                <w:color w:val="0000FF"/>
              </w:rPr>
            </w:pPr>
            <w:hyperlink r:id="rId198">
              <w:r>
                <w:rPr>
                  <w:rFonts w:ascii="Arial" w:cs="Arial" w:eastAsia="Arial" w:hAnsi="Arial"/>
                  <w:sz w:val="17"/>
                  <w:szCs w:val="17"/>
                  <w:color w:val="0000FF"/>
                </w:rPr>
                <w:t>between Candel Therapeutics, Inc. and Jason A. Amello, dated as of January 12, 2024 (incorporated by</w:t>
              </w:r>
            </w:hyperlink>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1560" w:type="dxa"/>
            <w:vAlign w:val="bottom"/>
            <w:gridSpan w:val="5"/>
          </w:tcPr>
          <w:p>
            <w:pPr>
              <w:spacing w:after="0" w:line="169" w:lineRule="exact"/>
              <w:rPr>
                <w:rFonts w:ascii="Arial" w:cs="Arial" w:eastAsia="Arial" w:hAnsi="Arial"/>
                <w:sz w:val="17"/>
                <w:szCs w:val="17"/>
                <w:color w:val="0000FF"/>
              </w:rPr>
            </w:pPr>
            <w:hyperlink r:id="rId198">
              <w:r>
                <w:rPr>
                  <w:rFonts w:ascii="Arial" w:cs="Arial" w:eastAsia="Arial" w:hAnsi="Arial"/>
                  <w:sz w:val="17"/>
                  <w:szCs w:val="17"/>
                  <w:color w:val="0000FF"/>
                </w:rPr>
                <w:t>Consulting by and</w:t>
              </w:r>
            </w:hyperlink>
          </w:p>
        </w:tc>
        <w:tc>
          <w:tcPr>
            <w:tcW w:w="8200" w:type="dxa"/>
            <w:vAlign w:val="bottom"/>
            <w:gridSpan w:val="3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19.1*</w:t>
            </w:r>
          </w:p>
        </w:tc>
        <w:tc>
          <w:tcPr>
            <w:tcW w:w="20" w:type="dxa"/>
            <w:vAlign w:val="bottom"/>
            <w:tcBorders>
              <w:bottom w:val="single" w:sz="8" w:color="0000EE"/>
            </w:tcBorders>
          </w:tcPr>
          <w:p>
            <w:pPr>
              <w:spacing w:after="0"/>
              <w:rPr>
                <w:sz w:val="14"/>
                <w:szCs w:val="14"/>
                <w:color w:val="auto"/>
              </w:rPr>
            </w:pPr>
          </w:p>
        </w:tc>
        <w:tc>
          <w:tcPr>
            <w:tcW w:w="8520" w:type="dxa"/>
            <w:vAlign w:val="bottom"/>
            <w:tcBorders>
              <w:top w:val="single" w:sz="8" w:color="0000FF"/>
              <w:bottom w:val="single" w:sz="8" w:color="0000FF"/>
            </w:tcBorders>
            <w:gridSpan w:val="17"/>
          </w:tcPr>
          <w:p>
            <w:pPr>
              <w:spacing w:after="0" w:line="169" w:lineRule="exact"/>
              <w:rPr>
                <w:rFonts w:ascii="Arial" w:cs="Arial" w:eastAsia="Arial" w:hAnsi="Arial"/>
                <w:sz w:val="17"/>
                <w:szCs w:val="17"/>
                <w:color w:val="0000FF"/>
              </w:rPr>
            </w:pPr>
            <w:hyperlink r:id="rId198">
              <w:r>
                <w:rPr>
                  <w:rFonts w:ascii="Arial" w:cs="Arial" w:eastAsia="Arial" w:hAnsi="Arial"/>
                  <w:sz w:val="17"/>
                  <w:szCs w:val="17"/>
                  <w:color w:val="0000FF"/>
                </w:rPr>
                <w:t>reference to Exhibit 10.19 to the Registrant's Annual Report on Form 10-K filed with the SEC on March 28, 2024)</w:t>
              </w:r>
            </w:hyperlink>
          </w:p>
        </w:tc>
        <w:tc>
          <w:tcPr>
            <w:tcW w:w="78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8540" w:type="dxa"/>
            <w:vAlign w:val="bottom"/>
            <w:gridSpan w:val="18"/>
          </w:tcPr>
          <w:p>
            <w:pPr>
              <w:spacing w:after="0" w:line="169" w:lineRule="exact"/>
              <w:rPr>
                <w:sz w:val="20"/>
                <w:szCs w:val="20"/>
                <w:color w:val="auto"/>
              </w:rPr>
            </w:pPr>
            <w:r>
              <w:rPr>
                <w:rFonts w:ascii="Arial" w:cs="Arial" w:eastAsia="Arial" w:hAnsi="Arial"/>
                <w:sz w:val="17"/>
                <w:szCs w:val="17"/>
                <w:color w:val="0000FF"/>
              </w:rPr>
              <w:t>Candel Therapeutics, Inc. Insider Trading Policy</w:t>
            </w:r>
          </w:p>
        </w:tc>
        <w:tc>
          <w:tcPr>
            <w:tcW w:w="68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4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189" w:lineRule="exact"/>
              <w:rPr>
                <w:sz w:val="20"/>
                <w:szCs w:val="20"/>
                <w:color w:val="auto"/>
              </w:rPr>
            </w:pPr>
            <w:r>
              <w:rPr>
                <w:rFonts w:ascii="Arial" w:cs="Arial" w:eastAsia="Arial" w:hAnsi="Arial"/>
                <w:sz w:val="17"/>
                <w:szCs w:val="17"/>
                <w:color w:val="auto"/>
              </w:rPr>
              <w:t>21.1</w:t>
            </w:r>
          </w:p>
        </w:tc>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EE"/>
          </w:tcPr>
          <w:p>
            <w:pPr>
              <w:spacing w:after="0" w:line="20" w:lineRule="exact"/>
              <w:rPr>
                <w:sz w:val="1"/>
                <w:szCs w:val="1"/>
                <w:color w:val="auto"/>
              </w:rPr>
            </w:pPr>
          </w:p>
        </w:tc>
        <w:tc>
          <w:tcPr>
            <w:tcW w:w="6100" w:type="dxa"/>
            <w:vAlign w:val="bottom"/>
            <w:gridSpan w:val="34"/>
            <w:vMerge w:val="restart"/>
          </w:tcPr>
          <w:p>
            <w:pPr>
              <w:spacing w:after="0" w:line="189" w:lineRule="exact"/>
              <w:rPr>
                <w:rFonts w:ascii="Arial" w:cs="Arial" w:eastAsia="Arial" w:hAnsi="Arial"/>
                <w:sz w:val="17"/>
                <w:szCs w:val="17"/>
                <w:color w:val="0000FF"/>
              </w:rPr>
            </w:pPr>
            <w:hyperlink r:id="rId199">
              <w:r>
                <w:rPr>
                  <w:rFonts w:ascii="Arial" w:cs="Arial" w:eastAsia="Arial" w:hAnsi="Arial"/>
                  <w:sz w:val="17"/>
                  <w:szCs w:val="17"/>
                  <w:color w:val="0000FF"/>
                </w:rPr>
                <w:t>Exhibit 21.1 to the Registrant's Annual Report on Form 10-K filed with the SEC</w:t>
              </w:r>
            </w:hyperlink>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3660" w:type="dxa"/>
            <w:vAlign w:val="bottom"/>
            <w:gridSpan w:val="8"/>
          </w:tcPr>
          <w:p>
            <w:pPr>
              <w:spacing w:after="0" w:line="169" w:lineRule="exact"/>
              <w:rPr>
                <w:rFonts w:ascii="Arial" w:cs="Arial" w:eastAsia="Arial" w:hAnsi="Arial"/>
                <w:sz w:val="17"/>
                <w:szCs w:val="17"/>
                <w:color w:val="0000FF"/>
              </w:rPr>
            </w:pPr>
            <w:hyperlink r:id="rId199">
              <w:r>
                <w:rPr>
                  <w:rFonts w:ascii="Arial" w:cs="Arial" w:eastAsia="Arial" w:hAnsi="Arial"/>
                  <w:sz w:val="17"/>
                  <w:szCs w:val="17"/>
                  <w:color w:val="0000FF"/>
                </w:rPr>
                <w:t>List of Subsidiary (incorporated by reference to</w:t>
              </w:r>
            </w:hyperlink>
          </w:p>
        </w:tc>
        <w:tc>
          <w:tcPr>
            <w:tcW w:w="6100" w:type="dxa"/>
            <w:vAlign w:val="bottom"/>
            <w:gridSpan w:val="3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14"/>
                <w:szCs w:val="14"/>
                <w:color w:val="auto"/>
              </w:rPr>
            </w:pPr>
          </w:p>
        </w:tc>
        <w:tc>
          <w:tcPr>
            <w:tcW w:w="9580" w:type="dxa"/>
            <w:vAlign w:val="bottom"/>
            <w:tcBorders>
              <w:top w:val="single" w:sz="8" w:color="0000FF"/>
            </w:tcBorders>
            <w:gridSpan w:val="33"/>
          </w:tcPr>
          <w:p>
            <w:pPr>
              <w:spacing w:after="0" w:line="169" w:lineRule="exact"/>
              <w:rPr>
                <w:rFonts w:ascii="Arial" w:cs="Arial" w:eastAsia="Arial" w:hAnsi="Arial"/>
                <w:sz w:val="17"/>
                <w:szCs w:val="17"/>
                <w:color w:val="0000FF"/>
              </w:rPr>
            </w:pPr>
            <w:hyperlink r:id="rId199">
              <w:r>
                <w:rPr>
                  <w:rFonts w:ascii="Arial" w:cs="Arial" w:eastAsia="Arial" w:hAnsi="Arial"/>
                  <w:sz w:val="17"/>
                  <w:szCs w:val="17"/>
                  <w:color w:val="0000FF"/>
                </w:rPr>
                <w:t>on March 29, 2022)</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8260" w:type="dxa"/>
            <w:vAlign w:val="bottom"/>
            <w:gridSpan w:val="38"/>
            <w:vMerge w:val="restart"/>
          </w:tcPr>
          <w:p>
            <w:pPr>
              <w:spacing w:after="0" w:line="189" w:lineRule="exact"/>
              <w:rPr>
                <w:sz w:val="20"/>
                <w:szCs w:val="20"/>
                <w:color w:val="auto"/>
              </w:rPr>
            </w:pPr>
            <w:r>
              <w:rPr>
                <w:rFonts w:ascii="Arial" w:cs="Arial" w:eastAsia="Arial" w:hAnsi="Arial"/>
                <w:sz w:val="17"/>
                <w:szCs w:val="17"/>
                <w:color w:val="0000FF"/>
              </w:rPr>
              <w:t>LLP, Independent Registered Public Accounting Firm</w:t>
            </w: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1500" w:type="dxa"/>
            <w:vAlign w:val="bottom"/>
            <w:gridSpan w:val="4"/>
          </w:tcPr>
          <w:p>
            <w:pPr>
              <w:spacing w:after="0" w:line="169" w:lineRule="exact"/>
              <w:rPr>
                <w:sz w:val="20"/>
                <w:szCs w:val="20"/>
                <w:color w:val="auto"/>
              </w:rPr>
            </w:pPr>
            <w:r>
              <w:rPr>
                <w:rFonts w:ascii="Arial" w:cs="Arial" w:eastAsia="Arial" w:hAnsi="Arial"/>
                <w:sz w:val="17"/>
                <w:szCs w:val="17"/>
                <w:color w:val="0000FF"/>
              </w:rPr>
              <w:t>Consent of KPMG</w:t>
            </w:r>
          </w:p>
        </w:tc>
        <w:tc>
          <w:tcPr>
            <w:tcW w:w="8260" w:type="dxa"/>
            <w:vAlign w:val="bottom"/>
            <w:gridSpan w:val="3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189" w:lineRule="exact"/>
              <w:rPr>
                <w:sz w:val="20"/>
                <w:szCs w:val="20"/>
                <w:color w:val="auto"/>
              </w:rPr>
            </w:pPr>
            <w:r>
              <w:rPr>
                <w:rFonts w:ascii="Arial" w:cs="Arial" w:eastAsia="Arial" w:hAnsi="Arial"/>
                <w:sz w:val="17"/>
                <w:szCs w:val="17"/>
                <w:color w:val="auto"/>
              </w:rPr>
              <w:t>24.1*</w:t>
            </w:r>
          </w:p>
        </w:tc>
        <w:tc>
          <w:tcPr>
            <w:tcW w:w="20" w:type="dxa"/>
            <w:vAlign w:val="bottom"/>
            <w:shd w:val="clear" w:color="auto" w:fill="0000EE"/>
          </w:tcPr>
          <w:p>
            <w:pPr>
              <w:spacing w:after="0" w:line="20" w:lineRule="exact"/>
              <w:rPr>
                <w:sz w:val="1"/>
                <w:szCs w:val="1"/>
                <w:color w:val="auto"/>
              </w:rPr>
            </w:pPr>
          </w:p>
        </w:tc>
        <w:tc>
          <w:tcPr>
            <w:tcW w:w="252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320" w:type="dxa"/>
            <w:vAlign w:val="bottom"/>
            <w:gridSpan w:val="9"/>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320" w:type="dxa"/>
            <w:vAlign w:val="bottom"/>
            <w:gridSpan w:val="1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5440" w:type="dxa"/>
            <w:vAlign w:val="bottom"/>
            <w:gridSpan w:val="12"/>
          </w:tcPr>
          <w:p>
            <w:pPr>
              <w:spacing w:after="0" w:line="169" w:lineRule="exact"/>
              <w:rPr>
                <w:sz w:val="20"/>
                <w:szCs w:val="20"/>
                <w:color w:val="auto"/>
              </w:rPr>
            </w:pPr>
            <w:r>
              <w:rPr>
                <w:rFonts w:ascii="Arial" w:cs="Arial" w:eastAsia="Arial" w:hAnsi="Arial"/>
                <w:sz w:val="17"/>
                <w:szCs w:val="17"/>
                <w:color w:val="0000FF"/>
              </w:rPr>
              <w:t>Power of Attorney (included on signature page)</w:t>
            </w:r>
          </w:p>
        </w:tc>
        <w:tc>
          <w:tcPr>
            <w:tcW w:w="4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320" w:type="dxa"/>
            <w:vAlign w:val="bottom"/>
            <w:gridSpan w:val="9"/>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320" w:type="dxa"/>
            <w:vAlign w:val="bottom"/>
            <w:gridSpan w:val="12"/>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189" w:lineRule="exact"/>
              <w:rPr>
                <w:sz w:val="20"/>
                <w:szCs w:val="20"/>
                <w:color w:val="auto"/>
              </w:rPr>
            </w:pPr>
            <w:r>
              <w:rPr>
                <w:rFonts w:ascii="Arial" w:cs="Arial" w:eastAsia="Arial" w:hAnsi="Arial"/>
                <w:sz w:val="17"/>
                <w:szCs w:val="17"/>
                <w:color w:val="auto"/>
              </w:rPr>
              <w:t>31.1*</w:t>
            </w:r>
          </w:p>
        </w:tc>
        <w:tc>
          <w:tcPr>
            <w:tcW w:w="20" w:type="dxa"/>
            <w:vAlign w:val="bottom"/>
            <w:shd w:val="clear" w:color="auto" w:fill="0000EE"/>
          </w:tcPr>
          <w:p>
            <w:pPr>
              <w:spacing w:after="0" w:line="20" w:lineRule="exact"/>
              <w:rPr>
                <w:sz w:val="1"/>
                <w:szCs w:val="1"/>
                <w:color w:val="auto"/>
              </w:rPr>
            </w:pPr>
          </w:p>
        </w:tc>
        <w:tc>
          <w:tcPr>
            <w:tcW w:w="252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42"/>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20" w:type="dxa"/>
            <w:vAlign w:val="bottom"/>
            <w:tcBorders>
              <w:bottom w:val="single" w:sz="8" w:color="0000EE"/>
            </w:tcBorders>
          </w:tcPr>
          <w:p>
            <w:pPr>
              <w:spacing w:after="0"/>
              <w:rPr>
                <w:sz w:val="14"/>
                <w:szCs w:val="14"/>
                <w:color w:val="auto"/>
              </w:rPr>
            </w:pPr>
          </w:p>
        </w:tc>
        <w:tc>
          <w:tcPr>
            <w:tcW w:w="5860" w:type="dxa"/>
            <w:vAlign w:val="bottom"/>
            <w:tcBorders>
              <w:top w:val="single" w:sz="8" w:color="0000FF"/>
              <w:bottom w:val="single" w:sz="8" w:color="0000FF"/>
            </w:tcBorders>
            <w:gridSpan w:val="12"/>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460" w:type="dxa"/>
            <w:vAlign w:val="bottom"/>
            <w:tcBorders>
              <w:top w:val="single" w:sz="8" w:color="0000FF"/>
            </w:tcBorders>
            <w:gridSpan w:val="12"/>
          </w:tcPr>
          <w:p>
            <w:pPr>
              <w:spacing w:after="0"/>
              <w:rPr>
                <w:sz w:val="14"/>
                <w:szCs w:val="14"/>
                <w:color w:val="auto"/>
              </w:rPr>
            </w:pPr>
          </w:p>
        </w:tc>
        <w:tc>
          <w:tcPr>
            <w:tcW w:w="320" w:type="dxa"/>
            <w:vAlign w:val="bottom"/>
            <w:gridSpan w:val="1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5900" w:type="dxa"/>
            <w:vAlign w:val="bottom"/>
            <w:gridSpan w:val="14"/>
          </w:tcPr>
          <w:p>
            <w:pPr>
              <w:spacing w:after="0" w:line="169" w:lineRule="exact"/>
              <w:rPr>
                <w:sz w:val="20"/>
                <w:szCs w:val="20"/>
                <w:color w:val="auto"/>
              </w:rPr>
            </w:pPr>
            <w:r>
              <w:rPr>
                <w:rFonts w:ascii="Arial" w:cs="Arial" w:eastAsia="Arial" w:hAnsi="Arial"/>
                <w:sz w:val="17"/>
                <w:szCs w:val="17"/>
                <w:color w:val="0000FF"/>
                <w:w w:val="99"/>
              </w:rPr>
              <w:t>Certification of Principal Financial Officer Pursuant to Rules 13a-14(a) and 15d</w:t>
            </w:r>
          </w:p>
        </w:tc>
        <w:tc>
          <w:tcPr>
            <w:tcW w:w="3860" w:type="dxa"/>
            <w:vAlign w:val="bottom"/>
            <w:gridSpan w:val="28"/>
          </w:tcPr>
          <w:p>
            <w:pPr>
              <w:ind w:left="40"/>
              <w:spacing w:after="0" w:line="169" w:lineRule="exact"/>
              <w:rPr>
                <w:sz w:val="20"/>
                <w:szCs w:val="20"/>
                <w:color w:val="auto"/>
              </w:rPr>
            </w:pPr>
            <w:r>
              <w:rPr>
                <w:rFonts w:ascii="Arial" w:cs="Arial" w:eastAsia="Arial" w:hAnsi="Arial"/>
                <w:sz w:val="17"/>
                <w:szCs w:val="17"/>
                <w:color w:val="0000FF"/>
              </w:rPr>
              <w:t>-14(a) under the Securities Exchange Act of</w:t>
            </w: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20" w:type="dxa"/>
            <w:vAlign w:val="bottom"/>
            <w:tcBorders>
              <w:bottom w:val="single" w:sz="8" w:color="0000EE"/>
            </w:tcBorders>
          </w:tcPr>
          <w:p>
            <w:pPr>
              <w:spacing w:after="0"/>
              <w:rPr>
                <w:sz w:val="14"/>
                <w:szCs w:val="14"/>
                <w:color w:val="auto"/>
              </w:rPr>
            </w:pPr>
          </w:p>
        </w:tc>
        <w:tc>
          <w:tcPr>
            <w:tcW w:w="5860" w:type="dxa"/>
            <w:vAlign w:val="bottom"/>
            <w:tcBorders>
              <w:top w:val="single" w:sz="8" w:color="0000FF"/>
              <w:bottom w:val="single" w:sz="8" w:color="0000FF"/>
            </w:tcBorders>
            <w:gridSpan w:val="12"/>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400" w:type="dxa"/>
            <w:vAlign w:val="bottom"/>
            <w:tcBorders>
              <w:top w:val="single" w:sz="8" w:color="0000FF"/>
            </w:tcBorders>
            <w:gridSpan w:val="10"/>
          </w:tcPr>
          <w:p>
            <w:pPr>
              <w:spacing w:after="0"/>
              <w:rPr>
                <w:sz w:val="14"/>
                <w:szCs w:val="14"/>
                <w:color w:val="auto"/>
              </w:rPr>
            </w:pPr>
          </w:p>
        </w:tc>
        <w:tc>
          <w:tcPr>
            <w:tcW w:w="380" w:type="dxa"/>
            <w:vAlign w:val="bottom"/>
            <w:gridSpan w:val="1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60" w:type="dxa"/>
            <w:vAlign w:val="bottom"/>
            <w:gridSpan w:val="42"/>
          </w:tcPr>
          <w:p>
            <w:pPr>
              <w:spacing w:after="0" w:line="169" w:lineRule="exact"/>
              <w:rPr>
                <w:sz w:val="20"/>
                <w:szCs w:val="20"/>
                <w:color w:val="auto"/>
              </w:rPr>
            </w:pPr>
            <w:r>
              <w:rPr>
                <w:rFonts w:ascii="Arial" w:cs="Arial" w:eastAsia="Arial" w:hAnsi="Arial"/>
                <w:sz w:val="17"/>
                <w:szCs w:val="17"/>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97.1</w:t>
            </w:r>
          </w:p>
        </w:tc>
        <w:tc>
          <w:tcPr>
            <w:tcW w:w="20" w:type="dxa"/>
            <w:vAlign w:val="bottom"/>
          </w:tcPr>
          <w:p>
            <w:pPr>
              <w:spacing w:after="0"/>
              <w:rPr>
                <w:sz w:val="14"/>
                <w:szCs w:val="14"/>
                <w:color w:val="auto"/>
              </w:rPr>
            </w:pPr>
          </w:p>
        </w:tc>
        <w:tc>
          <w:tcPr>
            <w:tcW w:w="920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7"/>
                <w:szCs w:val="17"/>
                <w:color w:val="0000FF"/>
              </w:rPr>
              <w:t>Pursuant to Section 906 of the Sarbanes-Oxley Act of 2002</w:t>
            </w:r>
          </w:p>
        </w:tc>
        <w:tc>
          <w:tcPr>
            <w:tcW w:w="460" w:type="dxa"/>
            <w:vAlign w:val="bottom"/>
            <w:gridSpan w:val="15"/>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tcBorders>
              <w:right w:val="single" w:sz="8" w:color="0000FF"/>
            </w:tcBorders>
            <w:gridSpan w:val="5"/>
            <w:shd w:val="clear" w:color="auto" w:fill="0000FF"/>
          </w:tcPr>
          <w:p>
            <w:pPr>
              <w:spacing w:after="0" w:line="20" w:lineRule="exact"/>
              <w:rPr>
                <w:sz w:val="1"/>
                <w:szCs w:val="1"/>
                <w:color w:val="auto"/>
              </w:rPr>
            </w:pPr>
          </w:p>
        </w:tc>
        <w:tc>
          <w:tcPr>
            <w:tcW w:w="1960" w:type="dxa"/>
            <w:vAlign w:val="bottom"/>
            <w:tcBorders>
              <w:right w:val="single" w:sz="8" w:color="0000EE"/>
            </w:tcBorders>
            <w:gridSpan w:val="4"/>
            <w:shd w:val="clear" w:color="auto" w:fill="0000FF"/>
          </w:tcPr>
          <w:p>
            <w:pPr>
              <w:spacing w:after="0" w:line="20" w:lineRule="exact"/>
              <w:rPr>
                <w:sz w:val="1"/>
                <w:szCs w:val="1"/>
                <w:color w:val="auto"/>
              </w:rPr>
            </w:pPr>
          </w:p>
        </w:tc>
        <w:tc>
          <w:tcPr>
            <w:tcW w:w="5260" w:type="dxa"/>
            <w:vAlign w:val="bottom"/>
            <w:gridSpan w:val="32"/>
            <w:vMerge w:val="restart"/>
          </w:tcPr>
          <w:p>
            <w:pPr>
              <w:spacing w:after="0" w:line="189" w:lineRule="exact"/>
              <w:rPr>
                <w:rFonts w:ascii="Arial" w:cs="Arial" w:eastAsia="Arial" w:hAnsi="Arial"/>
                <w:sz w:val="17"/>
                <w:szCs w:val="17"/>
                <w:color w:val="0000FF"/>
              </w:rPr>
            </w:pPr>
            <w:hyperlink r:id="rId200">
              <w:r>
                <w:rPr>
                  <w:rFonts w:ascii="Arial" w:cs="Arial" w:eastAsia="Arial" w:hAnsi="Arial"/>
                  <w:sz w:val="17"/>
                  <w:szCs w:val="17"/>
                  <w:color w:val="0000FF"/>
                </w:rPr>
                <w:t>to Exhibit 97.1 to the Registrant’s Annual Report on Form 10-K filed</w:t>
              </w:r>
            </w:hyperlink>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4500" w:type="dxa"/>
            <w:vAlign w:val="bottom"/>
            <w:gridSpan w:val="10"/>
          </w:tcPr>
          <w:p>
            <w:pPr>
              <w:spacing w:after="0" w:line="169" w:lineRule="exact"/>
              <w:rPr>
                <w:rFonts w:ascii="Arial" w:cs="Arial" w:eastAsia="Arial" w:hAnsi="Arial"/>
                <w:sz w:val="17"/>
                <w:szCs w:val="17"/>
                <w:color w:val="0000FF"/>
              </w:rPr>
            </w:pPr>
            <w:hyperlink r:id="rId200">
              <w:r>
                <w:rPr>
                  <w:rFonts w:ascii="Arial" w:cs="Arial" w:eastAsia="Arial" w:hAnsi="Arial"/>
                  <w:sz w:val="17"/>
                  <w:szCs w:val="17"/>
                  <w:color w:val="0000FF"/>
                </w:rPr>
                <w:t>Compensation Recovery Policy (incorporated by reference</w:t>
              </w:r>
            </w:hyperlink>
          </w:p>
        </w:tc>
        <w:tc>
          <w:tcPr>
            <w:tcW w:w="5260" w:type="dxa"/>
            <w:vAlign w:val="bottom"/>
            <w:gridSpan w:val="3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14"/>
                <w:szCs w:val="14"/>
                <w:color w:val="auto"/>
              </w:rPr>
            </w:pPr>
          </w:p>
        </w:tc>
        <w:tc>
          <w:tcPr>
            <w:tcW w:w="9660" w:type="dxa"/>
            <w:vAlign w:val="bottom"/>
            <w:tcBorders>
              <w:top w:val="single" w:sz="8" w:color="0000FF"/>
            </w:tcBorders>
            <w:gridSpan w:val="37"/>
          </w:tcPr>
          <w:p>
            <w:pPr>
              <w:spacing w:after="0" w:line="169" w:lineRule="exact"/>
              <w:rPr>
                <w:rFonts w:ascii="Arial" w:cs="Arial" w:eastAsia="Arial" w:hAnsi="Arial"/>
                <w:sz w:val="17"/>
                <w:szCs w:val="17"/>
                <w:color w:val="0000FF"/>
              </w:rPr>
            </w:pPr>
            <w:hyperlink r:id="rId200">
              <w:r>
                <w:rPr>
                  <w:rFonts w:ascii="Arial" w:cs="Arial" w:eastAsia="Arial" w:hAnsi="Arial"/>
                  <w:sz w:val="17"/>
                  <w:szCs w:val="17"/>
                  <w:color w:val="0000FF"/>
                </w:rPr>
                <w:t>with the SEC on March 28, 2024)</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tcBorders>
              <w:right w:val="single" w:sz="8" w:color="0000EE"/>
            </w:tcBorders>
            <w:gridSpan w:val="5"/>
            <w:shd w:val="clear" w:color="auto" w:fill="0000FF"/>
          </w:tcPr>
          <w:p>
            <w:pPr>
              <w:spacing w:after="0" w:line="20" w:lineRule="exact"/>
              <w:rPr>
                <w:sz w:val="1"/>
                <w:szCs w:val="1"/>
                <w:color w:val="auto"/>
              </w:rPr>
            </w:pPr>
          </w:p>
        </w:tc>
        <w:tc>
          <w:tcPr>
            <w:tcW w:w="722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480" w:type="dxa"/>
            <w:vAlign w:val="bottom"/>
            <w:vMerge w:val="continue"/>
          </w:tcPr>
          <w:p>
            <w:pPr>
              <w:spacing w:after="0"/>
              <w:rPr>
                <w:sz w:val="15"/>
                <w:szCs w:val="15"/>
                <w:color w:val="auto"/>
              </w:rPr>
            </w:pPr>
          </w:p>
        </w:tc>
        <w:tc>
          <w:tcPr>
            <w:tcW w:w="9760" w:type="dxa"/>
            <w:vAlign w:val="bottom"/>
            <w:gridSpan w:val="42"/>
          </w:tcPr>
          <w:p>
            <w:pPr>
              <w:spacing w:after="0" w:line="174"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9760" w:type="dxa"/>
            <w:vAlign w:val="bottom"/>
            <w:gridSpan w:val="42"/>
          </w:tcPr>
          <w:p>
            <w:pPr>
              <w:spacing w:after="0" w:line="189" w:lineRule="exact"/>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205"/>
        </w:trPr>
        <w:tc>
          <w:tcPr>
            <w:tcW w:w="1480" w:type="dxa"/>
            <w:vAlign w:val="bottom"/>
          </w:tcPr>
          <w:p>
            <w:pPr>
              <w:spacing w:after="0"/>
              <w:rPr>
                <w:sz w:val="20"/>
                <w:szCs w:val="20"/>
                <w:color w:val="auto"/>
              </w:rPr>
            </w:pPr>
            <w:r>
              <w:rPr>
                <w:rFonts w:ascii="Arial" w:cs="Arial" w:eastAsia="Arial" w:hAnsi="Arial"/>
                <w:sz w:val="17"/>
                <w:szCs w:val="17"/>
                <w:color w:val="auto"/>
              </w:rPr>
              <w:t>101.SCH</w:t>
            </w:r>
          </w:p>
        </w:tc>
        <w:tc>
          <w:tcPr>
            <w:tcW w:w="9760" w:type="dxa"/>
            <w:vAlign w:val="bottom"/>
            <w:gridSpan w:val="42"/>
          </w:tcPr>
          <w:p>
            <w:pPr>
              <w:spacing w:after="0"/>
              <w:rPr>
                <w:sz w:val="20"/>
                <w:szCs w:val="20"/>
                <w:color w:val="auto"/>
              </w:rPr>
            </w:pPr>
            <w:r>
              <w:rPr>
                <w:rFonts w:ascii="Arial" w:cs="Arial" w:eastAsia="Arial" w:hAnsi="Arial"/>
                <w:sz w:val="17"/>
                <w:szCs w:val="17"/>
                <w:color w:val="auto"/>
              </w:rPr>
              <w:t>Inline XBRL Taxonomy Extension Schema With Embedded Linkbase Documents</w:t>
            </w:r>
          </w:p>
        </w:tc>
        <w:tc>
          <w:tcPr>
            <w:tcW w:w="0" w:type="dxa"/>
            <w:vAlign w:val="bottom"/>
          </w:tcPr>
          <w:p>
            <w:pPr>
              <w:spacing w:after="0"/>
              <w:rPr>
                <w:sz w:val="1"/>
                <w:szCs w:val="1"/>
                <w:color w:val="auto"/>
              </w:rPr>
            </w:pPr>
          </w:p>
        </w:tc>
      </w:tr>
    </w:tbl>
    <w:p>
      <w:pPr>
        <w:ind w:left="1500" w:hanging="1479"/>
        <w:spacing w:after="0"/>
        <w:tabs>
          <w:tab w:leader="none" w:pos="15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4230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8" w:right="359" w:bottom="1440" w:gutter="0" w:footer="0" w:header="0"/>
        </w:sectPr>
      </w:pPr>
    </w:p>
    <w:bookmarkStart w:id="124" w:name="page125"/>
    <w:bookmarkEnd w:id="124"/>
    <w:p>
      <w:pPr>
        <w:ind w:left="380" w:hanging="372"/>
        <w:spacing w:after="0" w:line="249" w:lineRule="auto"/>
        <w:tabs>
          <w:tab w:leader="none" w:pos="153"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 Indicates a management contract or any compensatory plan, contract or arrangement</w:t>
      </w:r>
    </w:p>
    <w:p>
      <w:pPr>
        <w:spacing w:after="0" w:line="102" w:lineRule="exact"/>
        <w:rPr>
          <w:sz w:val="20"/>
          <w:szCs w:val="20"/>
          <w:color w:val="auto"/>
        </w:rPr>
      </w:pPr>
    </w:p>
    <w:p>
      <w:pPr>
        <w:ind w:left="380" w:right="280" w:hanging="372"/>
        <w:spacing w:after="0" w:line="267" w:lineRule="auto"/>
        <w:tabs>
          <w:tab w:leader="none" w:pos="186" w:val="left"/>
        </w:tabs>
        <w:numPr>
          <w:ilvl w:val="0"/>
          <w:numId w:val="89"/>
        </w:numPr>
        <w:rPr>
          <w:rFonts w:ascii="Arial" w:cs="Arial" w:eastAsia="Arial" w:hAnsi="Arial"/>
          <w:sz w:val="17"/>
          <w:szCs w:val="17"/>
          <w:color w:val="auto"/>
        </w:rPr>
      </w:pPr>
      <w:r>
        <w:rPr>
          <w:rFonts w:ascii="Arial" w:cs="Arial" w:eastAsia="Arial" w:hAnsi="Arial"/>
          <w:sz w:val="17"/>
          <w:szCs w:val="17"/>
          <w:color w:val="auto"/>
        </w:rPr>
        <w:t>Portions of this exhibit have been omitted by means of redacting a portion of the text and replacing it with “[***]” because they are both (i) not material and (ii) the type of information that the Registrant treats as private or confidential.</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7" w:right="519" w:bottom="1440" w:gutter="0" w:footer="0" w:header="0"/>
        </w:sectPr>
      </w:pPr>
    </w:p>
    <w:bookmarkStart w:id="125" w:name="page126"/>
    <w:bookmarkEnd w:id="125"/>
    <w:p>
      <w:pPr>
        <w:jc w:val="right"/>
        <w:ind w:right="176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7743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14236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0000FF"/>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18935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189357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0000FF"/>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2345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234569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0000FF"/>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19297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192976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-16510</wp:posOffset>
            </wp:positionV>
            <wp:extent cx="21107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211074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477520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6350</wp:posOffset>
            </wp:positionV>
            <wp:extent cx="9004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F-3</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F-4</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F-5</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F-6</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F-7</w:t>
      </w:r>
    </w:p>
    <w:p>
      <w:pPr>
        <w:sectPr>
          <w:pgSz w:w="11900" w:h="16838" w:orient="portrait"/>
          <w:cols w:equalWidth="0" w:num="2">
            <w:col w:w="9560" w:space="720"/>
            <w:col w:w="920"/>
          </w:cols>
          <w:pgMar w:left="340" w:top="1089" w:right="35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Candel Therapeutics, Inc.:</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00" w:lineRule="exact"/>
        <w:rPr>
          <w:sz w:val="20"/>
          <w:szCs w:val="20"/>
          <w:color w:val="auto"/>
        </w:rPr>
      </w:pPr>
    </w:p>
    <w:p>
      <w:pPr>
        <w:jc w:val="both"/>
        <w:ind w:right="160"/>
        <w:spacing w:after="0" w:line="241" w:lineRule="auto"/>
        <w:rPr>
          <w:sz w:val="20"/>
          <w:szCs w:val="20"/>
          <w:color w:val="auto"/>
        </w:rPr>
      </w:pPr>
      <w:r>
        <w:rPr>
          <w:rFonts w:ascii="Arial" w:cs="Arial" w:eastAsia="Arial" w:hAnsi="Arial"/>
          <w:sz w:val="17"/>
          <w:szCs w:val="17"/>
          <w:color w:val="auto"/>
        </w:rPr>
        <w:t>We have audited the accompanying consolidated balance sheets of Candel Therapeutics, Inc. and subsidiary (the Company) as of December 31, 2024 and 2023, the related consolidated statements of operations, stockholders’ equity, and cash flows for each of the years then ended,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then ended, in conformity with U.S. generally accepted accounting principles.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58"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March 13, 2025</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9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83"/>
        </w:trPr>
        <w:tc>
          <w:tcPr>
            <w:tcW w:w="79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980" w:type="dxa"/>
            <w:vAlign w:val="bottom"/>
          </w:tcPr>
          <w:p>
            <w:pPr>
              <w:ind w:left="280"/>
              <w:spacing w:after="0" w:line="189" w:lineRule="exact"/>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98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FF0FC"/>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102,654</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35,413</w:t>
            </w:r>
          </w:p>
        </w:tc>
        <w:tc>
          <w:tcPr>
            <w:tcW w:w="120" w:type="dxa"/>
            <w:vAlign w:val="bottom"/>
            <w:shd w:val="clear" w:color="auto" w:fill="CFF0FC"/>
          </w:tcPr>
          <w:p>
            <w:pPr>
              <w:spacing w:after="0"/>
              <w:rPr>
                <w:sz w:val="16"/>
                <w:szCs w:val="16"/>
                <w:color w:val="auto"/>
              </w:rPr>
            </w:pPr>
          </w:p>
        </w:tc>
      </w:tr>
      <w:tr>
        <w:trPr>
          <w:trHeight w:val="189"/>
        </w:trPr>
        <w:tc>
          <w:tcPr>
            <w:tcW w:w="7980" w:type="dxa"/>
            <w:vAlign w:val="bottom"/>
          </w:tcPr>
          <w:p>
            <w:pPr>
              <w:ind w:left="52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1,150</w:t>
            </w: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1,384</w:t>
            </w:r>
          </w:p>
        </w:tc>
        <w:tc>
          <w:tcPr>
            <w:tcW w:w="120" w:type="dxa"/>
            <w:vAlign w:val="bottom"/>
          </w:tcPr>
          <w:p>
            <w:pPr>
              <w:spacing w:after="0"/>
              <w:rPr>
                <w:sz w:val="16"/>
                <w:szCs w:val="16"/>
                <w:color w:val="auto"/>
              </w:rPr>
            </w:pPr>
          </w:p>
        </w:tc>
      </w:tr>
      <w:tr>
        <w:trPr>
          <w:trHeight w:val="183"/>
        </w:trPr>
        <w:tc>
          <w:tcPr>
            <w:tcW w:w="7980" w:type="dxa"/>
            <w:vAlign w:val="bottom"/>
            <w:shd w:val="clear" w:color="auto" w:fill="CFF0FC"/>
          </w:tcPr>
          <w:p>
            <w:pPr>
              <w:ind w:left="780"/>
              <w:spacing w:after="0" w:line="183" w:lineRule="exact"/>
              <w:rPr>
                <w:sz w:val="20"/>
                <w:szCs w:val="20"/>
                <w:color w:val="auto"/>
              </w:rPr>
            </w:pPr>
            <w:r>
              <w:rPr>
                <w:rFonts w:ascii="Arial" w:cs="Arial" w:eastAsia="Arial" w:hAnsi="Arial"/>
                <w:sz w:val="17"/>
                <w:szCs w:val="17"/>
                <w:b w:val="1"/>
                <w:bCs w:val="1"/>
                <w:color w:val="auto"/>
              </w:rPr>
              <w:t>Total current assets</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103,804</w:t>
            </w: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36,797</w:t>
            </w:r>
          </w:p>
        </w:tc>
        <w:tc>
          <w:tcPr>
            <w:tcW w:w="120" w:type="dxa"/>
            <w:vAlign w:val="bottom"/>
            <w:shd w:val="clear" w:color="auto" w:fill="CFF0FC"/>
          </w:tcPr>
          <w:p>
            <w:pPr>
              <w:spacing w:after="0"/>
              <w:rPr>
                <w:sz w:val="15"/>
                <w:szCs w:val="15"/>
                <w:color w:val="auto"/>
              </w:rPr>
            </w:pPr>
          </w:p>
        </w:tc>
      </w:tr>
      <w:tr>
        <w:trPr>
          <w:trHeight w:val="189"/>
        </w:trPr>
        <w:tc>
          <w:tcPr>
            <w:tcW w:w="7980" w:type="dxa"/>
            <w:vAlign w:val="bottom"/>
          </w:tcPr>
          <w:p>
            <w:pPr>
              <w:ind w:left="280"/>
              <w:spacing w:after="0" w:line="189" w:lineRule="exact"/>
              <w:rPr>
                <w:sz w:val="20"/>
                <w:szCs w:val="20"/>
                <w:color w:val="auto"/>
              </w:rPr>
            </w:pPr>
            <w:r>
              <w:rPr>
                <w:rFonts w:ascii="Arial" w:cs="Arial" w:eastAsia="Arial" w:hAnsi="Arial"/>
                <w:sz w:val="17"/>
                <w:szCs w:val="17"/>
                <w:color w:val="auto"/>
              </w:rPr>
              <w:t>Fixed assets, net</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2,191</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3,206</w:t>
            </w:r>
          </w:p>
        </w:tc>
        <w:tc>
          <w:tcPr>
            <w:tcW w:w="120" w:type="dxa"/>
            <w:vAlign w:val="bottom"/>
          </w:tcPr>
          <w:p>
            <w:pPr>
              <w:spacing w:after="0"/>
              <w:rPr>
                <w:sz w:val="16"/>
                <w:szCs w:val="16"/>
                <w:color w:val="auto"/>
              </w:rPr>
            </w:pPr>
          </w:p>
        </w:tc>
      </w:tr>
      <w:tr>
        <w:trPr>
          <w:trHeight w:val="189"/>
        </w:trPr>
        <w:tc>
          <w:tcPr>
            <w:tcW w:w="798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Lease right of use assets</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542</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816</w:t>
            </w:r>
          </w:p>
        </w:tc>
        <w:tc>
          <w:tcPr>
            <w:tcW w:w="120" w:type="dxa"/>
            <w:vAlign w:val="bottom"/>
            <w:shd w:val="clear" w:color="auto" w:fill="CFF0FC"/>
          </w:tcPr>
          <w:p>
            <w:pPr>
              <w:spacing w:after="0"/>
              <w:rPr>
                <w:sz w:val="16"/>
                <w:szCs w:val="16"/>
                <w:color w:val="auto"/>
              </w:rPr>
            </w:pPr>
          </w:p>
        </w:tc>
      </w:tr>
      <w:tr>
        <w:trPr>
          <w:trHeight w:val="189"/>
        </w:trPr>
        <w:tc>
          <w:tcPr>
            <w:tcW w:w="7980" w:type="dxa"/>
            <w:vAlign w:val="bottom"/>
          </w:tcPr>
          <w:p>
            <w:pPr>
              <w:ind w:left="280"/>
              <w:spacing w:after="0" w:line="189" w:lineRule="exact"/>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266</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266</w:t>
            </w:r>
          </w:p>
        </w:tc>
        <w:tc>
          <w:tcPr>
            <w:tcW w:w="120" w:type="dxa"/>
            <w:vAlign w:val="bottom"/>
          </w:tcPr>
          <w:p>
            <w:pPr>
              <w:spacing w:after="0"/>
              <w:rPr>
                <w:sz w:val="16"/>
                <w:szCs w:val="16"/>
                <w:color w:val="auto"/>
              </w:rPr>
            </w:pPr>
          </w:p>
        </w:tc>
      </w:tr>
      <w:tr>
        <w:trPr>
          <w:trHeight w:val="189"/>
        </w:trPr>
        <w:tc>
          <w:tcPr>
            <w:tcW w:w="7980" w:type="dxa"/>
            <w:vAlign w:val="bottom"/>
            <w:tcBorders>
              <w:bottom w:val="single" w:sz="8" w:color="CFF0FC"/>
            </w:tcBorders>
            <w:shd w:val="clear" w:color="auto" w:fill="CFF0FC"/>
          </w:tcPr>
          <w:p>
            <w:pPr>
              <w:ind w:left="280"/>
              <w:spacing w:after="0" w:line="189" w:lineRule="exact"/>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63</w:t>
            </w:r>
          </w:p>
        </w:tc>
        <w:tc>
          <w:tcPr>
            <w:tcW w:w="28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116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7980" w:type="dxa"/>
            <w:vAlign w:val="bottom"/>
          </w:tcPr>
          <w:p>
            <w:pPr>
              <w:ind w:left="780"/>
              <w:spacing w:after="0" w:line="183" w:lineRule="exact"/>
              <w:rPr>
                <w:sz w:val="20"/>
                <w:szCs w:val="20"/>
                <w:color w:val="auto"/>
              </w:rPr>
            </w:pPr>
            <w:r>
              <w:rPr>
                <w:rFonts w:ascii="Arial" w:cs="Arial" w:eastAsia="Arial" w:hAnsi="Arial"/>
                <w:sz w:val="17"/>
                <w:szCs w:val="17"/>
                <w:b w:val="1"/>
                <w:bCs w:val="1"/>
                <w:color w:val="auto"/>
              </w:rPr>
              <w:t>Total assets</w:t>
            </w:r>
          </w:p>
        </w:tc>
        <w:tc>
          <w:tcPr>
            <w:tcW w:w="3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106,866</w:t>
            </w:r>
          </w:p>
        </w:tc>
        <w:tc>
          <w:tcPr>
            <w:tcW w:w="280" w:type="dxa"/>
            <w:vAlign w:val="bottom"/>
          </w:tcPr>
          <w:p>
            <w:pPr>
              <w:spacing w:after="0"/>
              <w:rPr>
                <w:sz w:val="15"/>
                <w:szCs w:val="15"/>
                <w:color w:val="auto"/>
              </w:rPr>
            </w:pPr>
          </w:p>
        </w:tc>
        <w:tc>
          <w:tcPr>
            <w:tcW w:w="48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41,201</w:t>
            </w:r>
          </w:p>
        </w:tc>
        <w:tc>
          <w:tcPr>
            <w:tcW w:w="120" w:type="dxa"/>
            <w:vAlign w:val="bottom"/>
          </w:tcPr>
          <w:p>
            <w:pPr>
              <w:spacing w:after="0"/>
              <w:rPr>
                <w:sz w:val="15"/>
                <w:szCs w:val="15"/>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7980" w:type="dxa"/>
            <w:vAlign w:val="bottom"/>
            <w:shd w:val="clear" w:color="auto" w:fill="CFF0FC"/>
          </w:tcPr>
          <w:p>
            <w:pPr>
              <w:ind w:left="20"/>
              <w:spacing w:after="0" w:line="170" w:lineRule="exact"/>
              <w:rPr>
                <w:sz w:val="20"/>
                <w:szCs w:val="20"/>
                <w:color w:val="auto"/>
              </w:rPr>
            </w:pPr>
            <w:r>
              <w:rPr>
                <w:rFonts w:ascii="Arial" w:cs="Arial" w:eastAsia="Arial" w:hAnsi="Arial"/>
                <w:sz w:val="17"/>
                <w:szCs w:val="17"/>
                <w:b w:val="1"/>
                <w:bCs w:val="1"/>
                <w:color w:val="auto"/>
              </w:rPr>
              <w:t>Liabilities and Stockholders’ Equity</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7980" w:type="dxa"/>
            <w:vAlign w:val="bottom"/>
          </w:tcPr>
          <w:p>
            <w:pPr>
              <w:ind w:left="280"/>
              <w:spacing w:after="0" w:line="189" w:lineRule="exact"/>
              <w:rPr>
                <w:sz w:val="20"/>
                <w:szCs w:val="20"/>
                <w:color w:val="auto"/>
              </w:rPr>
            </w:pPr>
            <w:r>
              <w:rPr>
                <w:rFonts w:ascii="Arial" w:cs="Arial" w:eastAsia="Arial" w:hAnsi="Arial"/>
                <w:sz w:val="17"/>
                <w:szCs w:val="17"/>
                <w:color w:val="auto"/>
              </w:rPr>
              <w:t>Current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98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Accounts payable</w:t>
            </w:r>
          </w:p>
        </w:tc>
        <w:tc>
          <w:tcPr>
            <w:tcW w:w="320" w:type="dxa"/>
            <w:vAlign w:val="bottom"/>
            <w:shd w:val="clear" w:color="auto" w:fill="CFF0FC"/>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237</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422</w:t>
            </w:r>
          </w:p>
        </w:tc>
        <w:tc>
          <w:tcPr>
            <w:tcW w:w="120" w:type="dxa"/>
            <w:vAlign w:val="bottom"/>
            <w:shd w:val="clear" w:color="auto" w:fill="CFF0FC"/>
          </w:tcPr>
          <w:p>
            <w:pPr>
              <w:spacing w:after="0"/>
              <w:rPr>
                <w:sz w:val="16"/>
                <w:szCs w:val="16"/>
                <w:color w:val="auto"/>
              </w:rPr>
            </w:pPr>
          </w:p>
        </w:tc>
      </w:tr>
      <w:tr>
        <w:trPr>
          <w:trHeight w:val="189"/>
        </w:trPr>
        <w:tc>
          <w:tcPr>
            <w:tcW w:w="7980" w:type="dxa"/>
            <w:vAlign w:val="bottom"/>
          </w:tcPr>
          <w:p>
            <w:pPr>
              <w:ind w:left="520"/>
              <w:spacing w:after="0" w:line="189" w:lineRule="exact"/>
              <w:rPr>
                <w:sz w:val="20"/>
                <w:szCs w:val="20"/>
                <w:color w:val="auto"/>
              </w:rPr>
            </w:pPr>
            <w:r>
              <w:rPr>
                <w:rFonts w:ascii="Arial" w:cs="Arial" w:eastAsia="Arial" w:hAnsi="Arial"/>
                <w:sz w:val="17"/>
                <w:szCs w:val="17"/>
                <w:color w:val="auto"/>
              </w:rPr>
              <w:t>Accrued expenses</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5,113</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4,356</w:t>
            </w:r>
          </w:p>
        </w:tc>
        <w:tc>
          <w:tcPr>
            <w:tcW w:w="120" w:type="dxa"/>
            <w:vAlign w:val="bottom"/>
          </w:tcPr>
          <w:p>
            <w:pPr>
              <w:spacing w:after="0"/>
              <w:rPr>
                <w:sz w:val="16"/>
                <w:szCs w:val="16"/>
                <w:color w:val="auto"/>
              </w:rPr>
            </w:pPr>
          </w:p>
        </w:tc>
      </w:tr>
      <w:tr>
        <w:trPr>
          <w:trHeight w:val="189"/>
        </w:trPr>
        <w:tc>
          <w:tcPr>
            <w:tcW w:w="798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Current portion of term loan payable to a bank</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9,895</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8,893</w:t>
            </w:r>
          </w:p>
        </w:tc>
        <w:tc>
          <w:tcPr>
            <w:tcW w:w="120" w:type="dxa"/>
            <w:vAlign w:val="bottom"/>
            <w:shd w:val="clear" w:color="auto" w:fill="CFF0FC"/>
          </w:tcPr>
          <w:p>
            <w:pPr>
              <w:spacing w:after="0"/>
              <w:rPr>
                <w:sz w:val="16"/>
                <w:szCs w:val="16"/>
                <w:color w:val="auto"/>
              </w:rPr>
            </w:pPr>
          </w:p>
        </w:tc>
      </w:tr>
      <w:tr>
        <w:trPr>
          <w:trHeight w:val="189"/>
        </w:trPr>
        <w:tc>
          <w:tcPr>
            <w:tcW w:w="7980" w:type="dxa"/>
            <w:vAlign w:val="bottom"/>
          </w:tcPr>
          <w:p>
            <w:pPr>
              <w:ind w:left="520"/>
              <w:spacing w:after="0" w:line="189" w:lineRule="exact"/>
              <w:rPr>
                <w:sz w:val="20"/>
                <w:szCs w:val="20"/>
                <w:color w:val="auto"/>
              </w:rPr>
            </w:pPr>
            <w:r>
              <w:rPr>
                <w:rFonts w:ascii="Arial" w:cs="Arial" w:eastAsia="Arial" w:hAnsi="Arial"/>
                <w:sz w:val="17"/>
                <w:szCs w:val="17"/>
                <w:color w:val="auto"/>
              </w:rPr>
              <w:t>Current portion of lease liability</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566</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513</w:t>
            </w:r>
          </w:p>
        </w:tc>
        <w:tc>
          <w:tcPr>
            <w:tcW w:w="120" w:type="dxa"/>
            <w:vAlign w:val="bottom"/>
          </w:tcPr>
          <w:p>
            <w:pPr>
              <w:spacing w:after="0"/>
              <w:rPr>
                <w:sz w:val="16"/>
                <w:szCs w:val="16"/>
                <w:color w:val="auto"/>
              </w:rPr>
            </w:pPr>
          </w:p>
        </w:tc>
      </w:tr>
      <w:tr>
        <w:trPr>
          <w:trHeight w:val="189"/>
        </w:trPr>
        <w:tc>
          <w:tcPr>
            <w:tcW w:w="798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Warrant liability</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21,718</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w:t>
            </w:r>
          </w:p>
        </w:tc>
      </w:tr>
      <w:tr>
        <w:trPr>
          <w:trHeight w:val="183"/>
        </w:trPr>
        <w:tc>
          <w:tcPr>
            <w:tcW w:w="7980" w:type="dxa"/>
            <w:vAlign w:val="bottom"/>
            <w:tcBorders>
              <w:top w:val="single" w:sz="8" w:color="CFF0FC"/>
            </w:tcBorders>
          </w:tcPr>
          <w:p>
            <w:pPr>
              <w:ind w:left="780"/>
              <w:spacing w:after="0" w:line="183" w:lineRule="exact"/>
              <w:rPr>
                <w:sz w:val="20"/>
                <w:szCs w:val="20"/>
                <w:color w:val="auto"/>
              </w:rPr>
            </w:pPr>
            <w:r>
              <w:rPr>
                <w:rFonts w:ascii="Arial" w:cs="Arial" w:eastAsia="Arial" w:hAnsi="Arial"/>
                <w:sz w:val="17"/>
                <w:szCs w:val="17"/>
                <w:b w:val="1"/>
                <w:bCs w:val="1"/>
                <w:color w:val="auto"/>
              </w:rPr>
              <w:t>Total current liabilities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37,529</w:t>
            </w:r>
          </w:p>
        </w:tc>
        <w:tc>
          <w:tcPr>
            <w:tcW w:w="280" w:type="dxa"/>
            <w:vAlign w:val="bottom"/>
            <w:tcBorders>
              <w:top w:val="single" w:sz="8" w:color="CFF0FC"/>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14,184</w:t>
            </w:r>
          </w:p>
        </w:tc>
        <w:tc>
          <w:tcPr>
            <w:tcW w:w="120" w:type="dxa"/>
            <w:vAlign w:val="bottom"/>
            <w:tcBorders>
              <w:top w:val="single" w:sz="8" w:color="CFF0FC"/>
            </w:tcBorders>
          </w:tcPr>
          <w:p>
            <w:pPr>
              <w:spacing w:after="0"/>
              <w:rPr>
                <w:sz w:val="15"/>
                <w:szCs w:val="15"/>
                <w:color w:val="auto"/>
              </w:rPr>
            </w:pPr>
          </w:p>
        </w:tc>
      </w:tr>
      <w:tr>
        <w:trPr>
          <w:trHeight w:val="189"/>
        </w:trPr>
        <w:tc>
          <w:tcPr>
            <w:tcW w:w="798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Term loan payable to a bank</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1,733</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11,632</w:t>
            </w:r>
          </w:p>
        </w:tc>
        <w:tc>
          <w:tcPr>
            <w:tcW w:w="120" w:type="dxa"/>
            <w:vAlign w:val="bottom"/>
            <w:shd w:val="clear" w:color="auto" w:fill="CFF0FC"/>
          </w:tcPr>
          <w:p>
            <w:pPr>
              <w:spacing w:after="0"/>
              <w:rPr>
                <w:sz w:val="16"/>
                <w:szCs w:val="16"/>
                <w:color w:val="auto"/>
              </w:rPr>
            </w:pPr>
          </w:p>
        </w:tc>
      </w:tr>
      <w:tr>
        <w:trPr>
          <w:trHeight w:val="189"/>
        </w:trPr>
        <w:tc>
          <w:tcPr>
            <w:tcW w:w="7980" w:type="dxa"/>
            <w:vAlign w:val="bottom"/>
          </w:tcPr>
          <w:p>
            <w:pPr>
              <w:ind w:left="280"/>
              <w:spacing w:after="0" w:line="189" w:lineRule="exact"/>
              <w:rPr>
                <w:sz w:val="20"/>
                <w:szCs w:val="20"/>
                <w:color w:val="auto"/>
              </w:rPr>
            </w:pPr>
            <w:r>
              <w:rPr>
                <w:rFonts w:ascii="Arial" w:cs="Arial" w:eastAsia="Arial" w:hAnsi="Arial"/>
                <w:sz w:val="17"/>
                <w:szCs w:val="17"/>
                <w:color w:val="auto"/>
              </w:rPr>
              <w:t>Other long-term debt</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870</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751</w:t>
            </w:r>
          </w:p>
        </w:tc>
        <w:tc>
          <w:tcPr>
            <w:tcW w:w="120" w:type="dxa"/>
            <w:vAlign w:val="bottom"/>
          </w:tcPr>
          <w:p>
            <w:pPr>
              <w:spacing w:after="0"/>
              <w:rPr>
                <w:sz w:val="16"/>
                <w:szCs w:val="16"/>
                <w:color w:val="auto"/>
              </w:rPr>
            </w:pPr>
          </w:p>
        </w:tc>
      </w:tr>
      <w:tr>
        <w:trPr>
          <w:trHeight w:val="189"/>
        </w:trPr>
        <w:tc>
          <w:tcPr>
            <w:tcW w:w="798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Lease liability, net of current portion</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407</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973</w:t>
            </w:r>
          </w:p>
        </w:tc>
        <w:tc>
          <w:tcPr>
            <w:tcW w:w="120" w:type="dxa"/>
            <w:vAlign w:val="bottom"/>
            <w:shd w:val="clear" w:color="auto" w:fill="CFF0FC"/>
          </w:tcPr>
          <w:p>
            <w:pPr>
              <w:spacing w:after="0"/>
              <w:rPr>
                <w:sz w:val="16"/>
                <w:szCs w:val="16"/>
                <w:color w:val="auto"/>
              </w:rPr>
            </w:pPr>
          </w:p>
        </w:tc>
      </w:tr>
      <w:tr>
        <w:trPr>
          <w:trHeight w:val="189"/>
        </w:trPr>
        <w:tc>
          <w:tcPr>
            <w:tcW w:w="7980" w:type="dxa"/>
            <w:vAlign w:val="bottom"/>
          </w:tcPr>
          <w:p>
            <w:pPr>
              <w:ind w:left="280"/>
              <w:spacing w:after="0" w:line="189" w:lineRule="exact"/>
              <w:rPr>
                <w:sz w:val="20"/>
                <w:szCs w:val="20"/>
                <w:color w:val="auto"/>
              </w:rPr>
            </w:pPr>
            <w:r>
              <w:rPr>
                <w:rFonts w:ascii="Arial" w:cs="Arial" w:eastAsia="Arial" w:hAnsi="Arial"/>
                <w:sz w:val="17"/>
                <w:szCs w:val="17"/>
                <w:color w:val="auto"/>
              </w:rPr>
              <w:t>Warrant liability</w:t>
            </w:r>
          </w:p>
        </w:tc>
        <w:tc>
          <w:tcPr>
            <w:tcW w:w="320" w:type="dxa"/>
            <w:vAlign w:val="bottom"/>
          </w:tcPr>
          <w:p>
            <w:pPr>
              <w:spacing w:after="0"/>
              <w:rPr>
                <w:sz w:val="16"/>
                <w:szCs w:val="16"/>
                <w:color w:val="auto"/>
              </w:rPr>
            </w:pPr>
          </w:p>
        </w:tc>
        <w:tc>
          <w:tcPr>
            <w:tcW w:w="13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916</w:t>
            </w:r>
          </w:p>
        </w:tc>
        <w:tc>
          <w:tcPr>
            <w:tcW w:w="120" w:type="dxa"/>
            <w:vAlign w:val="bottom"/>
          </w:tcPr>
          <w:p>
            <w:pPr>
              <w:spacing w:after="0"/>
              <w:rPr>
                <w:sz w:val="16"/>
                <w:szCs w:val="16"/>
                <w:color w:val="auto"/>
              </w:rPr>
            </w:pPr>
          </w:p>
        </w:tc>
      </w:tr>
      <w:tr>
        <w:trPr>
          <w:trHeight w:val="183"/>
        </w:trPr>
        <w:tc>
          <w:tcPr>
            <w:tcW w:w="7980" w:type="dxa"/>
            <w:vAlign w:val="bottom"/>
            <w:tcBorders>
              <w:bottom w:val="single" w:sz="8" w:color="CFF0FC"/>
            </w:tcBorders>
            <w:shd w:val="clear" w:color="auto" w:fill="CFF0FC"/>
          </w:tcPr>
          <w:p>
            <w:pPr>
              <w:ind w:left="780"/>
              <w:spacing w:after="0" w:line="183" w:lineRule="exact"/>
              <w:rPr>
                <w:sz w:val="20"/>
                <w:szCs w:val="20"/>
                <w:color w:val="auto"/>
              </w:rPr>
            </w:pPr>
            <w:r>
              <w:rPr>
                <w:rFonts w:ascii="Arial" w:cs="Arial" w:eastAsia="Arial" w:hAnsi="Arial"/>
                <w:sz w:val="17"/>
                <w:szCs w:val="17"/>
                <w:b w:val="1"/>
                <w:bCs w:val="1"/>
                <w:color w:val="auto"/>
              </w:rPr>
              <w:t>Total liabilities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40,539</w:t>
            </w:r>
          </w:p>
        </w:tc>
        <w:tc>
          <w:tcPr>
            <w:tcW w:w="28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28,456</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980" w:type="dxa"/>
            <w:vAlign w:val="bottom"/>
          </w:tcPr>
          <w:p>
            <w:pPr>
              <w:ind w:left="280"/>
              <w:spacing w:after="0" w:line="183" w:lineRule="exact"/>
              <w:rPr>
                <w:sz w:val="20"/>
                <w:szCs w:val="20"/>
                <w:color w:val="auto"/>
              </w:rPr>
            </w:pPr>
            <w:r>
              <w:rPr>
                <w:rFonts w:ascii="Arial" w:cs="Arial" w:eastAsia="Arial" w:hAnsi="Arial"/>
                <w:sz w:val="17"/>
                <w:szCs w:val="17"/>
                <w:color w:val="auto"/>
              </w:rPr>
              <w:t>Commitments and contingencies (Note 15)</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98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Stockholders’ equity:</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67"/>
        </w:trPr>
        <w:tc>
          <w:tcPr>
            <w:tcW w:w="7980" w:type="dxa"/>
            <w:vAlign w:val="bottom"/>
          </w:tcPr>
          <w:p>
            <w:pPr>
              <w:ind w:left="520"/>
              <w:spacing w:after="0" w:line="167" w:lineRule="exact"/>
              <w:rPr>
                <w:sz w:val="20"/>
                <w:szCs w:val="20"/>
                <w:color w:val="auto"/>
              </w:rPr>
            </w:pPr>
            <w:r>
              <w:rPr>
                <w:rFonts w:ascii="Arial" w:cs="Arial" w:eastAsia="Arial" w:hAnsi="Arial"/>
                <w:sz w:val="17"/>
                <w:szCs w:val="17"/>
                <w:color w:val="auto"/>
              </w:rPr>
              <w:t>Preferred stock, $0.01 par value; 10,000,000 shares authorized at December 31, 2024 and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1"/>
        </w:trPr>
        <w:tc>
          <w:tcPr>
            <w:tcW w:w="7980" w:type="dxa"/>
            <w:vAlign w:val="bottom"/>
          </w:tcPr>
          <w:p>
            <w:pPr>
              <w:ind w:left="520"/>
              <w:spacing w:after="0"/>
              <w:rPr>
                <w:sz w:val="20"/>
                <w:szCs w:val="20"/>
                <w:color w:val="auto"/>
              </w:rPr>
            </w:pPr>
            <w:r>
              <w:rPr>
                <w:rFonts w:ascii="Arial" w:cs="Arial" w:eastAsia="Arial" w:hAnsi="Arial"/>
                <w:sz w:val="17"/>
                <w:szCs w:val="17"/>
                <w:color w:val="auto"/>
              </w:rPr>
              <w:t>2023; no shares issued or outstanding at December 31, 2024 and 2023, respectively.</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67"/>
        </w:trPr>
        <w:tc>
          <w:tcPr>
            <w:tcW w:w="7980" w:type="dxa"/>
            <w:vAlign w:val="bottom"/>
            <w:shd w:val="clear" w:color="auto" w:fill="CFF0FC"/>
          </w:tcPr>
          <w:p>
            <w:pPr>
              <w:ind w:left="520"/>
              <w:spacing w:after="0" w:line="167" w:lineRule="exact"/>
              <w:rPr>
                <w:sz w:val="20"/>
                <w:szCs w:val="20"/>
                <w:color w:val="auto"/>
              </w:rPr>
            </w:pPr>
            <w:r>
              <w:rPr>
                <w:rFonts w:ascii="Arial" w:cs="Arial" w:eastAsia="Arial" w:hAnsi="Arial"/>
                <w:sz w:val="17"/>
                <w:szCs w:val="17"/>
                <w:color w:val="auto"/>
              </w:rPr>
              <w:t>Common stock, $0.01 par value; 150,000,000 shares authorized at December 31, 2024 and</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798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2023; 46,933,088 and 29,213,627 shares issued at December 31, 2024 and 2023, respectively;</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98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and 46,810,480 and 29,091,019 shares outstanding at December 31, 2024 and 2023,</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1"/>
        </w:trPr>
        <w:tc>
          <w:tcPr>
            <w:tcW w:w="7980" w:type="dxa"/>
            <w:vAlign w:val="bottom"/>
            <w:shd w:val="clear" w:color="auto" w:fill="CFF0FC"/>
          </w:tcPr>
          <w:p>
            <w:pPr>
              <w:ind w:left="520"/>
              <w:spacing w:after="0"/>
              <w:rPr>
                <w:sz w:val="20"/>
                <w:szCs w:val="20"/>
                <w:color w:val="auto"/>
              </w:rPr>
            </w:pPr>
            <w:r>
              <w:rPr>
                <w:rFonts w:ascii="Arial" w:cs="Arial" w:eastAsia="Arial" w:hAnsi="Arial"/>
                <w:sz w:val="17"/>
                <w:szCs w:val="17"/>
                <w:color w:val="auto"/>
              </w:rPr>
              <w:t>respectively.</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469</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w:t>
            </w:r>
          </w:p>
        </w:tc>
        <w:tc>
          <w:tcPr>
            <w:tcW w:w="120" w:type="dxa"/>
            <w:vAlign w:val="bottom"/>
            <w:shd w:val="clear" w:color="auto" w:fill="CFF0FC"/>
          </w:tcPr>
          <w:p>
            <w:pPr>
              <w:spacing w:after="0"/>
              <w:rPr>
                <w:sz w:val="18"/>
                <w:szCs w:val="18"/>
                <w:color w:val="auto"/>
              </w:rPr>
            </w:pPr>
          </w:p>
        </w:tc>
      </w:tr>
      <w:tr>
        <w:trPr>
          <w:trHeight w:val="189"/>
        </w:trPr>
        <w:tc>
          <w:tcPr>
            <w:tcW w:w="7980" w:type="dxa"/>
            <w:vAlign w:val="bottom"/>
          </w:tcPr>
          <w:p>
            <w:pPr>
              <w:ind w:left="520"/>
              <w:spacing w:after="0" w:line="189" w:lineRule="exact"/>
              <w:rPr>
                <w:sz w:val="20"/>
                <w:szCs w:val="20"/>
                <w:color w:val="auto"/>
              </w:rPr>
            </w:pPr>
            <w:r>
              <w:rPr>
                <w:rFonts w:ascii="Arial" w:cs="Arial" w:eastAsia="Arial" w:hAnsi="Arial"/>
                <w:sz w:val="17"/>
                <w:szCs w:val="17"/>
                <w:color w:val="auto"/>
              </w:rPr>
              <w:t>Treasury stock (at cost)</w:t>
            </w:r>
          </w:p>
        </w:tc>
        <w:tc>
          <w:tcPr>
            <w:tcW w:w="320" w:type="dxa"/>
            <w:vAlign w:val="bottom"/>
          </w:tcPr>
          <w:p>
            <w:pPr>
              <w:spacing w:after="0"/>
              <w:rPr>
                <w:sz w:val="16"/>
                <w:szCs w:val="16"/>
                <w:color w:val="auto"/>
              </w:rPr>
            </w:pPr>
          </w:p>
        </w:tc>
        <w:tc>
          <w:tcPr>
            <w:tcW w:w="13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(448 )</w:t>
            </w:r>
          </w:p>
        </w:tc>
        <w:tc>
          <w:tcPr>
            <w:tcW w:w="4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(448 )</w:t>
            </w:r>
          </w:p>
        </w:tc>
      </w:tr>
      <w:tr>
        <w:trPr>
          <w:trHeight w:val="189"/>
        </w:trPr>
        <w:tc>
          <w:tcPr>
            <w:tcW w:w="798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Additional paid-in capital</w:t>
            </w: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258,511</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149,931</w:t>
            </w:r>
          </w:p>
        </w:tc>
        <w:tc>
          <w:tcPr>
            <w:tcW w:w="120" w:type="dxa"/>
            <w:vAlign w:val="bottom"/>
            <w:shd w:val="clear" w:color="auto" w:fill="CFF0FC"/>
          </w:tcPr>
          <w:p>
            <w:pPr>
              <w:spacing w:after="0"/>
              <w:rPr>
                <w:sz w:val="16"/>
                <w:szCs w:val="16"/>
                <w:color w:val="auto"/>
              </w:rPr>
            </w:pPr>
          </w:p>
        </w:tc>
      </w:tr>
      <w:tr>
        <w:trPr>
          <w:trHeight w:val="189"/>
        </w:trPr>
        <w:tc>
          <w:tcPr>
            <w:tcW w:w="7980" w:type="dxa"/>
            <w:vAlign w:val="bottom"/>
          </w:tcPr>
          <w:p>
            <w:pPr>
              <w:ind w:left="520"/>
              <w:spacing w:after="0" w:line="189" w:lineRule="exact"/>
              <w:rPr>
                <w:sz w:val="20"/>
                <w:szCs w:val="20"/>
                <w:color w:val="auto"/>
              </w:rPr>
            </w:pPr>
            <w:r>
              <w:rPr>
                <w:rFonts w:ascii="Arial" w:cs="Arial" w:eastAsia="Arial" w:hAnsi="Arial"/>
                <w:sz w:val="17"/>
                <w:szCs w:val="17"/>
                <w:color w:val="auto"/>
              </w:rPr>
              <w:t>Accumulated deficit</w:t>
            </w:r>
          </w:p>
        </w:tc>
        <w:tc>
          <w:tcPr>
            <w:tcW w:w="320" w:type="dxa"/>
            <w:vAlign w:val="bottom"/>
          </w:tcPr>
          <w:p>
            <w:pPr>
              <w:spacing w:after="0"/>
              <w:rPr>
                <w:sz w:val="16"/>
                <w:szCs w:val="16"/>
                <w:color w:val="auto"/>
              </w:rPr>
            </w:pPr>
          </w:p>
        </w:tc>
        <w:tc>
          <w:tcPr>
            <w:tcW w:w="13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(192,205 )</w:t>
            </w:r>
          </w:p>
        </w:tc>
        <w:tc>
          <w:tcPr>
            <w:tcW w:w="4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(137,028 )</w:t>
            </w:r>
          </w:p>
        </w:tc>
      </w:tr>
      <w:tr>
        <w:trPr>
          <w:trHeight w:val="183"/>
        </w:trPr>
        <w:tc>
          <w:tcPr>
            <w:tcW w:w="7980" w:type="dxa"/>
            <w:vAlign w:val="bottom"/>
            <w:tcBorders>
              <w:bottom w:val="single" w:sz="8" w:color="CFF0FC"/>
            </w:tcBorders>
            <w:shd w:val="clear" w:color="auto" w:fill="CFF0FC"/>
          </w:tcPr>
          <w:p>
            <w:pPr>
              <w:ind w:left="780"/>
              <w:spacing w:after="0" w:line="183" w:lineRule="exact"/>
              <w:rPr>
                <w:sz w:val="20"/>
                <w:szCs w:val="20"/>
                <w:color w:val="auto"/>
              </w:rPr>
            </w:pPr>
            <w:r>
              <w:rPr>
                <w:rFonts w:ascii="Arial" w:cs="Arial" w:eastAsia="Arial" w:hAnsi="Arial"/>
                <w:sz w:val="17"/>
                <w:szCs w:val="17"/>
                <w:b w:val="1"/>
                <w:bCs w:val="1"/>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66,327</w:t>
            </w:r>
          </w:p>
        </w:tc>
        <w:tc>
          <w:tcPr>
            <w:tcW w:w="28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12,745</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980" w:type="dxa"/>
            <w:vAlign w:val="bottom"/>
          </w:tcPr>
          <w:p>
            <w:pPr>
              <w:ind w:left="780"/>
              <w:spacing w:after="0" w:line="183" w:lineRule="exact"/>
              <w:rPr>
                <w:sz w:val="20"/>
                <w:szCs w:val="20"/>
                <w:color w:val="auto"/>
              </w:rPr>
            </w:pPr>
            <w:r>
              <w:rPr>
                <w:rFonts w:ascii="Arial" w:cs="Arial" w:eastAsia="Arial" w:hAnsi="Arial"/>
                <w:sz w:val="17"/>
                <w:szCs w:val="17"/>
                <w:b w:val="1"/>
                <w:bCs w:val="1"/>
                <w:color w:val="auto"/>
              </w:rPr>
              <w:t>Total liabilities and stockholders’ equity</w:t>
            </w:r>
          </w:p>
        </w:tc>
        <w:tc>
          <w:tcPr>
            <w:tcW w:w="3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106,866</w:t>
            </w:r>
          </w:p>
        </w:tc>
        <w:tc>
          <w:tcPr>
            <w:tcW w:w="280" w:type="dxa"/>
            <w:vAlign w:val="bottom"/>
          </w:tcPr>
          <w:p>
            <w:pPr>
              <w:spacing w:after="0"/>
              <w:rPr>
                <w:sz w:val="15"/>
                <w:szCs w:val="15"/>
                <w:color w:val="auto"/>
              </w:rPr>
            </w:pPr>
          </w:p>
        </w:tc>
        <w:tc>
          <w:tcPr>
            <w:tcW w:w="48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41,201</w:t>
            </w:r>
          </w:p>
        </w:tc>
        <w:tc>
          <w:tcPr>
            <w:tcW w:w="120" w:type="dxa"/>
            <w:vAlign w:val="bottom"/>
          </w:tcPr>
          <w:p>
            <w:pPr>
              <w:spacing w:after="0"/>
              <w:rPr>
                <w:sz w:val="15"/>
                <w:szCs w:val="15"/>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-3342640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-3342640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-2348230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-2348230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-1610995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28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83"/>
        </w:trPr>
        <w:tc>
          <w:tcPr>
            <w:tcW w:w="72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Operating expenses:</w:t>
            </w:r>
          </w:p>
        </w:tc>
        <w:tc>
          <w:tcPr>
            <w:tcW w:w="4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280" w:type="dxa"/>
            <w:vAlign w:val="bottom"/>
          </w:tcPr>
          <w:p>
            <w:pPr>
              <w:ind w:left="280"/>
              <w:spacing w:after="0" w:line="189" w:lineRule="exact"/>
              <w:rPr>
                <w:sz w:val="20"/>
                <w:szCs w:val="20"/>
                <w:color w:val="auto"/>
              </w:rPr>
            </w:pPr>
            <w:r>
              <w:rPr>
                <w:rFonts w:ascii="Arial" w:cs="Arial" w:eastAsia="Arial" w:hAnsi="Arial"/>
                <w:sz w:val="17"/>
                <w:szCs w:val="17"/>
                <w:color w:val="auto"/>
              </w:rPr>
              <w:t>Research and development</w:t>
            </w:r>
          </w:p>
        </w:tc>
        <w:tc>
          <w:tcPr>
            <w:tcW w:w="400" w:type="dxa"/>
            <w:vAlign w:val="bottom"/>
          </w:tcPr>
          <w:p>
            <w:pPr>
              <w:jc w:val="right"/>
              <w:ind w:right="215"/>
              <w:spacing w:after="0" w:line="189"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19,314</w:t>
            </w:r>
          </w:p>
        </w:tc>
        <w:tc>
          <w:tcPr>
            <w:tcW w:w="320" w:type="dxa"/>
            <w:vAlign w:val="bottom"/>
          </w:tcPr>
          <w:p>
            <w:pPr>
              <w:spacing w:after="0"/>
              <w:rPr>
                <w:sz w:val="16"/>
                <w:szCs w:val="16"/>
                <w:color w:val="auto"/>
              </w:rPr>
            </w:pPr>
          </w:p>
        </w:tc>
        <w:tc>
          <w:tcPr>
            <w:tcW w:w="42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w:t>
            </w: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24,506</w:t>
            </w:r>
          </w:p>
        </w:tc>
        <w:tc>
          <w:tcPr>
            <w:tcW w:w="100" w:type="dxa"/>
            <w:vAlign w:val="bottom"/>
          </w:tcPr>
          <w:p>
            <w:pPr>
              <w:spacing w:after="0"/>
              <w:rPr>
                <w:sz w:val="16"/>
                <w:szCs w:val="16"/>
                <w:color w:val="auto"/>
              </w:rPr>
            </w:pPr>
          </w:p>
        </w:tc>
      </w:tr>
      <w:tr>
        <w:trPr>
          <w:trHeight w:val="189"/>
        </w:trPr>
        <w:tc>
          <w:tcPr>
            <w:tcW w:w="7280" w:type="dxa"/>
            <w:vAlign w:val="bottom"/>
            <w:tcBorders>
              <w:bottom w:val="single" w:sz="8" w:color="CFF0FC"/>
            </w:tcBorders>
            <w:shd w:val="clear" w:color="auto" w:fill="CFF0FC"/>
          </w:tcPr>
          <w:p>
            <w:pPr>
              <w:ind w:left="280"/>
              <w:spacing w:after="0" w:line="189" w:lineRule="exact"/>
              <w:rPr>
                <w:sz w:val="20"/>
                <w:szCs w:val="20"/>
                <w:color w:val="auto"/>
              </w:rPr>
            </w:pPr>
            <w:r>
              <w:rPr>
                <w:rFonts w:ascii="Arial" w:cs="Arial" w:eastAsia="Arial" w:hAnsi="Arial"/>
                <w:sz w:val="17"/>
                <w:szCs w:val="17"/>
                <w:color w:val="auto"/>
              </w:rPr>
              <w:t>General and administrative</w:t>
            </w:r>
          </w:p>
        </w:tc>
        <w:tc>
          <w:tcPr>
            <w:tcW w:w="4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14,057</w:t>
            </w:r>
          </w:p>
        </w:tc>
        <w:tc>
          <w:tcPr>
            <w:tcW w:w="3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13,885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280" w:type="dxa"/>
            <w:vAlign w:val="bottom"/>
          </w:tcPr>
          <w:p>
            <w:pPr>
              <w:ind w:left="780"/>
              <w:spacing w:after="0" w:line="183" w:lineRule="exact"/>
              <w:rPr>
                <w:sz w:val="20"/>
                <w:szCs w:val="20"/>
                <w:color w:val="auto"/>
              </w:rPr>
            </w:pPr>
            <w:r>
              <w:rPr>
                <w:rFonts w:ascii="Arial" w:cs="Arial" w:eastAsia="Arial" w:hAnsi="Arial"/>
                <w:sz w:val="17"/>
                <w:szCs w:val="17"/>
                <w:b w:val="1"/>
                <w:bCs w:val="1"/>
                <w:color w:val="auto"/>
              </w:rPr>
              <w:t>Total operating expenses</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33,371</w:t>
            </w: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38,391</w:t>
            </w:r>
          </w:p>
        </w:tc>
        <w:tc>
          <w:tcPr>
            <w:tcW w:w="100" w:type="dxa"/>
            <w:vAlign w:val="bottom"/>
          </w:tcPr>
          <w:p>
            <w:pPr>
              <w:spacing w:after="0"/>
              <w:rPr>
                <w:sz w:val="15"/>
                <w:szCs w:val="15"/>
                <w:color w:val="auto"/>
              </w:rPr>
            </w:pPr>
          </w:p>
        </w:tc>
      </w:tr>
      <w:tr>
        <w:trPr>
          <w:trHeight w:val="183"/>
        </w:trPr>
        <w:tc>
          <w:tcPr>
            <w:tcW w:w="7280" w:type="dxa"/>
            <w:vAlign w:val="bottom"/>
            <w:shd w:val="clear" w:color="auto" w:fill="CFF0FC"/>
          </w:tcPr>
          <w:p>
            <w:pPr>
              <w:ind w:left="780"/>
              <w:spacing w:after="0" w:line="183" w:lineRule="exact"/>
              <w:rPr>
                <w:sz w:val="20"/>
                <w:szCs w:val="20"/>
                <w:color w:val="auto"/>
              </w:rPr>
            </w:pPr>
            <w:r>
              <w:rPr>
                <w:rFonts w:ascii="Arial" w:cs="Arial" w:eastAsia="Arial" w:hAnsi="Arial"/>
                <w:sz w:val="17"/>
                <w:szCs w:val="17"/>
                <w:b w:val="1"/>
                <w:bCs w:val="1"/>
                <w:color w:val="auto"/>
              </w:rPr>
              <w:t>Loss from operations</w:t>
            </w:r>
          </w:p>
        </w:tc>
        <w:tc>
          <w:tcPr>
            <w:tcW w:w="4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7"/>
                <w:szCs w:val="17"/>
                <w:color w:val="auto"/>
              </w:rPr>
              <w:t>(33,371 )</w:t>
            </w:r>
          </w:p>
        </w:tc>
        <w:tc>
          <w:tcPr>
            <w:tcW w:w="4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7"/>
                <w:szCs w:val="17"/>
                <w:color w:val="auto"/>
              </w:rPr>
              <w:t>(38,391 )</w:t>
            </w:r>
          </w:p>
        </w:tc>
      </w:tr>
      <w:tr>
        <w:trPr>
          <w:trHeight w:val="183"/>
        </w:trPr>
        <w:tc>
          <w:tcPr>
            <w:tcW w:w="72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7"/>
                <w:szCs w:val="17"/>
                <w:b w:val="1"/>
                <w:bCs w:val="1"/>
                <w:color w:val="auto"/>
              </w:rPr>
              <w:t>Other income (expense):</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28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Interest income</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1,086</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2,081</w:t>
            </w:r>
          </w:p>
        </w:tc>
        <w:tc>
          <w:tcPr>
            <w:tcW w:w="100" w:type="dxa"/>
            <w:vAlign w:val="bottom"/>
            <w:shd w:val="clear" w:color="auto" w:fill="CFF0FC"/>
          </w:tcPr>
          <w:p>
            <w:pPr>
              <w:spacing w:after="0"/>
              <w:rPr>
                <w:sz w:val="16"/>
                <w:szCs w:val="16"/>
                <w:color w:val="auto"/>
              </w:rPr>
            </w:pPr>
          </w:p>
        </w:tc>
      </w:tr>
      <w:tr>
        <w:trPr>
          <w:trHeight w:val="189"/>
        </w:trPr>
        <w:tc>
          <w:tcPr>
            <w:tcW w:w="7280" w:type="dxa"/>
            <w:vAlign w:val="bottom"/>
          </w:tcPr>
          <w:p>
            <w:pPr>
              <w:ind w:left="520"/>
              <w:spacing w:after="0" w:line="189" w:lineRule="exact"/>
              <w:rPr>
                <w:sz w:val="20"/>
                <w:szCs w:val="20"/>
                <w:color w:val="auto"/>
              </w:rPr>
            </w:pPr>
            <w:r>
              <w:rPr>
                <w:rFonts w:ascii="Arial" w:cs="Arial" w:eastAsia="Arial" w:hAnsi="Arial"/>
                <w:sz w:val="17"/>
                <w:szCs w:val="17"/>
                <w:color w:val="auto"/>
              </w:rPr>
              <w:t>Interest expense</w:t>
            </w:r>
          </w:p>
        </w:tc>
        <w:tc>
          <w:tcPr>
            <w:tcW w:w="400" w:type="dxa"/>
            <w:vAlign w:val="bottom"/>
          </w:tcPr>
          <w:p>
            <w:pPr>
              <w:spacing w:after="0"/>
              <w:rPr>
                <w:sz w:val="16"/>
                <w:szCs w:val="16"/>
                <w:color w:val="auto"/>
              </w:rPr>
            </w:pPr>
          </w:p>
        </w:tc>
        <w:tc>
          <w:tcPr>
            <w:tcW w:w="16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(2,090 )</w:t>
            </w:r>
          </w:p>
        </w:tc>
        <w:tc>
          <w:tcPr>
            <w:tcW w:w="420" w:type="dxa"/>
            <w:vAlign w:val="bottom"/>
          </w:tcPr>
          <w:p>
            <w:pPr>
              <w:spacing w:after="0"/>
              <w:rPr>
                <w:sz w:val="16"/>
                <w:szCs w:val="16"/>
                <w:color w:val="auto"/>
              </w:rPr>
            </w:pPr>
          </w:p>
        </w:tc>
        <w:tc>
          <w:tcPr>
            <w:tcW w:w="14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(2,595 )</w:t>
            </w:r>
          </w:p>
        </w:tc>
      </w:tr>
      <w:tr>
        <w:trPr>
          <w:trHeight w:val="189"/>
        </w:trPr>
        <w:tc>
          <w:tcPr>
            <w:tcW w:w="728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Change in fair value of warrant liability</w:t>
            </w:r>
          </w:p>
        </w:tc>
        <w:tc>
          <w:tcPr>
            <w:tcW w:w="40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7"/>
                <w:szCs w:val="17"/>
                <w:color w:val="auto"/>
              </w:rPr>
              <w:t>(20,802 )</w:t>
            </w:r>
          </w:p>
        </w:tc>
        <w:tc>
          <w:tcPr>
            <w:tcW w:w="4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966</w:t>
            </w:r>
          </w:p>
        </w:tc>
        <w:tc>
          <w:tcPr>
            <w:tcW w:w="100" w:type="dxa"/>
            <w:vAlign w:val="bottom"/>
            <w:shd w:val="clear" w:color="auto" w:fill="CFF0FC"/>
          </w:tcPr>
          <w:p>
            <w:pPr>
              <w:spacing w:after="0"/>
              <w:rPr>
                <w:sz w:val="16"/>
                <w:szCs w:val="16"/>
                <w:color w:val="auto"/>
              </w:rPr>
            </w:pPr>
          </w:p>
        </w:tc>
      </w:tr>
      <w:tr>
        <w:trPr>
          <w:trHeight w:val="20"/>
        </w:trPr>
        <w:tc>
          <w:tcPr>
            <w:tcW w:w="7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280" w:type="dxa"/>
            <w:vAlign w:val="bottom"/>
          </w:tcPr>
          <w:p>
            <w:pPr>
              <w:ind w:left="780"/>
              <w:spacing w:after="0" w:line="183" w:lineRule="exact"/>
              <w:rPr>
                <w:sz w:val="20"/>
                <w:szCs w:val="20"/>
                <w:color w:val="auto"/>
              </w:rPr>
            </w:pPr>
            <w:r>
              <w:rPr>
                <w:rFonts w:ascii="Arial" w:cs="Arial" w:eastAsia="Arial" w:hAnsi="Arial"/>
                <w:sz w:val="17"/>
                <w:szCs w:val="17"/>
                <w:b w:val="1"/>
                <w:bCs w:val="1"/>
                <w:color w:val="auto"/>
              </w:rPr>
              <w:t>Total other income (expense), net</w:t>
            </w:r>
          </w:p>
        </w:tc>
        <w:tc>
          <w:tcPr>
            <w:tcW w:w="400" w:type="dxa"/>
            <w:vAlign w:val="bottom"/>
          </w:tcPr>
          <w:p>
            <w:pPr>
              <w:spacing w:after="0"/>
              <w:rPr>
                <w:sz w:val="15"/>
                <w:szCs w:val="15"/>
                <w:color w:val="auto"/>
              </w:rPr>
            </w:pPr>
          </w:p>
        </w:tc>
        <w:tc>
          <w:tcPr>
            <w:tcW w:w="1680" w:type="dxa"/>
            <w:vAlign w:val="bottom"/>
            <w:gridSpan w:val="2"/>
          </w:tcPr>
          <w:p>
            <w:pPr>
              <w:jc w:val="right"/>
              <w:ind w:right="240"/>
              <w:spacing w:after="0" w:line="183" w:lineRule="exact"/>
              <w:rPr>
                <w:sz w:val="20"/>
                <w:szCs w:val="20"/>
                <w:color w:val="auto"/>
              </w:rPr>
            </w:pPr>
            <w:r>
              <w:rPr>
                <w:rFonts w:ascii="Arial" w:cs="Arial" w:eastAsia="Arial" w:hAnsi="Arial"/>
                <w:sz w:val="17"/>
                <w:szCs w:val="17"/>
                <w:color w:val="auto"/>
              </w:rPr>
              <w:t>(21,806 )</w:t>
            </w:r>
          </w:p>
        </w:tc>
        <w:tc>
          <w:tcPr>
            <w:tcW w:w="42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7"/>
                <w:szCs w:val="17"/>
                <w:color w:val="auto"/>
              </w:rPr>
              <w:t>452</w:t>
            </w:r>
          </w:p>
        </w:tc>
        <w:tc>
          <w:tcPr>
            <w:tcW w:w="100" w:type="dxa"/>
            <w:vAlign w:val="bottom"/>
          </w:tcPr>
          <w:p>
            <w:pPr>
              <w:spacing w:after="0"/>
              <w:rPr>
                <w:sz w:val="15"/>
                <w:szCs w:val="15"/>
                <w:color w:val="auto"/>
              </w:rPr>
            </w:pPr>
          </w:p>
        </w:tc>
      </w:tr>
      <w:tr>
        <w:trPr>
          <w:trHeight w:val="20"/>
        </w:trPr>
        <w:tc>
          <w:tcPr>
            <w:tcW w:w="7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2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Net loss and comprehensive loss</w:t>
            </w:r>
          </w:p>
        </w:tc>
        <w:tc>
          <w:tcPr>
            <w:tcW w:w="400" w:type="dxa"/>
            <w:vAlign w:val="bottom"/>
            <w:shd w:val="clear" w:color="auto" w:fill="CFF0FC"/>
          </w:tcPr>
          <w:p>
            <w:pPr>
              <w:jc w:val="right"/>
              <w:ind w:right="215"/>
              <w:spacing w:after="0" w:line="183" w:lineRule="exact"/>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7"/>
                <w:szCs w:val="17"/>
                <w:color w:val="auto"/>
              </w:rPr>
              <w:t>(55,177 )</w:t>
            </w:r>
          </w:p>
        </w:tc>
        <w:tc>
          <w:tcPr>
            <w:tcW w:w="420" w:type="dxa"/>
            <w:vAlign w:val="bottom"/>
            <w:shd w:val="clear" w:color="auto" w:fill="CFF0FC"/>
          </w:tcPr>
          <w:p>
            <w:pPr>
              <w:jc w:val="right"/>
              <w:ind w:right="215"/>
              <w:spacing w:after="0" w:line="183"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7"/>
                <w:szCs w:val="17"/>
                <w:color w:val="auto"/>
              </w:rPr>
              <w:t>(37,939 )</w:t>
            </w:r>
          </w:p>
        </w:tc>
      </w:tr>
      <w:tr>
        <w:trPr>
          <w:trHeight w:val="20"/>
        </w:trPr>
        <w:tc>
          <w:tcPr>
            <w:tcW w:w="7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70"/>
        </w:trPr>
        <w:tc>
          <w:tcPr>
            <w:tcW w:w="7280" w:type="dxa"/>
            <w:vAlign w:val="bottom"/>
          </w:tcPr>
          <w:p>
            <w:pPr>
              <w:ind w:left="20"/>
              <w:spacing w:after="0" w:line="170" w:lineRule="exact"/>
              <w:rPr>
                <w:sz w:val="20"/>
                <w:szCs w:val="20"/>
                <w:color w:val="auto"/>
              </w:rPr>
            </w:pPr>
            <w:r>
              <w:rPr>
                <w:rFonts w:ascii="Arial" w:cs="Arial" w:eastAsia="Arial" w:hAnsi="Arial"/>
                <w:sz w:val="17"/>
                <w:szCs w:val="17"/>
                <w:b w:val="1"/>
                <w:bCs w:val="1"/>
                <w:color w:val="auto"/>
              </w:rPr>
              <w:t>Net loss per share, basic and diluted</w:t>
            </w:r>
          </w:p>
        </w:tc>
        <w:tc>
          <w:tcPr>
            <w:tcW w:w="400" w:type="dxa"/>
            <w:vAlign w:val="bottom"/>
          </w:tcPr>
          <w:p>
            <w:pPr>
              <w:jc w:val="right"/>
              <w:ind w:right="215"/>
              <w:spacing w:after="0" w:line="170" w:lineRule="exact"/>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240"/>
              <w:spacing w:after="0" w:line="170" w:lineRule="exact"/>
              <w:rPr>
                <w:sz w:val="20"/>
                <w:szCs w:val="20"/>
                <w:color w:val="auto"/>
              </w:rPr>
            </w:pPr>
            <w:r>
              <w:rPr>
                <w:rFonts w:ascii="Arial" w:cs="Arial" w:eastAsia="Arial" w:hAnsi="Arial"/>
                <w:sz w:val="17"/>
                <w:szCs w:val="17"/>
                <w:color w:val="auto"/>
              </w:rPr>
              <w:t>(1.74 )</w:t>
            </w:r>
          </w:p>
        </w:tc>
        <w:tc>
          <w:tcPr>
            <w:tcW w:w="420" w:type="dxa"/>
            <w:vAlign w:val="bottom"/>
          </w:tcPr>
          <w:p>
            <w:pPr>
              <w:jc w:val="right"/>
              <w:ind w:right="215"/>
              <w:spacing w:after="0" w:line="170" w:lineRule="exact"/>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40"/>
              <w:spacing w:after="0" w:line="170" w:lineRule="exact"/>
              <w:rPr>
                <w:sz w:val="20"/>
                <w:szCs w:val="20"/>
                <w:color w:val="auto"/>
              </w:rPr>
            </w:pPr>
            <w:r>
              <w:rPr>
                <w:rFonts w:ascii="Arial" w:cs="Arial" w:eastAsia="Arial" w:hAnsi="Arial"/>
                <w:sz w:val="17"/>
                <w:szCs w:val="17"/>
                <w:color w:val="auto"/>
              </w:rPr>
              <w:t>(1.31 )</w:t>
            </w:r>
          </w:p>
        </w:tc>
      </w:tr>
      <w:tr>
        <w:trPr>
          <w:trHeight w:val="20"/>
        </w:trPr>
        <w:tc>
          <w:tcPr>
            <w:tcW w:w="7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28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7"/>
                <w:szCs w:val="17"/>
                <w:b w:val="1"/>
                <w:bCs w:val="1"/>
                <w:color w:val="auto"/>
              </w:rPr>
              <w:t>Weighted-average common shares outstanding, basic and diluted</w:t>
            </w: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7"/>
                <w:szCs w:val="17"/>
                <w:color w:val="auto"/>
              </w:rPr>
              <w:t>31,675,076</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7"/>
                <w:szCs w:val="17"/>
                <w:color w:val="auto"/>
              </w:rPr>
              <w:t>28,935,289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7"/>
        </w:trPr>
        <w:tc>
          <w:tcPr>
            <w:tcW w:w="7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-1464945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-1207770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-719455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-462280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-445135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-153670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80" w:type="dxa"/>
            <w:vAlign w:val="bottom"/>
          </w:tcPr>
          <w:p>
            <w:pPr>
              <w:spacing w:after="0"/>
              <w:rPr>
                <w:sz w:val="14"/>
                <w:szCs w:val="14"/>
                <w:color w:val="auto"/>
              </w:rPr>
            </w:pPr>
          </w:p>
        </w:tc>
        <w:tc>
          <w:tcPr>
            <w:tcW w:w="2120" w:type="dxa"/>
            <w:vAlign w:val="bottom"/>
            <w:gridSpan w:val="4"/>
          </w:tcPr>
          <w:p>
            <w:pPr>
              <w:jc w:val="right"/>
              <w:ind w:right="41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2240" w:type="dxa"/>
            <w:vAlign w:val="bottom"/>
            <w:gridSpan w:val="5"/>
          </w:tcPr>
          <w:p>
            <w:pPr>
              <w:jc w:val="right"/>
              <w:ind w:right="533"/>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right"/>
              <w:ind w:right="313"/>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1"/>
                <w:szCs w:val="11"/>
                <w:color w:val="auto"/>
              </w:rPr>
            </w:pPr>
          </w:p>
        </w:tc>
        <w:tc>
          <w:tcPr>
            <w:tcW w:w="154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2"/>
                <w:szCs w:val="12"/>
                <w:color w:val="auto"/>
              </w:rPr>
            </w:pPr>
          </w:p>
        </w:tc>
        <w:tc>
          <w:tcPr>
            <w:tcW w:w="1160" w:type="dxa"/>
            <w:vAlign w:val="bottom"/>
            <w:gridSpan w:val="2"/>
            <w:vMerge w:val="restart"/>
          </w:tcPr>
          <w:p>
            <w:pPr>
              <w:jc w:val="right"/>
              <w:ind w:right="333"/>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93"/>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1480" w:type="dxa"/>
            <w:vAlign w:val="bottom"/>
            <w:gridSpan w:val="2"/>
          </w:tcPr>
          <w:p>
            <w:pPr>
              <w:jc w:val="right"/>
              <w:ind w:right="573"/>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7"/>
        </w:trPr>
        <w:tc>
          <w:tcPr>
            <w:tcW w:w="2080" w:type="dxa"/>
            <w:vAlign w:val="bottom"/>
            <w:shd w:val="clear" w:color="auto" w:fill="CFF0FC"/>
          </w:tcPr>
          <w:p>
            <w:pPr>
              <w:ind w:left="20"/>
              <w:spacing w:after="0" w:line="128"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4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2022</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29,042,418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w:t>
            </w:r>
          </w:p>
        </w:tc>
        <w:tc>
          <w:tcPr>
            <w:tcW w:w="1400" w:type="dxa"/>
            <w:vAlign w:val="bottom"/>
            <w:gridSpan w:val="3"/>
            <w:shd w:val="clear" w:color="auto" w:fill="CFF0FC"/>
          </w:tcPr>
          <w:p>
            <w:pPr>
              <w:jc w:val="right"/>
              <w:ind w:right="93"/>
              <w:spacing w:after="0"/>
              <w:rPr>
                <w:sz w:val="20"/>
                <w:szCs w:val="20"/>
                <w:color w:val="auto"/>
              </w:rPr>
            </w:pPr>
            <w:r>
              <w:rPr>
                <w:rFonts w:ascii="Arial" w:cs="Arial" w:eastAsia="Arial" w:hAnsi="Arial"/>
                <w:sz w:val="13"/>
                <w:szCs w:val="13"/>
                <w:color w:val="auto"/>
              </w:rPr>
              <w:t>(122,608 )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(448 )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146,961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(99,089 )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3,137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3,137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8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Restricted stock unit vesting, net</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of shares withheld for taxes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171,209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(121 )</w:t>
            </w: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(121 )</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Arial" w:cs="Arial" w:eastAsia="Arial" w:hAnsi="Arial"/>
                <w:sz w:val="13"/>
                <w:szCs w:val="13"/>
                <w:color w:val="auto"/>
              </w:rPr>
              <w:t>Change in fair value of</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140"/>
              <w:spacing w:after="0"/>
              <w:rPr>
                <w:sz w:val="20"/>
                <w:szCs w:val="20"/>
                <w:color w:val="auto"/>
              </w:rPr>
            </w:pPr>
            <w:r>
              <w:rPr>
                <w:rFonts w:ascii="Arial" w:cs="Arial" w:eastAsia="Arial" w:hAnsi="Arial"/>
                <w:sz w:val="13"/>
                <w:szCs w:val="13"/>
                <w:color w:val="auto"/>
              </w:rPr>
              <w:t>NC Ohio Trust Warrants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(46 )</w:t>
            </w:r>
          </w:p>
        </w:tc>
        <w:tc>
          <w:tcPr>
            <w:tcW w:w="120" w:type="dxa"/>
            <w:vAlign w:val="bottom"/>
          </w:tcPr>
          <w:p>
            <w:pPr>
              <w:spacing w:after="0"/>
              <w:rPr>
                <w:sz w:val="14"/>
                <w:szCs w:val="14"/>
                <w:color w:val="auto"/>
              </w:rPr>
            </w:pPr>
          </w:p>
        </w:tc>
        <w:tc>
          <w:tcPr>
            <w:tcW w:w="148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3"/>
                <w:szCs w:val="13"/>
                <w:color w:val="auto"/>
              </w:rPr>
              <w:t>(46 )</w:t>
            </w: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(37,939 )</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(37,939 )</w:t>
            </w:r>
          </w:p>
        </w:tc>
        <w:tc>
          <w:tcPr>
            <w:tcW w:w="0" w:type="dxa"/>
            <w:vAlign w:val="bottom"/>
          </w:tcPr>
          <w:p>
            <w:pPr>
              <w:spacing w:after="0"/>
              <w:rPr>
                <w:sz w:val="1"/>
                <w:szCs w:val="1"/>
                <w:color w:val="auto"/>
              </w:rPr>
            </w:pPr>
          </w:p>
        </w:tc>
      </w:tr>
      <w:tr>
        <w:trPr>
          <w:trHeight w:val="127"/>
        </w:trPr>
        <w:tc>
          <w:tcPr>
            <w:tcW w:w="2080" w:type="dxa"/>
            <w:vAlign w:val="bottom"/>
            <w:tcBorders>
              <w:top w:val="single" w:sz="8" w:color="CFF0FC"/>
            </w:tcBorders>
          </w:tcPr>
          <w:p>
            <w:pPr>
              <w:ind w:left="20"/>
              <w:spacing w:after="0" w:line="128"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29,213,627</w:t>
            </w: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290</w:t>
            </w:r>
          </w:p>
        </w:tc>
        <w:tc>
          <w:tcPr>
            <w:tcW w:w="240" w:type="dxa"/>
            <w:vAlign w:val="bottom"/>
            <w:tcBorders>
              <w:top w:val="single" w:sz="8" w:color="CFF0FC"/>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(122,608</w:t>
            </w:r>
          </w:p>
        </w:tc>
        <w:tc>
          <w:tcPr>
            <w:tcW w:w="220" w:type="dxa"/>
            <w:vAlign w:val="bottom"/>
            <w:tcBorders>
              <w:top w:val="single" w:sz="8" w:color="CFF0FC"/>
            </w:tcBorders>
            <w:vMerge w:val="restart"/>
          </w:tcPr>
          <w:p>
            <w:pPr>
              <w:jc w:val="right"/>
              <w:ind w:right="93"/>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(448</w:t>
            </w:r>
          </w:p>
        </w:tc>
        <w:tc>
          <w:tcPr>
            <w:tcW w:w="220" w:type="dxa"/>
            <w:vAlign w:val="bottom"/>
            <w:tcBorders>
              <w:top w:val="single" w:sz="8" w:color="CFF0FC"/>
            </w:tcBorders>
            <w:vMerge w:val="restart"/>
          </w:tcPr>
          <w:p>
            <w:pPr>
              <w:jc w:val="right"/>
              <w:ind w:right="93"/>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149,931</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(137,028</w:t>
            </w:r>
          </w:p>
        </w:tc>
        <w:tc>
          <w:tcPr>
            <w:tcW w:w="220" w:type="dxa"/>
            <w:vAlign w:val="bottom"/>
            <w:tcBorders>
              <w:top w:val="single" w:sz="8" w:color="CFF0FC"/>
            </w:tcBorders>
            <w:vMerge w:val="restart"/>
          </w:tcPr>
          <w:p>
            <w:pPr>
              <w:jc w:val="right"/>
              <w:ind w:right="93"/>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12,745</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line="116" w:lineRule="exact"/>
              <w:rPr>
                <w:sz w:val="20"/>
                <w:szCs w:val="20"/>
                <w:color w:val="auto"/>
              </w:rPr>
            </w:pPr>
            <w:r>
              <w:rPr>
                <w:rFonts w:ascii="Arial" w:cs="Arial" w:eastAsia="Arial" w:hAnsi="Arial"/>
                <w:sz w:val="13"/>
                <w:szCs w:val="13"/>
                <w:b w:val="1"/>
                <w:bCs w:val="1"/>
                <w:color w:val="auto"/>
              </w:rPr>
              <w:t>2023</w:t>
            </w:r>
          </w:p>
        </w:tc>
        <w:tc>
          <w:tcPr>
            <w:tcW w:w="104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FF0FC"/>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FF0FC"/>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FF0FC"/>
            </w:tcBorders>
            <w:vMerge w:val="continue"/>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14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8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Issuance of common stock and</w:t>
            </w: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accompanying pre-funded</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warrants</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in public offering, net of</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costs of $6.1 million</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85,808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85,928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Arial" w:cs="Arial" w:eastAsia="Arial" w:hAnsi="Arial"/>
                <w:sz w:val="13"/>
                <w:szCs w:val="13"/>
                <w:color w:val="auto"/>
              </w:rPr>
              <w:t>Sale of common stock through</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rPr>
                <w:sz w:val="20"/>
                <w:szCs w:val="20"/>
                <w:color w:val="auto"/>
              </w:rPr>
            </w:pPr>
            <w:r>
              <w:rPr>
                <w:rFonts w:ascii="Arial" w:cs="Arial" w:eastAsia="Arial" w:hAnsi="Arial"/>
                <w:sz w:val="13"/>
                <w:szCs w:val="13"/>
                <w:color w:val="auto"/>
              </w:rPr>
              <w:t>at-the-market offerings, net of</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140"/>
              <w:spacing w:after="0"/>
              <w:rPr>
                <w:sz w:val="20"/>
                <w:szCs w:val="20"/>
                <w:color w:val="auto"/>
              </w:rPr>
            </w:pPr>
            <w:r>
              <w:rPr>
                <w:rFonts w:ascii="Arial" w:cs="Arial" w:eastAsia="Arial" w:hAnsi="Arial"/>
                <w:sz w:val="13"/>
                <w:szCs w:val="13"/>
                <w:color w:val="auto"/>
              </w:rPr>
              <w:t>issuance costs of $0.5 million</w:t>
            </w:r>
          </w:p>
        </w:tc>
        <w:tc>
          <w:tcPr>
            <w:tcW w:w="1040" w:type="dxa"/>
            <w:vAlign w:val="bottom"/>
          </w:tcPr>
          <w:p>
            <w:pPr>
              <w:jc w:val="right"/>
              <w:spacing w:after="0"/>
              <w:rPr>
                <w:sz w:val="20"/>
                <w:szCs w:val="20"/>
                <w:color w:val="auto"/>
              </w:rPr>
            </w:pPr>
            <w:r>
              <w:rPr>
                <w:rFonts w:ascii="Arial" w:cs="Arial" w:eastAsia="Arial" w:hAnsi="Arial"/>
                <w:sz w:val="13"/>
                <w:szCs w:val="13"/>
                <w:color w:val="auto"/>
              </w:rPr>
              <w:t>2,936,057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w:t>
            </w:r>
          </w:p>
        </w:tc>
        <w:tc>
          <w:tcPr>
            <w:tcW w:w="240" w:type="dxa"/>
            <w:vAlign w:val="bottom"/>
          </w:tcPr>
          <w:p>
            <w:pPr>
              <w:spacing w:after="0"/>
              <w:rPr>
                <w:sz w:val="14"/>
                <w:szCs w:val="14"/>
                <w:color w:val="auto"/>
              </w:rPr>
            </w:pPr>
          </w:p>
        </w:tc>
        <w:tc>
          <w:tcPr>
            <w:tcW w:w="116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15,801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15,830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Options exercised</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846,943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4,170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4,170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unit vesting</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1,936,460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(21 )</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Arial" w:cs="Arial" w:eastAsia="Arial" w:hAnsi="Arial"/>
                <w:sz w:val="13"/>
                <w:szCs w:val="13"/>
                <w:color w:val="auto"/>
              </w:rPr>
              <w:t>Change in fair value of</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140"/>
              <w:spacing w:after="0"/>
              <w:rPr>
                <w:sz w:val="20"/>
                <w:szCs w:val="20"/>
                <w:color w:val="auto"/>
              </w:rPr>
            </w:pPr>
            <w:r>
              <w:rPr>
                <w:rFonts w:ascii="Arial" w:cs="Arial" w:eastAsia="Arial" w:hAnsi="Arial"/>
                <w:sz w:val="13"/>
                <w:szCs w:val="13"/>
                <w:color w:val="auto"/>
              </w:rPr>
              <w:t>NC Ohio Trust Warrants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1,142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(55,177 )</w:t>
            </w:r>
          </w:p>
        </w:tc>
        <w:tc>
          <w:tcPr>
            <w:tcW w:w="14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(55,177 )</w:t>
            </w:r>
          </w:p>
        </w:tc>
        <w:tc>
          <w:tcPr>
            <w:tcW w:w="0" w:type="dxa"/>
            <w:vAlign w:val="bottom"/>
          </w:tcPr>
          <w:p>
            <w:pPr>
              <w:spacing w:after="0"/>
              <w:rPr>
                <w:sz w:val="1"/>
                <w:szCs w:val="1"/>
                <w:color w:val="auto"/>
              </w:rPr>
            </w:pPr>
          </w:p>
        </w:tc>
      </w:tr>
      <w:tr>
        <w:trPr>
          <w:trHeight w:val="127"/>
        </w:trPr>
        <w:tc>
          <w:tcPr>
            <w:tcW w:w="2080" w:type="dxa"/>
            <w:vAlign w:val="bottom"/>
            <w:tcBorders>
              <w:top w:val="single" w:sz="8" w:color="CFF0FC"/>
            </w:tcBorders>
          </w:tcPr>
          <w:p>
            <w:pPr>
              <w:ind w:left="20"/>
              <w:spacing w:after="0" w:line="128"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46,933,088</w:t>
            </w: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469</w:t>
            </w:r>
          </w:p>
        </w:tc>
        <w:tc>
          <w:tcPr>
            <w:tcW w:w="240" w:type="dxa"/>
            <w:vAlign w:val="bottom"/>
            <w:tcBorders>
              <w:top w:val="single" w:sz="8" w:color="CFF0FC"/>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(122,608</w:t>
            </w:r>
          </w:p>
        </w:tc>
        <w:tc>
          <w:tcPr>
            <w:tcW w:w="220" w:type="dxa"/>
            <w:vAlign w:val="bottom"/>
            <w:tcBorders>
              <w:top w:val="single" w:sz="8" w:color="CFF0FC"/>
            </w:tcBorders>
            <w:vMerge w:val="restart"/>
          </w:tcPr>
          <w:p>
            <w:pPr>
              <w:jc w:val="right"/>
              <w:ind w:right="93"/>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(448</w:t>
            </w:r>
          </w:p>
        </w:tc>
        <w:tc>
          <w:tcPr>
            <w:tcW w:w="220" w:type="dxa"/>
            <w:vAlign w:val="bottom"/>
            <w:tcBorders>
              <w:top w:val="single" w:sz="8" w:color="CFF0FC"/>
            </w:tcBorders>
            <w:vMerge w:val="restart"/>
          </w:tcPr>
          <w:p>
            <w:pPr>
              <w:jc w:val="right"/>
              <w:ind w:right="93"/>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258,511</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(192,205</w:t>
            </w:r>
          </w:p>
        </w:tc>
        <w:tc>
          <w:tcPr>
            <w:tcW w:w="220" w:type="dxa"/>
            <w:vAlign w:val="bottom"/>
            <w:tcBorders>
              <w:top w:val="single" w:sz="8" w:color="CFF0FC"/>
            </w:tcBorders>
            <w:vMerge w:val="restart"/>
          </w:tcPr>
          <w:p>
            <w:pPr>
              <w:jc w:val="right"/>
              <w:ind w:right="93"/>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66,327</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line="116" w:lineRule="exact"/>
              <w:rPr>
                <w:sz w:val="20"/>
                <w:szCs w:val="20"/>
                <w:color w:val="auto"/>
              </w:rPr>
            </w:pPr>
            <w:r>
              <w:rPr>
                <w:rFonts w:ascii="Arial" w:cs="Arial" w:eastAsia="Arial" w:hAnsi="Arial"/>
                <w:sz w:val="13"/>
                <w:szCs w:val="13"/>
                <w:b w:val="1"/>
                <w:bCs w:val="1"/>
                <w:color w:val="auto"/>
              </w:rPr>
              <w:t>2024</w:t>
            </w:r>
          </w:p>
        </w:tc>
        <w:tc>
          <w:tcPr>
            <w:tcW w:w="104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FF0FC"/>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FF0FC"/>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FF0FC"/>
            </w:tcBorders>
            <w:vMerge w:val="continue"/>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14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-1885315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-1885315</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-1885315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-1885315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-1885315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-1885315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-273685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-273685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-273685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-273685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-273685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-273685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0" w:name="page131"/>
    <w:bookmarkEnd w:id="130"/>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680" w:type="dxa"/>
            <w:vAlign w:val="bottom"/>
          </w:tcPr>
          <w:p>
            <w:pPr>
              <w:ind w:left="280"/>
              <w:spacing w:after="0" w:line="189" w:lineRule="exact"/>
              <w:rPr>
                <w:sz w:val="20"/>
                <w:szCs w:val="20"/>
                <w:color w:val="auto"/>
              </w:rPr>
            </w:pPr>
            <w:r>
              <w:rPr>
                <w:rFonts w:ascii="Arial" w:cs="Arial" w:eastAsia="Arial" w:hAnsi="Arial"/>
                <w:sz w:val="17"/>
                <w:szCs w:val="17"/>
                <w:color w:val="auto"/>
              </w:rPr>
              <w:t>Net loss</w:t>
            </w:r>
          </w:p>
        </w:tc>
        <w:tc>
          <w:tcPr>
            <w:tcW w:w="3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right"/>
              <w:ind w:right="240"/>
              <w:spacing w:after="0" w:line="189" w:lineRule="exact"/>
              <w:rPr>
                <w:sz w:val="20"/>
                <w:szCs w:val="20"/>
                <w:color w:val="auto"/>
              </w:rPr>
            </w:pPr>
            <w:r>
              <w:rPr>
                <w:rFonts w:ascii="Arial" w:cs="Arial" w:eastAsia="Arial" w:hAnsi="Arial"/>
                <w:sz w:val="17"/>
                <w:szCs w:val="17"/>
                <w:b w:val="1"/>
                <w:bCs w:val="1"/>
                <w:color w:val="auto"/>
              </w:rPr>
              <w:t>(55,177 )</w:t>
            </w:r>
          </w:p>
        </w:tc>
        <w:tc>
          <w:tcPr>
            <w:tcW w:w="500" w:type="dxa"/>
            <w:vAlign w:val="bottom"/>
          </w:tcPr>
          <w:p>
            <w:pPr>
              <w:jc w:val="right"/>
              <w:ind w:right="315"/>
              <w:spacing w:after="0" w:line="189" w:lineRule="exact"/>
              <w:rPr>
                <w:sz w:val="20"/>
                <w:szCs w:val="20"/>
                <w:color w:val="auto"/>
              </w:rPr>
            </w:pPr>
            <w:r>
              <w:rPr>
                <w:rFonts w:ascii="Arial" w:cs="Arial" w:eastAsia="Arial" w:hAnsi="Arial"/>
                <w:sz w:val="17"/>
                <w:szCs w:val="17"/>
                <w:b w:val="1"/>
                <w:bCs w:val="1"/>
                <w:color w:val="auto"/>
                <w:w w:val="84"/>
              </w:rPr>
              <w:t>$</w:t>
            </w:r>
          </w:p>
        </w:tc>
        <w:tc>
          <w:tcPr>
            <w:tcW w:w="1180" w:type="dxa"/>
            <w:vAlign w:val="bottom"/>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(37,939 )</w:t>
            </w:r>
          </w:p>
        </w:tc>
      </w:tr>
      <w:tr>
        <w:trPr>
          <w:trHeight w:val="189"/>
        </w:trPr>
        <w:tc>
          <w:tcPr>
            <w:tcW w:w="768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680" w:type="dxa"/>
            <w:vAlign w:val="bottom"/>
          </w:tcPr>
          <w:p>
            <w:pPr>
              <w:ind w:left="780"/>
              <w:spacing w:after="0" w:line="189" w:lineRule="exact"/>
              <w:rPr>
                <w:sz w:val="20"/>
                <w:szCs w:val="20"/>
                <w:color w:val="auto"/>
              </w:rPr>
            </w:pPr>
            <w:r>
              <w:rPr>
                <w:rFonts w:ascii="Arial" w:cs="Arial" w:eastAsia="Arial" w:hAnsi="Arial"/>
                <w:sz w:val="17"/>
                <w:szCs w:val="17"/>
                <w:color w:val="auto"/>
              </w:rPr>
              <w:t>Depreciation expense</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990</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960</w:t>
            </w:r>
          </w:p>
        </w:tc>
        <w:tc>
          <w:tcPr>
            <w:tcW w:w="120" w:type="dxa"/>
            <w:vAlign w:val="bottom"/>
          </w:tcPr>
          <w:p>
            <w:pPr>
              <w:spacing w:after="0"/>
              <w:rPr>
                <w:sz w:val="16"/>
                <w:szCs w:val="16"/>
                <w:color w:val="auto"/>
              </w:rPr>
            </w:pPr>
          </w:p>
        </w:tc>
      </w:tr>
      <w:tr>
        <w:trPr>
          <w:trHeight w:val="189"/>
        </w:trPr>
        <w:tc>
          <w:tcPr>
            <w:tcW w:w="7680" w:type="dxa"/>
            <w:vAlign w:val="bottom"/>
            <w:shd w:val="clear" w:color="auto" w:fill="CFF0FC"/>
          </w:tcPr>
          <w:p>
            <w:pPr>
              <w:ind w:left="780"/>
              <w:spacing w:after="0" w:line="189" w:lineRule="exact"/>
              <w:rPr>
                <w:sz w:val="20"/>
                <w:szCs w:val="20"/>
                <w:color w:val="auto"/>
              </w:rPr>
            </w:pPr>
            <w:r>
              <w:rPr>
                <w:rFonts w:ascii="Arial" w:cs="Arial" w:eastAsia="Arial" w:hAnsi="Arial"/>
                <w:sz w:val="17"/>
                <w:szCs w:val="17"/>
                <w:color w:val="auto"/>
              </w:rPr>
              <w:t>Impairment of fixed assets</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41</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390</w:t>
            </w:r>
          </w:p>
        </w:tc>
        <w:tc>
          <w:tcPr>
            <w:tcW w:w="120" w:type="dxa"/>
            <w:vAlign w:val="bottom"/>
            <w:shd w:val="clear" w:color="auto" w:fill="CFF0FC"/>
          </w:tcPr>
          <w:p>
            <w:pPr>
              <w:spacing w:after="0"/>
              <w:rPr>
                <w:sz w:val="16"/>
                <w:szCs w:val="16"/>
                <w:color w:val="auto"/>
              </w:rPr>
            </w:pPr>
          </w:p>
        </w:tc>
      </w:tr>
      <w:tr>
        <w:trPr>
          <w:trHeight w:val="189"/>
        </w:trPr>
        <w:tc>
          <w:tcPr>
            <w:tcW w:w="7680" w:type="dxa"/>
            <w:vAlign w:val="bottom"/>
          </w:tcPr>
          <w:p>
            <w:pPr>
              <w:ind w:left="780"/>
              <w:spacing w:after="0" w:line="189" w:lineRule="exact"/>
              <w:rPr>
                <w:sz w:val="20"/>
                <w:szCs w:val="20"/>
                <w:color w:val="auto"/>
              </w:rPr>
            </w:pPr>
            <w:r>
              <w:rPr>
                <w:rFonts w:ascii="Arial" w:cs="Arial" w:eastAsia="Arial" w:hAnsi="Arial"/>
                <w:sz w:val="17"/>
                <w:szCs w:val="17"/>
                <w:color w:val="auto"/>
              </w:rPr>
              <w:t>Loss on the sale of fixed assets</w:t>
            </w:r>
          </w:p>
        </w:tc>
        <w:tc>
          <w:tcPr>
            <w:tcW w:w="380" w:type="dxa"/>
            <w:vAlign w:val="bottom"/>
          </w:tcPr>
          <w:p>
            <w:pPr>
              <w:spacing w:after="0"/>
              <w:rPr>
                <w:sz w:val="16"/>
                <w:szCs w:val="16"/>
                <w:color w:val="auto"/>
              </w:rPr>
            </w:pPr>
          </w:p>
        </w:tc>
        <w:tc>
          <w:tcPr>
            <w:tcW w:w="15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c>
          <w:tcPr>
            <w:tcW w:w="120" w:type="dxa"/>
            <w:vAlign w:val="bottom"/>
          </w:tcPr>
          <w:p>
            <w:pPr>
              <w:spacing w:after="0"/>
              <w:rPr>
                <w:sz w:val="16"/>
                <w:szCs w:val="16"/>
                <w:color w:val="auto"/>
              </w:rPr>
            </w:pPr>
          </w:p>
        </w:tc>
      </w:tr>
      <w:tr>
        <w:trPr>
          <w:trHeight w:val="189"/>
        </w:trPr>
        <w:tc>
          <w:tcPr>
            <w:tcW w:w="7680" w:type="dxa"/>
            <w:vAlign w:val="bottom"/>
            <w:shd w:val="clear" w:color="auto" w:fill="CFF0FC"/>
          </w:tcPr>
          <w:p>
            <w:pPr>
              <w:ind w:left="780"/>
              <w:spacing w:after="0" w:line="189" w:lineRule="exact"/>
              <w:rPr>
                <w:sz w:val="20"/>
                <w:szCs w:val="20"/>
                <w:color w:val="auto"/>
              </w:rPr>
            </w:pPr>
            <w:r>
              <w:rPr>
                <w:rFonts w:ascii="Arial" w:cs="Arial" w:eastAsia="Arial" w:hAnsi="Arial"/>
                <w:sz w:val="17"/>
                <w:szCs w:val="17"/>
                <w:color w:val="auto"/>
              </w:rPr>
              <w:t>Non-cash stock compensation expense</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5,312</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3,091</w:t>
            </w:r>
          </w:p>
        </w:tc>
        <w:tc>
          <w:tcPr>
            <w:tcW w:w="120" w:type="dxa"/>
            <w:vAlign w:val="bottom"/>
            <w:shd w:val="clear" w:color="auto" w:fill="CFF0FC"/>
          </w:tcPr>
          <w:p>
            <w:pPr>
              <w:spacing w:after="0"/>
              <w:rPr>
                <w:sz w:val="16"/>
                <w:szCs w:val="16"/>
                <w:color w:val="auto"/>
              </w:rPr>
            </w:pPr>
          </w:p>
        </w:tc>
      </w:tr>
      <w:tr>
        <w:trPr>
          <w:trHeight w:val="189"/>
        </w:trPr>
        <w:tc>
          <w:tcPr>
            <w:tcW w:w="7680" w:type="dxa"/>
            <w:vAlign w:val="bottom"/>
          </w:tcPr>
          <w:p>
            <w:pPr>
              <w:ind w:left="780"/>
              <w:spacing w:after="0" w:line="189" w:lineRule="exact"/>
              <w:rPr>
                <w:sz w:val="20"/>
                <w:szCs w:val="20"/>
                <w:color w:val="auto"/>
              </w:rPr>
            </w:pPr>
            <w:r>
              <w:rPr>
                <w:rFonts w:ascii="Arial" w:cs="Arial" w:eastAsia="Arial" w:hAnsi="Arial"/>
                <w:sz w:val="17"/>
                <w:szCs w:val="17"/>
                <w:color w:val="auto"/>
              </w:rPr>
              <w:t>Non-cash lease expense</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274</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240</w:t>
            </w:r>
          </w:p>
        </w:tc>
        <w:tc>
          <w:tcPr>
            <w:tcW w:w="120" w:type="dxa"/>
            <w:vAlign w:val="bottom"/>
          </w:tcPr>
          <w:p>
            <w:pPr>
              <w:spacing w:after="0"/>
              <w:rPr>
                <w:sz w:val="16"/>
                <w:szCs w:val="16"/>
                <w:color w:val="auto"/>
              </w:rPr>
            </w:pPr>
          </w:p>
        </w:tc>
      </w:tr>
      <w:tr>
        <w:trPr>
          <w:trHeight w:val="189"/>
        </w:trPr>
        <w:tc>
          <w:tcPr>
            <w:tcW w:w="7680" w:type="dxa"/>
            <w:vAlign w:val="bottom"/>
            <w:shd w:val="clear" w:color="auto" w:fill="CFF0FC"/>
          </w:tcPr>
          <w:p>
            <w:pPr>
              <w:ind w:left="780"/>
              <w:spacing w:after="0" w:line="189" w:lineRule="exact"/>
              <w:rPr>
                <w:sz w:val="20"/>
                <w:szCs w:val="20"/>
                <w:color w:val="auto"/>
              </w:rPr>
            </w:pPr>
            <w:r>
              <w:rPr>
                <w:rFonts w:ascii="Arial" w:cs="Arial" w:eastAsia="Arial" w:hAnsi="Arial"/>
                <w:sz w:val="17"/>
                <w:szCs w:val="17"/>
                <w:color w:val="auto"/>
              </w:rPr>
              <w:t>Non-cash interest expense</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119</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103</w:t>
            </w:r>
          </w:p>
        </w:tc>
        <w:tc>
          <w:tcPr>
            <w:tcW w:w="120" w:type="dxa"/>
            <w:vAlign w:val="bottom"/>
            <w:shd w:val="clear" w:color="auto" w:fill="CFF0FC"/>
          </w:tcPr>
          <w:p>
            <w:pPr>
              <w:spacing w:after="0"/>
              <w:rPr>
                <w:sz w:val="16"/>
                <w:szCs w:val="16"/>
                <w:color w:val="auto"/>
              </w:rPr>
            </w:pPr>
          </w:p>
        </w:tc>
      </w:tr>
      <w:tr>
        <w:trPr>
          <w:trHeight w:val="189"/>
        </w:trPr>
        <w:tc>
          <w:tcPr>
            <w:tcW w:w="7680" w:type="dxa"/>
            <w:vAlign w:val="bottom"/>
          </w:tcPr>
          <w:p>
            <w:pPr>
              <w:ind w:left="780"/>
              <w:spacing w:after="0" w:line="189" w:lineRule="exact"/>
              <w:rPr>
                <w:sz w:val="20"/>
                <w:szCs w:val="20"/>
                <w:color w:val="auto"/>
              </w:rPr>
            </w:pPr>
            <w:r>
              <w:rPr>
                <w:rFonts w:ascii="Arial" w:cs="Arial" w:eastAsia="Arial" w:hAnsi="Arial"/>
                <w:sz w:val="17"/>
                <w:szCs w:val="17"/>
                <w:color w:val="auto"/>
              </w:rPr>
              <w:t>Change in fair value of warrant liability</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20,802</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(966 )</w:t>
            </w:r>
          </w:p>
        </w:tc>
      </w:tr>
      <w:tr>
        <w:trPr>
          <w:trHeight w:val="189"/>
        </w:trPr>
        <w:tc>
          <w:tcPr>
            <w:tcW w:w="7680" w:type="dxa"/>
            <w:vAlign w:val="bottom"/>
            <w:shd w:val="clear" w:color="auto" w:fill="CFF0FC"/>
          </w:tcPr>
          <w:p>
            <w:pPr>
              <w:ind w:left="780"/>
              <w:spacing w:after="0" w:line="189" w:lineRule="exact"/>
              <w:rPr>
                <w:sz w:val="20"/>
                <w:szCs w:val="20"/>
                <w:color w:val="auto"/>
              </w:rPr>
            </w:pPr>
            <w:r>
              <w:rPr>
                <w:rFonts w:ascii="Arial" w:cs="Arial" w:eastAsia="Arial" w:hAnsi="Arial"/>
                <w:sz w:val="17"/>
                <w:szCs w:val="17"/>
                <w:color w:val="auto"/>
              </w:rPr>
              <w:t>Accretion of debt discount</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270</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323</w:t>
            </w:r>
          </w:p>
        </w:tc>
        <w:tc>
          <w:tcPr>
            <w:tcW w:w="120" w:type="dxa"/>
            <w:vAlign w:val="bottom"/>
            <w:shd w:val="clear" w:color="auto" w:fill="CFF0FC"/>
          </w:tcPr>
          <w:p>
            <w:pPr>
              <w:spacing w:after="0"/>
              <w:rPr>
                <w:sz w:val="16"/>
                <w:szCs w:val="16"/>
                <w:color w:val="auto"/>
              </w:rPr>
            </w:pPr>
          </w:p>
        </w:tc>
      </w:tr>
      <w:tr>
        <w:trPr>
          <w:trHeight w:val="189"/>
        </w:trPr>
        <w:tc>
          <w:tcPr>
            <w:tcW w:w="7680" w:type="dxa"/>
            <w:vAlign w:val="bottom"/>
          </w:tcPr>
          <w:p>
            <w:pPr>
              <w:ind w:left="52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680" w:type="dxa"/>
            <w:vAlign w:val="bottom"/>
            <w:shd w:val="clear" w:color="auto" w:fill="CFF0FC"/>
          </w:tcPr>
          <w:p>
            <w:pPr>
              <w:ind w:left="78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234</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503</w:t>
            </w:r>
          </w:p>
        </w:tc>
        <w:tc>
          <w:tcPr>
            <w:tcW w:w="120" w:type="dxa"/>
            <w:vAlign w:val="bottom"/>
            <w:shd w:val="clear" w:color="auto" w:fill="CFF0FC"/>
          </w:tcPr>
          <w:p>
            <w:pPr>
              <w:spacing w:after="0"/>
              <w:rPr>
                <w:sz w:val="16"/>
                <w:szCs w:val="16"/>
                <w:color w:val="auto"/>
              </w:rPr>
            </w:pPr>
          </w:p>
        </w:tc>
      </w:tr>
      <w:tr>
        <w:trPr>
          <w:trHeight w:val="189"/>
        </w:trPr>
        <w:tc>
          <w:tcPr>
            <w:tcW w:w="7680" w:type="dxa"/>
            <w:vAlign w:val="bottom"/>
          </w:tcPr>
          <w:p>
            <w:pPr>
              <w:ind w:left="780"/>
              <w:spacing w:after="0" w:line="189" w:lineRule="exact"/>
              <w:rPr>
                <w:sz w:val="20"/>
                <w:szCs w:val="20"/>
                <w:color w:val="auto"/>
              </w:rPr>
            </w:pPr>
            <w:r>
              <w:rPr>
                <w:rFonts w:ascii="Arial" w:cs="Arial" w:eastAsia="Arial" w:hAnsi="Arial"/>
                <w:sz w:val="17"/>
                <w:szCs w:val="17"/>
                <w:color w:val="auto"/>
              </w:rPr>
              <w:t>Other assets</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53</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(116 )</w:t>
            </w:r>
          </w:p>
        </w:tc>
      </w:tr>
      <w:tr>
        <w:trPr>
          <w:trHeight w:val="189"/>
        </w:trPr>
        <w:tc>
          <w:tcPr>
            <w:tcW w:w="7680" w:type="dxa"/>
            <w:vAlign w:val="bottom"/>
            <w:shd w:val="clear" w:color="auto" w:fill="CFF0FC"/>
          </w:tcPr>
          <w:p>
            <w:pPr>
              <w:ind w:left="780"/>
              <w:spacing w:after="0" w:line="189" w:lineRule="exact"/>
              <w:rPr>
                <w:sz w:val="20"/>
                <w:szCs w:val="20"/>
                <w:color w:val="auto"/>
              </w:rPr>
            </w:pPr>
            <w:r>
              <w:rPr>
                <w:rFonts w:ascii="Arial" w:cs="Arial" w:eastAsia="Arial" w:hAnsi="Arial"/>
                <w:sz w:val="17"/>
                <w:szCs w:val="17"/>
                <w:color w:val="auto"/>
              </w:rPr>
              <w:t>Accounts payable</w:t>
            </w:r>
          </w:p>
        </w:tc>
        <w:tc>
          <w:tcPr>
            <w:tcW w:w="3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7"/>
                <w:szCs w:val="17"/>
                <w:color w:val="auto"/>
              </w:rPr>
              <w:t>(185 )</w:t>
            </w: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45</w:t>
            </w:r>
          </w:p>
        </w:tc>
        <w:tc>
          <w:tcPr>
            <w:tcW w:w="120" w:type="dxa"/>
            <w:vAlign w:val="bottom"/>
            <w:shd w:val="clear" w:color="auto" w:fill="CFF0FC"/>
          </w:tcPr>
          <w:p>
            <w:pPr>
              <w:spacing w:after="0"/>
              <w:rPr>
                <w:sz w:val="16"/>
                <w:szCs w:val="16"/>
                <w:color w:val="auto"/>
              </w:rPr>
            </w:pPr>
          </w:p>
        </w:tc>
      </w:tr>
      <w:tr>
        <w:trPr>
          <w:trHeight w:val="189"/>
        </w:trPr>
        <w:tc>
          <w:tcPr>
            <w:tcW w:w="7680" w:type="dxa"/>
            <w:vAlign w:val="bottom"/>
          </w:tcPr>
          <w:p>
            <w:pPr>
              <w:ind w:left="780"/>
              <w:spacing w:after="0" w:line="189" w:lineRule="exact"/>
              <w:rPr>
                <w:sz w:val="20"/>
                <w:szCs w:val="20"/>
                <w:color w:val="auto"/>
              </w:rPr>
            </w:pPr>
            <w:r>
              <w:rPr>
                <w:rFonts w:ascii="Arial" w:cs="Arial" w:eastAsia="Arial" w:hAnsi="Arial"/>
                <w:sz w:val="17"/>
                <w:szCs w:val="17"/>
                <w:color w:val="auto"/>
              </w:rPr>
              <w:t>Accrued expenses</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757</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(301 )</w:t>
            </w:r>
          </w:p>
        </w:tc>
      </w:tr>
      <w:tr>
        <w:trPr>
          <w:trHeight w:val="189"/>
        </w:trPr>
        <w:tc>
          <w:tcPr>
            <w:tcW w:w="7680" w:type="dxa"/>
            <w:vAlign w:val="bottom"/>
            <w:shd w:val="clear" w:color="auto" w:fill="CFF0FC"/>
          </w:tcPr>
          <w:p>
            <w:pPr>
              <w:ind w:left="780"/>
              <w:spacing w:after="0" w:line="189" w:lineRule="exact"/>
              <w:rPr>
                <w:sz w:val="20"/>
                <w:szCs w:val="20"/>
                <w:color w:val="auto"/>
              </w:rPr>
            </w:pPr>
            <w:r>
              <w:rPr>
                <w:rFonts w:ascii="Arial" w:cs="Arial" w:eastAsia="Arial" w:hAnsi="Arial"/>
                <w:sz w:val="17"/>
                <w:szCs w:val="17"/>
                <w:color w:val="auto"/>
              </w:rPr>
              <w:t>Deferred income</w:t>
            </w:r>
          </w:p>
        </w:tc>
        <w:tc>
          <w:tcPr>
            <w:tcW w:w="3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(192 )</w:t>
            </w:r>
          </w:p>
        </w:tc>
      </w:tr>
      <w:tr>
        <w:trPr>
          <w:trHeight w:val="189"/>
        </w:trPr>
        <w:tc>
          <w:tcPr>
            <w:tcW w:w="7680" w:type="dxa"/>
            <w:vAlign w:val="bottom"/>
          </w:tcPr>
          <w:p>
            <w:pPr>
              <w:ind w:left="780"/>
              <w:spacing w:after="0" w:line="189" w:lineRule="exact"/>
              <w:rPr>
                <w:sz w:val="20"/>
                <w:szCs w:val="20"/>
                <w:color w:val="auto"/>
              </w:rPr>
            </w:pPr>
            <w:r>
              <w:rPr>
                <w:rFonts w:ascii="Arial" w:cs="Arial" w:eastAsia="Arial" w:hAnsi="Arial"/>
                <w:sz w:val="17"/>
                <w:szCs w:val="17"/>
                <w:color w:val="auto"/>
              </w:rPr>
              <w:t>Lease liability</w:t>
            </w:r>
          </w:p>
        </w:tc>
        <w:tc>
          <w:tcPr>
            <w:tcW w:w="380" w:type="dxa"/>
            <w:vAlign w:val="bottom"/>
          </w:tcPr>
          <w:p>
            <w:pPr>
              <w:spacing w:after="0"/>
              <w:rPr>
                <w:sz w:val="16"/>
                <w:szCs w:val="16"/>
                <w:color w:val="auto"/>
              </w:rPr>
            </w:pPr>
          </w:p>
        </w:tc>
        <w:tc>
          <w:tcPr>
            <w:tcW w:w="15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(513 )</w:t>
            </w:r>
          </w:p>
        </w:tc>
        <w:tc>
          <w:tcPr>
            <w:tcW w:w="500" w:type="dxa"/>
            <w:vAlign w:val="bottom"/>
          </w:tcPr>
          <w:p>
            <w:pPr>
              <w:spacing w:after="0"/>
              <w:rPr>
                <w:sz w:val="16"/>
                <w:szCs w:val="16"/>
                <w:color w:val="auto"/>
              </w:rPr>
            </w:pPr>
          </w:p>
        </w:tc>
        <w:tc>
          <w:tcPr>
            <w:tcW w:w="11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(464 )</w:t>
            </w:r>
          </w:p>
        </w:tc>
      </w:tr>
      <w:tr>
        <w:trPr>
          <w:trHeight w:val="20"/>
        </w:trPr>
        <w:tc>
          <w:tcPr>
            <w:tcW w:w="7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Net cash used in operating activities</w:t>
            </w:r>
          </w:p>
        </w:tc>
        <w:tc>
          <w:tcPr>
            <w:tcW w:w="3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7"/>
                <w:szCs w:val="17"/>
                <w:b w:val="1"/>
                <w:bCs w:val="1"/>
                <w:color w:val="auto"/>
              </w:rPr>
              <w:t>(27,023 )</w:t>
            </w:r>
          </w:p>
        </w:tc>
        <w:tc>
          <w:tcPr>
            <w:tcW w:w="5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b w:val="1"/>
                <w:bCs w:val="1"/>
                <w:color w:val="auto"/>
              </w:rPr>
              <w:t>(34,244 )</w:t>
            </w:r>
          </w:p>
        </w:tc>
      </w:tr>
      <w:tr>
        <w:trPr>
          <w:trHeight w:val="183"/>
        </w:trPr>
        <w:tc>
          <w:tcPr>
            <w:tcW w:w="76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7"/>
                <w:szCs w:val="17"/>
                <w:b w:val="1"/>
                <w:bCs w:val="1"/>
                <w:color w:val="auto"/>
              </w:rPr>
              <w:t>Cash Flows from Investing Activities:</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189"/>
        </w:trPr>
        <w:tc>
          <w:tcPr>
            <w:tcW w:w="768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Purchase of fixed assets</w:t>
            </w:r>
          </w:p>
        </w:tc>
        <w:tc>
          <w:tcPr>
            <w:tcW w:w="3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7"/>
                <w:szCs w:val="17"/>
                <w:color w:val="auto"/>
              </w:rPr>
              <w:t>(16 )</w:t>
            </w:r>
          </w:p>
        </w:tc>
        <w:tc>
          <w:tcPr>
            <w:tcW w:w="5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(457 )</w:t>
            </w:r>
          </w:p>
        </w:tc>
      </w:tr>
      <w:tr>
        <w:trPr>
          <w:trHeight w:val="189"/>
        </w:trPr>
        <w:tc>
          <w:tcPr>
            <w:tcW w:w="7680" w:type="dxa"/>
            <w:vAlign w:val="bottom"/>
          </w:tcPr>
          <w:p>
            <w:pPr>
              <w:ind w:left="280"/>
              <w:spacing w:after="0" w:line="189" w:lineRule="exact"/>
              <w:rPr>
                <w:sz w:val="20"/>
                <w:szCs w:val="20"/>
                <w:color w:val="auto"/>
              </w:rPr>
            </w:pPr>
            <w:r>
              <w:rPr>
                <w:rFonts w:ascii="Arial" w:cs="Arial" w:eastAsia="Arial" w:hAnsi="Arial"/>
                <w:sz w:val="17"/>
                <w:szCs w:val="17"/>
                <w:color w:val="auto"/>
              </w:rPr>
              <w:t>Proceeds from the sale of fixed assets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177</w:t>
            </w:r>
          </w:p>
        </w:tc>
        <w:tc>
          <w:tcPr>
            <w:tcW w:w="120" w:type="dxa"/>
            <w:vAlign w:val="bottom"/>
          </w:tcPr>
          <w:p>
            <w:pPr>
              <w:spacing w:after="0"/>
              <w:rPr>
                <w:sz w:val="16"/>
                <w:szCs w:val="16"/>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Net cash used in investing activities</w:t>
            </w:r>
          </w:p>
        </w:tc>
        <w:tc>
          <w:tcPr>
            <w:tcW w:w="3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7"/>
                <w:szCs w:val="17"/>
                <w:b w:val="1"/>
                <w:bCs w:val="1"/>
                <w:color w:val="auto"/>
              </w:rPr>
              <w:t>(16 )</w:t>
            </w:r>
          </w:p>
        </w:tc>
        <w:tc>
          <w:tcPr>
            <w:tcW w:w="5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b w:val="1"/>
                <w:bCs w:val="1"/>
                <w:color w:val="auto"/>
              </w:rPr>
              <w:t>(280 )</w:t>
            </w:r>
          </w:p>
        </w:tc>
      </w:tr>
      <w:tr>
        <w:trPr>
          <w:trHeight w:val="183"/>
        </w:trPr>
        <w:tc>
          <w:tcPr>
            <w:tcW w:w="76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7"/>
                <w:szCs w:val="17"/>
                <w:b w:val="1"/>
                <w:bCs w:val="1"/>
                <w:color w:val="auto"/>
              </w:rPr>
              <w:t>Cash Flows from Financing Activities:</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167"/>
        </w:trPr>
        <w:tc>
          <w:tcPr>
            <w:tcW w:w="7680" w:type="dxa"/>
            <w:vAlign w:val="bottom"/>
            <w:shd w:val="clear" w:color="auto" w:fill="CFF0FC"/>
          </w:tcPr>
          <w:p>
            <w:pPr>
              <w:ind w:left="280"/>
              <w:spacing w:after="0" w:line="167" w:lineRule="exact"/>
              <w:rPr>
                <w:sz w:val="20"/>
                <w:szCs w:val="20"/>
                <w:color w:val="auto"/>
              </w:rPr>
            </w:pPr>
            <w:r>
              <w:rPr>
                <w:rFonts w:ascii="Arial" w:cs="Arial" w:eastAsia="Arial" w:hAnsi="Arial"/>
                <w:sz w:val="17"/>
                <w:szCs w:val="17"/>
                <w:color w:val="auto"/>
              </w:rPr>
              <w:t>Proceeds from issuance of common stock and accompanying pre-funded warrants in public</w:t>
            </w: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211"/>
        </w:trPr>
        <w:tc>
          <w:tcPr>
            <w:tcW w:w="7680" w:type="dxa"/>
            <w:vAlign w:val="bottom"/>
            <w:shd w:val="clear" w:color="auto" w:fill="CFF0FC"/>
          </w:tcPr>
          <w:p>
            <w:pPr>
              <w:ind w:left="280"/>
              <w:spacing w:after="0"/>
              <w:rPr>
                <w:sz w:val="20"/>
                <w:szCs w:val="20"/>
                <w:color w:val="auto"/>
              </w:rPr>
            </w:pPr>
            <w:r>
              <w:rPr>
                <w:rFonts w:ascii="Arial" w:cs="Arial" w:eastAsia="Arial" w:hAnsi="Arial"/>
                <w:sz w:val="17"/>
                <w:szCs w:val="17"/>
                <w:color w:val="auto"/>
              </w:rPr>
              <w:t>offering, net of issuance costs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85,928</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189"/>
        </w:trPr>
        <w:tc>
          <w:tcPr>
            <w:tcW w:w="7680" w:type="dxa"/>
            <w:vAlign w:val="bottom"/>
          </w:tcPr>
          <w:p>
            <w:pPr>
              <w:ind w:left="280"/>
              <w:spacing w:after="0" w:line="189" w:lineRule="exact"/>
              <w:rPr>
                <w:sz w:val="20"/>
                <w:szCs w:val="20"/>
                <w:color w:val="auto"/>
              </w:rPr>
            </w:pPr>
            <w:r>
              <w:rPr>
                <w:rFonts w:ascii="Arial" w:cs="Arial" w:eastAsia="Arial" w:hAnsi="Arial"/>
                <w:sz w:val="17"/>
                <w:szCs w:val="17"/>
                <w:color w:val="auto"/>
              </w:rPr>
              <w:t>Proceeds from sale of common stock through at-the-market offerings, net of issuance costs</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15,830</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r>
      <w:tr>
        <w:trPr>
          <w:trHeight w:val="189"/>
        </w:trPr>
        <w:tc>
          <w:tcPr>
            <w:tcW w:w="768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Proceeds from option exercises</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1,689</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w:t>
            </w:r>
          </w:p>
        </w:tc>
      </w:tr>
      <w:tr>
        <w:trPr>
          <w:trHeight w:val="189"/>
        </w:trPr>
        <w:tc>
          <w:tcPr>
            <w:tcW w:w="7680" w:type="dxa"/>
            <w:vAlign w:val="bottom"/>
          </w:tcPr>
          <w:p>
            <w:pPr>
              <w:ind w:left="280"/>
              <w:spacing w:after="0" w:line="189" w:lineRule="exact"/>
              <w:rPr>
                <w:sz w:val="20"/>
                <w:szCs w:val="20"/>
                <w:color w:val="auto"/>
              </w:rPr>
            </w:pPr>
            <w:r>
              <w:rPr>
                <w:rFonts w:ascii="Arial" w:cs="Arial" w:eastAsia="Arial" w:hAnsi="Arial"/>
                <w:sz w:val="17"/>
                <w:szCs w:val="17"/>
                <w:color w:val="auto"/>
              </w:rPr>
              <w:t>Principal payments on term loan</w:t>
            </w:r>
          </w:p>
        </w:tc>
        <w:tc>
          <w:tcPr>
            <w:tcW w:w="380" w:type="dxa"/>
            <w:vAlign w:val="bottom"/>
          </w:tcPr>
          <w:p>
            <w:pPr>
              <w:spacing w:after="0"/>
              <w:rPr>
                <w:sz w:val="16"/>
                <w:szCs w:val="16"/>
                <w:color w:val="auto"/>
              </w:rPr>
            </w:pPr>
          </w:p>
        </w:tc>
        <w:tc>
          <w:tcPr>
            <w:tcW w:w="15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(9,167 )</w:t>
            </w:r>
          </w:p>
        </w:tc>
        <w:tc>
          <w:tcPr>
            <w:tcW w:w="50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r>
      <w:tr>
        <w:trPr>
          <w:trHeight w:val="189"/>
        </w:trPr>
        <w:tc>
          <w:tcPr>
            <w:tcW w:w="768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Payments related to tax withholding for vested restricted stock units</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(121 )</w:t>
            </w: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7"/>
                <w:szCs w:val="17"/>
                <w:color w:val="auto"/>
              </w:rPr>
              <w:t>Net cash provided by (used in) financing activities</w:t>
            </w:r>
          </w:p>
        </w:tc>
        <w:tc>
          <w:tcPr>
            <w:tcW w:w="38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94,280</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gridSpan w:val="2"/>
          </w:tcPr>
          <w:p>
            <w:pPr>
              <w:jc w:val="right"/>
              <w:ind w:right="60"/>
              <w:spacing w:after="0" w:line="183" w:lineRule="exact"/>
              <w:rPr>
                <w:sz w:val="20"/>
                <w:szCs w:val="20"/>
                <w:color w:val="auto"/>
              </w:rPr>
            </w:pPr>
            <w:r>
              <w:rPr>
                <w:rFonts w:ascii="Arial" w:cs="Arial" w:eastAsia="Arial" w:hAnsi="Arial"/>
                <w:sz w:val="17"/>
                <w:szCs w:val="17"/>
                <w:b w:val="1"/>
                <w:bCs w:val="1"/>
                <w:color w:val="auto"/>
              </w:rPr>
              <w:t>(121 )</w:t>
            </w:r>
          </w:p>
        </w:tc>
      </w:tr>
      <w:tr>
        <w:trPr>
          <w:trHeight w:val="20"/>
        </w:trPr>
        <w:tc>
          <w:tcPr>
            <w:tcW w:w="7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Net increase (decrease) in cash, cash equivalents and restricted cash</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b w:val="1"/>
                <w:bCs w:val="1"/>
                <w:color w:val="auto"/>
              </w:rPr>
              <w:t>67,241</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b w:val="1"/>
                <w:bCs w:val="1"/>
                <w:color w:val="auto"/>
              </w:rPr>
              <w:t>(34,645 )</w:t>
            </w: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7"/>
                <w:szCs w:val="17"/>
                <w:color w:val="auto"/>
              </w:rPr>
              <w:t>Cash, cash equivalents and restricted cash at beginning of period</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35,679</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70,324</w:t>
            </w:r>
          </w:p>
        </w:tc>
        <w:tc>
          <w:tcPr>
            <w:tcW w:w="120" w:type="dxa"/>
            <w:vAlign w:val="bottom"/>
          </w:tcPr>
          <w:p>
            <w:pPr>
              <w:spacing w:after="0"/>
              <w:rPr>
                <w:sz w:val="16"/>
                <w:szCs w:val="16"/>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7"/>
                <w:szCs w:val="17"/>
                <w:color w:val="auto"/>
              </w:rPr>
              <w:t>Cash, cash equivalents and restricted cash at end of period</w:t>
            </w:r>
          </w:p>
        </w:tc>
        <w:tc>
          <w:tcPr>
            <w:tcW w:w="380" w:type="dxa"/>
            <w:vAlign w:val="bottom"/>
            <w:tcBorders>
              <w:bottom w:val="single" w:sz="8" w:color="auto"/>
            </w:tcBorders>
            <w:shd w:val="clear" w:color="auto" w:fill="CFF0FC"/>
          </w:tcPr>
          <w:p>
            <w:pPr>
              <w:jc w:val="right"/>
              <w:ind w:right="17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b w:val="1"/>
                <w:bCs w:val="1"/>
                <w:color w:val="auto"/>
              </w:rPr>
              <w:t>102,920</w:t>
            </w:r>
          </w:p>
        </w:tc>
        <w:tc>
          <w:tcPr>
            <w:tcW w:w="3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5"/>
              <w:spacing w:after="0" w:line="183" w:lineRule="exact"/>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b w:val="1"/>
                <w:bCs w:val="1"/>
                <w:color w:val="auto"/>
              </w:rPr>
              <w:t>35,679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70"/>
        </w:trPr>
        <w:tc>
          <w:tcPr>
            <w:tcW w:w="7680" w:type="dxa"/>
            <w:vAlign w:val="bottom"/>
          </w:tcPr>
          <w:p>
            <w:pPr>
              <w:ind w:left="20"/>
              <w:spacing w:after="0" w:line="170" w:lineRule="exact"/>
              <w:rPr>
                <w:sz w:val="20"/>
                <w:szCs w:val="20"/>
                <w:color w:val="auto"/>
              </w:rPr>
            </w:pPr>
            <w:r>
              <w:rPr>
                <w:rFonts w:ascii="Arial" w:cs="Arial" w:eastAsia="Arial" w:hAnsi="Arial"/>
                <w:sz w:val="17"/>
                <w:szCs w:val="17"/>
                <w:b w:val="1"/>
                <w:bCs w:val="1"/>
                <w:color w:val="auto"/>
              </w:rPr>
              <w:t>Supplemental cash flow information:</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768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Cash paid for interest</w:t>
            </w:r>
          </w:p>
        </w:tc>
        <w:tc>
          <w:tcPr>
            <w:tcW w:w="380" w:type="dxa"/>
            <w:vAlign w:val="bottom"/>
            <w:shd w:val="clear" w:color="auto" w:fill="CFF0FC"/>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1,795</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315"/>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2,148</w:t>
            </w:r>
          </w:p>
        </w:tc>
        <w:tc>
          <w:tcPr>
            <w:tcW w:w="12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-2116455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-2116455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-1619250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-1619250</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-770890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-264795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1" w:name="page132"/>
    <w:bookmarkEnd w:id="131"/>
    <w:p>
      <w:pPr>
        <w:jc w:val="center"/>
        <w:ind w:right="40"/>
        <w:spacing w:after="0"/>
        <w:rPr>
          <w:sz w:val="20"/>
          <w:szCs w:val="20"/>
          <w:color w:val="auto"/>
        </w:rPr>
      </w:pPr>
      <w:r>
        <w:rPr>
          <w:rFonts w:ascii="Arial" w:cs="Arial" w:eastAsia="Arial" w:hAnsi="Arial"/>
          <w:sz w:val="17"/>
          <w:szCs w:val="17"/>
          <w:b w:val="1"/>
          <w:bCs w:val="1"/>
          <w:color w:val="auto"/>
        </w:rPr>
        <w:t>CANDEL THERAPEUTICS, INC.</w:t>
      </w:r>
    </w:p>
    <w:p>
      <w:pPr>
        <w:spacing w:after="0" w:line="1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The Company has established two off-the-shelf viral immunotherapy platforms and its two product candidates, CAN-2409 and CAN-3110, are in clinical trials for a number of tumor types. Additionally, the Company and the University of Pennsylvania (UPenn) are collaborating to study the impact of novel viral immunotherapies based on Candel's propriety enLIGHTEN™ Discovery Platform, a systematic, iterative herpes simplex virus based platform leveraging human biology and advanced analytics, to strengthen the effects of UPenn's investigational CAR-T cell therapies in solid tumors.</w:t>
      </w:r>
    </w:p>
    <w:p>
      <w:pPr>
        <w:spacing w:after="0" w:line="103"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Since inception, the Company has funded its operations primarily with proceeds from the sale of its convertible notes and capital stock and from debt borrowings. The Company has incurred recurring losses since its inception, including a net loss of $55.2 million and $37.9 million for the years ended December 31, 2024, and 2023, respectively. In addition, as of December 31, 2024, the Company had an accumulated deficit of $192.2 million. The Company expects to continue to generate operating losses and negative cash flows from operations for the foreseeable future.</w:t>
      </w:r>
    </w:p>
    <w:p>
      <w:pPr>
        <w:spacing w:after="0" w:line="69"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On August 5, 2022, the Company filed a shelf registration statement on Form S-3 (as amended to date, the Shelf) with the U.S. Securities and Exchange Commission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December 31, 2024, the Company has sold and issued 2,936,057 shares of common stock under the ATM Program, with total net proceeds of $15.8 million. Subsequent to December 31, 2024 and through March 6, 2025, the Company has sold and issued 40,334 additional shares of common stock under the ATM Program, with total net proceeds of $0.4 million.</w:t>
      </w:r>
    </w:p>
    <w:p>
      <w:pPr>
        <w:spacing w:after="0" w:line="7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will fund planned operations for at least 12 months from the issuance date of these consolidated financial statements.</w:t>
      </w:r>
    </w:p>
    <w:p>
      <w:pPr>
        <w:spacing w:after="0" w:line="6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Accordingly, the consolidated financial statements have been prepared on a basis that assumes the Company will continue as a going concern and that contemplates the realization of assets and satisfaction of liabilities and commitments in the ordinary course of business.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December 2024 Public Offering</w:t>
      </w:r>
    </w:p>
    <w:p>
      <w:pPr>
        <w:spacing w:after="0" w:line="10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On December 16, 2024, the Company completed a public offering of its common stock and, in lieu of common stock to certain investors, pre-funded warrants to purchase shares of its common stock. The Company issued and sold 12,000,001 shares of common stock, including full exercise of the underwriters’ option to purchase an additional 2,000,000 shares, at a public offering price of $6.00 per share. Additionally, in lieu of common stock to certain investors, the Company issued and sold pre-funded warrants to purchase 3,333,333 shares of its common stock at a public offering price of $5.99 per pre-funded warrant, which represents the per share public offering price of each share of common stock less the $0.01 per share exercise price for each pre-funded warrant. The aggregate gross proceeds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2" w:name="page133"/>
    <w:bookmarkEnd w:id="132"/>
    <w:p>
      <w:pPr>
        <w:ind w:right="340"/>
        <w:spacing w:after="0" w:line="267" w:lineRule="auto"/>
        <w:rPr>
          <w:sz w:val="20"/>
          <w:szCs w:val="20"/>
          <w:color w:val="auto"/>
        </w:rPr>
      </w:pPr>
      <w:r>
        <w:rPr>
          <w:rFonts w:ascii="Arial" w:cs="Arial" w:eastAsia="Arial" w:hAnsi="Arial"/>
          <w:sz w:val="17"/>
          <w:szCs w:val="17"/>
          <w:color w:val="auto"/>
        </w:rPr>
        <w:t>before deducting underwriting discounts and commissions, and other estimated offering expenses payable by the Company were approximately $92.0 million.</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financial statements are to the FASB Accounting Standards Codification (ASC).</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29" w:lineRule="exact"/>
        <w:rPr>
          <w:sz w:val="20"/>
          <w:szCs w:val="20"/>
          <w:color w:val="auto"/>
        </w:rPr>
      </w:pPr>
    </w:p>
    <w:p>
      <w:pPr>
        <w:ind w:right="480"/>
        <w:spacing w:after="0" w:line="267" w:lineRule="auto"/>
        <w:rPr>
          <w:sz w:val="20"/>
          <w:szCs w:val="20"/>
          <w:color w:val="auto"/>
        </w:rPr>
      </w:pPr>
      <w:r>
        <w:rPr>
          <w:rFonts w:ascii="Arial" w:cs="Arial" w:eastAsia="Arial" w:hAnsi="Arial"/>
          <w:sz w:val="17"/>
          <w:szCs w:val="17"/>
          <w:color w:val="auto"/>
        </w:rPr>
        <w:t>The consolidated financial statements include the accounts of Candel Therapeutics, Inc. and its wholly owned subsidiary Candel Therapeutics Securities Corporation. All intercompany transactions and balances have been eliminated.</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4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2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Company considers all highly liquid investments purchased with original final maturities of three months or less from the date of purchase to be cash equivalents. Cash and cash equivalents comprise marketable securities with maturities of less than three months when purchased. Cash equivalents are reported at fair value.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42"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The Company had $0.3 million of restricted cash as of both December 31, 2024 and 2023, which represents cash held as a security deposit under the terms of the Company’s Needham, Massachusetts facility lease.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3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13" w:lineRule="exact"/>
        <w:rPr>
          <w:sz w:val="20"/>
          <w:szCs w:val="20"/>
          <w:color w:val="auto"/>
        </w:rPr>
      </w:pPr>
    </w:p>
    <w:p>
      <w:pPr>
        <w:ind w:left="5500" w:right="4920" w:hanging="5118"/>
        <w:spacing w:after="0" w:line="548" w:lineRule="auto"/>
        <w:tabs>
          <w:tab w:leader="none" w:pos="760" w:val="left"/>
        </w:tabs>
        <w:numPr>
          <w:ilvl w:val="0"/>
          <w:numId w:val="90"/>
        </w:numPr>
        <w:rPr>
          <w:rFonts w:ascii="Times New Roman" w:cs="Times New Roman" w:eastAsia="Times New Roman" w:hAnsi="Times New Roman"/>
          <w:sz w:val="17"/>
          <w:szCs w:val="17"/>
          <w:color w:val="auto"/>
        </w:rPr>
      </w:pPr>
      <w:r>
        <w:rPr>
          <w:rFonts w:ascii="Arial" w:cs="Arial" w:eastAsia="Arial" w:hAnsi="Arial"/>
          <w:sz w:val="17"/>
          <w:szCs w:val="17"/>
          <w:color w:val="auto"/>
        </w:rPr>
        <w:t>Level 1—Quoted prices in active markets for identical assets or liabilities. 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33" w:name="page134"/>
    <w:bookmarkEnd w:id="133"/>
    <w:p>
      <w:pPr>
        <w:ind w:left="760" w:right="420" w:hanging="378"/>
        <w:spacing w:after="0" w:line="238" w:lineRule="auto"/>
        <w:tabs>
          <w:tab w:leader="none" w:pos="760" w:val="left"/>
        </w:tabs>
        <w:numPr>
          <w:ilvl w:val="0"/>
          <w:numId w:val="91"/>
        </w:numPr>
        <w:rPr>
          <w:rFonts w:ascii="Times New Roman" w:cs="Times New Roman" w:eastAsia="Times New Roman" w:hAnsi="Times New Roman"/>
          <w:sz w:val="17"/>
          <w:szCs w:val="17"/>
          <w:color w:val="auto"/>
        </w:rPr>
      </w:pPr>
      <w:r>
        <w:rPr>
          <w:rFonts w:ascii="Arial" w:cs="Arial" w:eastAsia="Arial" w:hAnsi="Arial"/>
          <w:sz w:val="17"/>
          <w:szCs w:val="17"/>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ind w:left="760" w:hanging="378"/>
        <w:spacing w:after="0" w:line="247" w:lineRule="auto"/>
        <w:tabs>
          <w:tab w:leader="none" w:pos="760" w:val="left"/>
        </w:tabs>
        <w:numPr>
          <w:ilvl w:val="0"/>
          <w:numId w:val="91"/>
        </w:numPr>
        <w:rPr>
          <w:rFonts w:ascii="Times New Roman" w:cs="Times New Roman" w:eastAsia="Times New Roman" w:hAnsi="Times New Roman"/>
          <w:sz w:val="17"/>
          <w:szCs w:val="17"/>
          <w:color w:val="auto"/>
        </w:rPr>
      </w:pPr>
      <w:r>
        <w:rPr>
          <w:rFonts w:ascii="Arial" w:cs="Arial" w:eastAsia="Arial" w:hAnsi="Arial"/>
          <w:sz w:val="17"/>
          <w:szCs w:val="17"/>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07"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The carrying values of cash and cash equivalents (considered as Level 1 measurements), accounts payable, and accrued expenses approximate their fair values due to the short-term nature of these assets and liabilities. The carrying value of the Company's term loan approximates fair value due to the variable interest rate. The Company’s warrant liability is carried at fair value and is classified as Level 3 measurement.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42"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Property and equipment consist of laboratory and manufacturing equipment, networking and computer equipment, furniture and fixtures and leasehold improvements. Property and equipment are recorded at cost, and depreciated using the straight-line method over the estimated useful lives of the respective assets: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200" w:type="dxa"/>
            <w:vAlign w:val="bottom"/>
          </w:tcPr>
          <w:p>
            <w:pPr>
              <w:spacing w:after="0"/>
              <w:rPr>
                <w:sz w:val="14"/>
                <w:szCs w:val="14"/>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183"/>
        </w:trPr>
        <w:tc>
          <w:tcPr>
            <w:tcW w:w="582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Networking and computer equipment</w:t>
            </w:r>
          </w:p>
        </w:tc>
        <w:tc>
          <w:tcPr>
            <w:tcW w:w="200" w:type="dxa"/>
            <w:vAlign w:val="bottom"/>
            <w:shd w:val="clear" w:color="auto" w:fill="CFF0FC"/>
          </w:tcPr>
          <w:p>
            <w:pPr>
              <w:spacing w:after="0"/>
              <w:rPr>
                <w:sz w:val="15"/>
                <w:szCs w:val="15"/>
                <w:color w:val="auto"/>
              </w:rPr>
            </w:pPr>
          </w:p>
        </w:tc>
        <w:tc>
          <w:tcPr>
            <w:tcW w:w="522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5 years</w:t>
            </w:r>
          </w:p>
        </w:tc>
      </w:tr>
      <w:tr>
        <w:trPr>
          <w:trHeight w:val="189"/>
        </w:trPr>
        <w:tc>
          <w:tcPr>
            <w:tcW w:w="5820" w:type="dxa"/>
            <w:vAlign w:val="bottom"/>
          </w:tcPr>
          <w:p>
            <w:pPr>
              <w:ind w:left="20"/>
              <w:spacing w:after="0" w:line="189" w:lineRule="exact"/>
              <w:rPr>
                <w:sz w:val="20"/>
                <w:szCs w:val="20"/>
                <w:color w:val="auto"/>
              </w:rPr>
            </w:pPr>
            <w:r>
              <w:rPr>
                <w:rFonts w:ascii="Arial" w:cs="Arial" w:eastAsia="Arial" w:hAnsi="Arial"/>
                <w:sz w:val="17"/>
                <w:szCs w:val="17"/>
                <w:color w:val="auto"/>
              </w:rPr>
              <w:t>Laboratory equipment</w:t>
            </w:r>
          </w:p>
        </w:tc>
        <w:tc>
          <w:tcPr>
            <w:tcW w:w="200" w:type="dxa"/>
            <w:vAlign w:val="bottom"/>
          </w:tcPr>
          <w:p>
            <w:pPr>
              <w:spacing w:after="0"/>
              <w:rPr>
                <w:sz w:val="16"/>
                <w:szCs w:val="16"/>
                <w:color w:val="auto"/>
              </w:rPr>
            </w:pPr>
          </w:p>
        </w:tc>
        <w:tc>
          <w:tcPr>
            <w:tcW w:w="5220" w:type="dxa"/>
            <w:vAlign w:val="bottom"/>
          </w:tcPr>
          <w:p>
            <w:pPr>
              <w:spacing w:after="0" w:line="189" w:lineRule="exact"/>
              <w:rPr>
                <w:sz w:val="20"/>
                <w:szCs w:val="20"/>
                <w:color w:val="auto"/>
              </w:rPr>
            </w:pPr>
            <w:r>
              <w:rPr>
                <w:rFonts w:ascii="Arial" w:cs="Arial" w:eastAsia="Arial" w:hAnsi="Arial"/>
                <w:sz w:val="17"/>
                <w:szCs w:val="17"/>
                <w:color w:val="auto"/>
              </w:rPr>
              <w:t>5 years</w:t>
            </w:r>
          </w:p>
        </w:tc>
      </w:tr>
      <w:tr>
        <w:trPr>
          <w:trHeight w:val="189"/>
        </w:trPr>
        <w:tc>
          <w:tcPr>
            <w:tcW w:w="582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Manufacturing equipment</w:t>
            </w:r>
          </w:p>
        </w:tc>
        <w:tc>
          <w:tcPr>
            <w:tcW w:w="200" w:type="dxa"/>
            <w:vAlign w:val="bottom"/>
            <w:shd w:val="clear" w:color="auto" w:fill="CFF0FC"/>
          </w:tcPr>
          <w:p>
            <w:pPr>
              <w:spacing w:after="0"/>
              <w:rPr>
                <w:sz w:val="16"/>
                <w:szCs w:val="16"/>
                <w:color w:val="auto"/>
              </w:rPr>
            </w:pPr>
          </w:p>
        </w:tc>
        <w:tc>
          <w:tcPr>
            <w:tcW w:w="52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5 years</w:t>
            </w:r>
          </w:p>
        </w:tc>
      </w:tr>
      <w:tr>
        <w:trPr>
          <w:trHeight w:val="189"/>
        </w:trPr>
        <w:tc>
          <w:tcPr>
            <w:tcW w:w="5820" w:type="dxa"/>
            <w:vAlign w:val="bottom"/>
          </w:tcPr>
          <w:p>
            <w:pPr>
              <w:ind w:left="20"/>
              <w:spacing w:after="0" w:line="189" w:lineRule="exact"/>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6"/>
                <w:szCs w:val="16"/>
                <w:color w:val="auto"/>
              </w:rPr>
            </w:pPr>
          </w:p>
        </w:tc>
        <w:tc>
          <w:tcPr>
            <w:tcW w:w="5220" w:type="dxa"/>
            <w:vAlign w:val="bottom"/>
          </w:tcPr>
          <w:p>
            <w:pPr>
              <w:spacing w:after="0" w:line="189" w:lineRule="exact"/>
              <w:rPr>
                <w:sz w:val="20"/>
                <w:szCs w:val="20"/>
                <w:color w:val="auto"/>
              </w:rPr>
            </w:pPr>
            <w:r>
              <w:rPr>
                <w:rFonts w:ascii="Arial" w:cs="Arial" w:eastAsia="Arial" w:hAnsi="Arial"/>
                <w:sz w:val="17"/>
                <w:szCs w:val="17"/>
                <w:color w:val="auto"/>
              </w:rPr>
              <w:t>5 years</w:t>
            </w:r>
          </w:p>
        </w:tc>
      </w:tr>
      <w:tr>
        <w:trPr>
          <w:trHeight w:val="189"/>
        </w:trPr>
        <w:tc>
          <w:tcPr>
            <w:tcW w:w="582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Leasehold improvements</w:t>
            </w:r>
          </w:p>
        </w:tc>
        <w:tc>
          <w:tcPr>
            <w:tcW w:w="200" w:type="dxa"/>
            <w:vAlign w:val="bottom"/>
            <w:shd w:val="clear" w:color="auto" w:fill="CFF0FC"/>
          </w:tcPr>
          <w:p>
            <w:pPr>
              <w:spacing w:after="0"/>
              <w:rPr>
                <w:sz w:val="16"/>
                <w:szCs w:val="16"/>
                <w:color w:val="auto"/>
              </w:rPr>
            </w:pPr>
          </w:p>
        </w:tc>
        <w:tc>
          <w:tcPr>
            <w:tcW w:w="522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Shorter of the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Lease right of use assets represent the Company’s right to use an underlying asset for the lease term and lease liabilities represent the Company’s obligation to make lease payments arising from the lease. Lease right of use assets and lease liabilities are recognized at the lease commencement date based on the present value of lease payments to be made over the lease term. The lease right of use asset is equal to the lease liability and adjusted for prepaid rent, initial direct costs, and incentives. As the Company’s leases do not provide an implicit rate, the Company uses its incremental borrowing rate based on the information available at the lease commencement date in determining the present value of lease payments. The lease terms may include options to extend or terminate the lease when it is reasonably certain that the Company will exercise that option. Operating lease expense is recognized on a straight-line basis over the lease term. The Company has elected to not apply the recognition requirements of ASC 842 for short-term leases, which is defined as a lease that, at the lease commencement date, has a lease term of 12 months or less and does not include an option to purchase the underlying asset that the Company is reasonably certain to exercise.</w:t>
      </w:r>
    </w:p>
    <w:p>
      <w:pPr>
        <w:spacing w:after="0" w:line="106" w:lineRule="exact"/>
        <w:rPr>
          <w:sz w:val="20"/>
          <w:szCs w:val="20"/>
          <w:color w:val="auto"/>
        </w:rPr>
      </w:pPr>
    </w:p>
    <w:p>
      <w:pPr>
        <w:jc w:val="both"/>
        <w:ind w:right="760"/>
        <w:spacing w:after="0" w:line="249" w:lineRule="auto"/>
        <w:rPr>
          <w:sz w:val="20"/>
          <w:szCs w:val="20"/>
          <w:color w:val="auto"/>
        </w:rPr>
      </w:pPr>
      <w:r>
        <w:rPr>
          <w:rFonts w:ascii="Arial" w:cs="Arial" w:eastAsia="Arial" w:hAnsi="Arial"/>
          <w:sz w:val="17"/>
          <w:szCs w:val="17"/>
          <w:color w:val="auto"/>
        </w:rPr>
        <w:t>For real estate lease agreements entered into or modified after the adoption of ASC 842 that include lease and non-lease components, the Company has elected to account for the lease and non-lease components, such as common area maintenance charges, as a single lease component term.</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Periodically, the Company maintains deposits in accredited financial institutions in-excess of the federally insured limits. The Company deposits its cash in financial institutions with a high credit quality and has not experienced any losses on such accounts and does not believe it is exposed to any unusual credit risk beyond the normal risk associated with commercial banking relationships.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4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fixed assets and operating lease assets.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4" w:name="page135"/>
    <w:bookmarkEnd w:id="134"/>
    <w:p>
      <w:pPr>
        <w:spacing w:after="0" w:line="244" w:lineRule="auto"/>
        <w:rPr>
          <w:sz w:val="20"/>
          <w:szCs w:val="20"/>
          <w:color w:val="auto"/>
        </w:rPr>
      </w:pPr>
      <w:r>
        <w:rPr>
          <w:rFonts w:ascii="Arial" w:cs="Arial" w:eastAsia="Arial" w:hAnsi="Arial"/>
          <w:sz w:val="17"/>
          <w:szCs w:val="17"/>
          <w:color w:val="auto"/>
        </w:rPr>
        <w:t>During the years ended December 31, 2024 and 2023, the Company recorded impairment charges totaling approximately $41,000 and $0.4 million, respectively, related to manufacturing equipment that the Company has determined it does not plan to use for its intended use, and the Company recorded an impairment to reduce the carrying value to its estimated fair value. The Company has not recorded any other impairment losses on such long-lived assets.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applies ASC Topic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then assesses whether or not each promised good or service is distinct. The Company then recognizes as revenue the amount of the transaction price that is allocated to the respective performance obligation when (or as) the performance obligation is satisfied.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 and Accruals</w:t>
      </w:r>
    </w:p>
    <w:p>
      <w:pPr>
        <w:spacing w:after="0" w:line="12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Research and development expenses include salaries and benefits, materials and supplies, preclinical and clinical trial expenses, stock-based compensation expense, depreciation of equipment, contract services and other outside expenses. The Company has entered into various research and development-related contracts with clinical and research institutions, contract research organizations, and other companies. These agreements are generally cancelable, and related payments are recorded as research and development expenses as incurred. Costs of certain development activities, such as manufacturing, pre-clinical and clinical trial expenses, are recognized based on an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Costs incurred in obtaining technology licenses and intellectual property are charged to research and development expenses as acquired in-process research and development if the technology licensed or intellectual property acquired has not reached technological feasibility and has no alternative future use.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Costs</w:t>
      </w:r>
    </w:p>
    <w:p>
      <w:pPr>
        <w:spacing w:after="0" w:line="14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All patent-related costs incurred in connection with preparing, filing, maintaining and prosecuting patent applications are expensed as incurred due to the uncertainty about the recovery of the expenditure. Amounts incurred are classified in general and administrative expenses.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accounts for its stock-based compensation in accordance with ASC Topic 718, Compensation—Stock Compensation (ASC 718). ASC 718 requires all share-based payments to employees and directors to be recognized as expense in the consolidated statements of operations based on their grant date fair values. In addition, in accordance with FASB Accounting Standards Update (ASU) 2016-09 which identifies areas for simplification of several areas of share-based payment transactions, the Company treats non-employee grants the same as employee grants. The 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p>
    <w:p>
      <w:pPr>
        <w:spacing w:after="0" w:line="11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Black-Scholes option pricing model requires inputs based on certain subjective assumptions, including (a) the expected stock price volatility, (b) the expected term of the award, (c) the risk-free interest rate and (d) expected dividends. Due to a lack of company-specific historical and implied volatility data, the Company has based its computation of expected volatility on a combination of the historical volatility of the Company and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5" w:name="page136"/>
    <w:bookmarkEnd w:id="135"/>
    <w:p>
      <w:pPr>
        <w:spacing w:after="0" w:line="239" w:lineRule="auto"/>
        <w:rPr>
          <w:sz w:val="20"/>
          <w:szCs w:val="20"/>
          <w:color w:val="auto"/>
        </w:rPr>
      </w:pPr>
      <w:r>
        <w:rPr>
          <w:rFonts w:ascii="Arial" w:cs="Arial" w:eastAsia="Arial" w:hAnsi="Arial"/>
          <w:sz w:val="17"/>
          <w:szCs w:val="17"/>
          <w:color w:val="auto"/>
        </w:rPr>
        <w:t>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01"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Company generally expenses the fair value of its share-based compensation awards to employees and non-employees on a straight-line basis over the requisite service period, which is generally the vesting period.</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142"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The Company has applied for grants for the reimbursement of expenditures with the Massachusetts Life Sciences Center for certain qualified operating expenditures, including employee related costs. The Company recognizes government grants when there is reasonable assurance that the Company will comply with the conditions attached to the grant arrangement and the grant will be received.</w:t>
      </w:r>
    </w:p>
    <w:p>
      <w:pPr>
        <w:spacing w:after="0" w:line="9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Government grants are recorded as grant income and classified in other income in the consolidated statements of operations. The Company did not recognize any government grants for the years ended December 31, 2024 and 2023.</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 accounts for income taxes using the asset and liability method in accordance with ASC Topic 740, Income Taxes (ASC 740) which 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December 31, 2024 and 2023, the Company has concluded that a full valuation allowance is necessary for its deferred tax assets (see Note 12).</w:t>
      </w:r>
    </w:p>
    <w:p>
      <w:pPr>
        <w:spacing w:after="0" w:line="10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accounts for uncertainty in income taxes, by applying the two-step process to determine the amount of tax benefit to be recognized in the financial statements. First, the tax position must be evaluated to determine the likelihood that it will be sustained upon external examination by the taxing authorities. If the tax position is deemed more-likely-than-not to be sustained, the tax is then assessed as the amount of benefits to be recognized in the consolidated financial statements. The amount of benefits that may be used are the largest amounts that have a greater than 50% likelihood of being realized upon ultimate settlement. The provision for income taxes includes the effects of any resulting tax reserves or unrecognized tax benefits that are considered appropriate as well as the related net interest received. As of December 31, 2024, the Company did not record any unrecognized benefits from uncertain tax positions in its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42"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Basic net loss per share is computed by dividing net loss attributable to common stockholders by the weighted-average number of shares of common stock outstanding during the period, including the pre-funded warrants given their nominal exercise price. Diluted net loss per share is computed using the weighted-average number of shares of common stock outstanding during the period, including the pre-funded warrants given their nominal exercise price and, if dilutive, the weighted-average number of potential shares of common stock. In periods where the Company reports a net loss attributable to common stockholders, diluted net loss per share is the same as basic net loss per share, since dilutive shares of common stock are not assumed to have been issued if their effect is anti-dilutive. Diluted net loss per share is the same as basic net loss per share for the years ended December 31, 2024 and 2023 since all potential shares of common stock instruments are anti-dilutive as a result of the loss for such periods.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4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In November 2023, the FASB issued ASU 2023-07, Segment Reporting: Improvements to Reportable Segment 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annual</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136" w:name="page137"/>
    <w:bookmarkEnd w:id="136"/>
    <w:p>
      <w:pPr>
        <w:ind w:right="920"/>
        <w:spacing w:after="0" w:line="406" w:lineRule="auto"/>
        <w:rPr>
          <w:sz w:val="20"/>
          <w:szCs w:val="20"/>
          <w:color w:val="auto"/>
        </w:rPr>
      </w:pPr>
      <w:r>
        <w:rPr>
          <w:rFonts w:ascii="Arial" w:cs="Arial" w:eastAsia="Arial" w:hAnsi="Arial"/>
          <w:sz w:val="17"/>
          <w:szCs w:val="17"/>
          <w:color w:val="auto"/>
        </w:rPr>
        <w:t xml:space="preserve">periods beginning after December 15, 2023. The Company adopted ASU 2023-07 for the year ended December 31, 2024 (see Note 17). </w:t>
      </w:r>
      <w:r>
        <w:rPr>
          <w:rFonts w:ascii="Arial" w:cs="Arial" w:eastAsia="Arial" w:hAnsi="Arial"/>
          <w:sz w:val="17"/>
          <w:szCs w:val="17"/>
          <w:b w:val="1"/>
          <w:bCs w:val="1"/>
          <w:i w:val="1"/>
          <w:iCs w:val="1"/>
          <w:color w:val="auto"/>
        </w:rPr>
        <w:t>Recently Issued Accounting Standards</w:t>
      </w:r>
    </w:p>
    <w:p>
      <w:pPr>
        <w:ind w:right="40"/>
        <w:spacing w:after="0" w:line="238" w:lineRule="auto"/>
        <w:rPr>
          <w:sz w:val="20"/>
          <w:szCs w:val="20"/>
          <w:color w:val="auto"/>
        </w:rPr>
      </w:pPr>
      <w:r>
        <w:rPr>
          <w:rFonts w:ascii="Arial" w:cs="Arial" w:eastAsia="Arial" w:hAnsi="Arial"/>
          <w:sz w:val="17"/>
          <w:szCs w:val="17"/>
          <w:color w:val="auto"/>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consolidated financial statements and related disclosures.</w:t>
      </w:r>
    </w:p>
    <w:p>
      <w:pPr>
        <w:spacing w:after="0" w:line="11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December 2023, the FASB issued ASU 2023-09, Improvements to Income Tax Disclosures, which amends the guidance in ASC 740, Income Taxes. The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ASU’s amendments are effective for public business entities for annual periods beginning after December 15, 2024. Early adoption is permitted. Adoption can be either prospectively or retrospectively applied, and the Company will adopt this ASU on a prospective basis. The Company is currently evaluating the potential impact that ASU 2023-09 may have on its consolidated financial statements and related disclosures.</w:t>
      </w:r>
    </w:p>
    <w:p>
      <w:pPr>
        <w:spacing w:after="0" w:line="101"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In November 2024, the FASB issued ASU 2024-03, Income Statement-Reporting Comprehensive Income-Expense Disaggregation Disclosures (Subtopic 220-40): Disaggregation of Income Statement Expenses, which requires additional disclosure in the notes to the financial statements of the nature of certain expenses included in the income statement. The ASU's amendments are effective for annual reporting periods beginning after December 15, 2026, and interim reporting periods beginning after December 15, 2027. Early adoption is permitted. Adoption can be either prospectively or retrospectively applied. The Company is currently evaluating the potential impact that ASU 2024-03 may have on its consolidated financial statements and related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w:t>
      </w:r>
    </w:p>
    <w:p>
      <w:pPr>
        <w:spacing w:after="0" w:line="14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gridSpan w:val="7"/>
          </w:tcPr>
          <w:p>
            <w:pPr>
              <w:ind w:left="220"/>
              <w:spacing w:after="0"/>
              <w:rPr>
                <w:sz w:val="20"/>
                <w:szCs w:val="20"/>
                <w:color w:val="auto"/>
              </w:rPr>
            </w:pPr>
            <w:r>
              <w:rPr>
                <w:rFonts w:ascii="Arial" w:cs="Arial" w:eastAsia="Arial" w:hAnsi="Arial"/>
                <w:sz w:val="14"/>
                <w:szCs w:val="14"/>
                <w:b w:val="1"/>
                <w:bCs w:val="1"/>
                <w:color w:val="auto"/>
              </w:rPr>
              <w:t>FAIR VALUE MEASUREMENTS AS OF</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2024 USING:</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7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940" w:type="dxa"/>
            <w:vAlign w:val="bottom"/>
          </w:tcPr>
          <w:p>
            <w:pPr>
              <w:jc w:val="right"/>
              <w:ind w:right="25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83"/>
        </w:trPr>
        <w:tc>
          <w:tcPr>
            <w:tcW w:w="576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Liabilities:</w:t>
            </w: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760" w:type="dxa"/>
            <w:vAlign w:val="bottom"/>
          </w:tcPr>
          <w:p>
            <w:pPr>
              <w:ind w:left="280"/>
              <w:spacing w:after="0" w:line="189" w:lineRule="exact"/>
              <w:rPr>
                <w:sz w:val="20"/>
                <w:szCs w:val="20"/>
                <w:color w:val="auto"/>
              </w:rPr>
            </w:pPr>
            <w:r>
              <w:rPr>
                <w:rFonts w:ascii="Arial" w:cs="Arial" w:eastAsia="Arial" w:hAnsi="Arial"/>
                <w:sz w:val="17"/>
                <w:szCs w:val="17"/>
                <w:color w:val="auto"/>
              </w:rPr>
              <w:t>Warrant liability</w:t>
            </w: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60"/>
              <w:spacing w:after="0" w:line="189" w:lineRule="exact"/>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60"/>
              <w:spacing w:after="0" w:line="189" w:lineRule="exact"/>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21,718</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21,718</w:t>
            </w:r>
          </w:p>
        </w:tc>
        <w:tc>
          <w:tcPr>
            <w:tcW w:w="100" w:type="dxa"/>
            <w:vAlign w:val="bottom"/>
          </w:tcPr>
          <w:p>
            <w:pPr>
              <w:spacing w:after="0"/>
              <w:rPr>
                <w:sz w:val="16"/>
                <w:szCs w:val="16"/>
                <w:color w:val="auto"/>
              </w:rPr>
            </w:pPr>
          </w:p>
        </w:tc>
      </w:tr>
      <w:tr>
        <w:trPr>
          <w:trHeight w:val="223"/>
        </w:trPr>
        <w:tc>
          <w:tcPr>
            <w:tcW w:w="5760" w:type="dxa"/>
            <w:vAlign w:val="bottom"/>
            <w:tcBorders>
              <w:bottom w:val="single" w:sz="8" w:color="CFF0FC"/>
            </w:tcBorders>
            <w:shd w:val="clear" w:color="auto" w:fill="CFF0FC"/>
          </w:tcPr>
          <w:p>
            <w:pPr>
              <w:ind w:left="280"/>
              <w:spacing w:after="0" w:line="183" w:lineRule="exact"/>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shd w:val="clear" w:color="auto" w:fill="CFF0FC"/>
          </w:tcPr>
          <w:p>
            <w:pPr>
              <w:jc w:val="right"/>
              <w:ind w:right="741"/>
              <w:spacing w:after="0" w:line="183" w:lineRule="exact"/>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FF0FC"/>
          </w:tcPr>
          <w:p>
            <w:pPr>
              <w:ind w:left="60"/>
              <w:spacing w:after="0" w:line="183" w:lineRule="exact"/>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25"/>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FF0FC"/>
          </w:tcPr>
          <w:p>
            <w:pPr>
              <w:ind w:left="60"/>
              <w:spacing w:after="0" w:line="183" w:lineRule="exact"/>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21,718</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21,718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5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349"/>
        </w:trPr>
        <w:tc>
          <w:tcPr>
            <w:tcW w:w="5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7"/>
          </w:tcPr>
          <w:p>
            <w:pPr>
              <w:ind w:left="220"/>
              <w:spacing w:after="0"/>
              <w:rPr>
                <w:sz w:val="20"/>
                <w:szCs w:val="20"/>
                <w:color w:val="auto"/>
              </w:rPr>
            </w:pPr>
            <w:r>
              <w:rPr>
                <w:rFonts w:ascii="Arial" w:cs="Arial" w:eastAsia="Arial" w:hAnsi="Arial"/>
                <w:sz w:val="14"/>
                <w:szCs w:val="14"/>
                <w:b w:val="1"/>
                <w:bCs w:val="1"/>
                <w:color w:val="auto"/>
              </w:rPr>
              <w:t>FAIR VALUE MEASUREMENTS AS OF</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2023 USING:</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7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940" w:type="dxa"/>
            <w:vAlign w:val="bottom"/>
          </w:tcPr>
          <w:p>
            <w:pPr>
              <w:jc w:val="right"/>
              <w:ind w:right="25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83"/>
        </w:trPr>
        <w:tc>
          <w:tcPr>
            <w:tcW w:w="576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Liabilities:</w:t>
            </w: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760" w:type="dxa"/>
            <w:vAlign w:val="bottom"/>
          </w:tcPr>
          <w:p>
            <w:pPr>
              <w:ind w:left="280"/>
              <w:spacing w:after="0" w:line="189" w:lineRule="exact"/>
              <w:rPr>
                <w:sz w:val="20"/>
                <w:szCs w:val="20"/>
                <w:color w:val="auto"/>
              </w:rPr>
            </w:pPr>
            <w:r>
              <w:rPr>
                <w:rFonts w:ascii="Arial" w:cs="Arial" w:eastAsia="Arial" w:hAnsi="Arial"/>
                <w:sz w:val="17"/>
                <w:szCs w:val="17"/>
                <w:color w:val="auto"/>
              </w:rPr>
              <w:t>Warrant liability</w:t>
            </w: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60"/>
              <w:spacing w:after="0" w:line="189" w:lineRule="exact"/>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60"/>
              <w:spacing w:after="0" w:line="189" w:lineRule="exact"/>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916</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916</w:t>
            </w:r>
          </w:p>
        </w:tc>
        <w:tc>
          <w:tcPr>
            <w:tcW w:w="100" w:type="dxa"/>
            <w:vAlign w:val="bottom"/>
          </w:tcPr>
          <w:p>
            <w:pPr>
              <w:spacing w:after="0"/>
              <w:rPr>
                <w:sz w:val="16"/>
                <w:szCs w:val="16"/>
                <w:color w:val="auto"/>
              </w:rPr>
            </w:pPr>
          </w:p>
        </w:tc>
      </w:tr>
      <w:tr>
        <w:trPr>
          <w:trHeight w:val="223"/>
        </w:trPr>
        <w:tc>
          <w:tcPr>
            <w:tcW w:w="5760" w:type="dxa"/>
            <w:vAlign w:val="bottom"/>
            <w:shd w:val="clear" w:color="auto" w:fill="CFF0FC"/>
          </w:tcPr>
          <w:p>
            <w:pPr>
              <w:ind w:left="280"/>
              <w:spacing w:after="0" w:line="183" w:lineRule="exact"/>
              <w:rPr>
                <w:sz w:val="20"/>
                <w:szCs w:val="20"/>
                <w:color w:val="auto"/>
              </w:rPr>
            </w:pPr>
            <w:r>
              <w:rPr>
                <w:rFonts w:ascii="Arial" w:cs="Arial" w:eastAsia="Arial" w:hAnsi="Arial"/>
                <w:sz w:val="17"/>
                <w:szCs w:val="17"/>
                <w:color w:val="auto"/>
              </w:rPr>
              <w:t>Total</w:t>
            </w:r>
          </w:p>
        </w:tc>
        <w:tc>
          <w:tcPr>
            <w:tcW w:w="920" w:type="dxa"/>
            <w:vAlign w:val="bottom"/>
            <w:shd w:val="clear" w:color="auto" w:fill="CFF0FC"/>
          </w:tcPr>
          <w:p>
            <w:pPr>
              <w:jc w:val="right"/>
              <w:ind w:right="741"/>
              <w:spacing w:after="0" w:line="183" w:lineRule="exact"/>
              <w:rPr>
                <w:sz w:val="20"/>
                <w:szCs w:val="20"/>
                <w:color w:val="auto"/>
              </w:rPr>
            </w:pPr>
            <w:r>
              <w:rPr>
                <w:rFonts w:ascii="Arial" w:cs="Arial" w:eastAsia="Arial" w:hAnsi="Arial"/>
                <w:sz w:val="17"/>
                <w:szCs w:val="17"/>
                <w:color w:val="auto"/>
                <w:w w:val="84"/>
              </w:rPr>
              <w:t>$</w:t>
            </w:r>
          </w:p>
        </w:tc>
        <w:tc>
          <w:tcPr>
            <w:tcW w:w="240" w:type="dxa"/>
            <w:vAlign w:val="bottom"/>
            <w:shd w:val="clear" w:color="auto" w:fill="CFF0FC"/>
          </w:tcPr>
          <w:p>
            <w:pPr>
              <w:ind w:left="60"/>
              <w:spacing w:after="0" w:line="183" w:lineRule="exact"/>
              <w:rPr>
                <w:sz w:val="20"/>
                <w:szCs w:val="20"/>
                <w:color w:val="auto"/>
              </w:rPr>
            </w:pPr>
            <w:r>
              <w:rPr>
                <w:rFonts w:ascii="Arial" w:cs="Arial" w:eastAsia="Arial" w:hAnsi="Arial"/>
                <w:sz w:val="17"/>
                <w:szCs w:val="17"/>
                <w:color w:val="auto"/>
                <w:w w:val="93"/>
              </w:rPr>
              <w:t>—</w:t>
            </w:r>
          </w:p>
        </w:tc>
        <w:tc>
          <w:tcPr>
            <w:tcW w:w="1160" w:type="dxa"/>
            <w:vAlign w:val="bottom"/>
            <w:gridSpan w:val="2"/>
            <w:shd w:val="clear" w:color="auto" w:fill="CFF0FC"/>
          </w:tcPr>
          <w:p>
            <w:pPr>
              <w:jc w:val="right"/>
              <w:ind w:right="725"/>
              <w:spacing w:after="0" w:line="183" w:lineRule="exact"/>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ind w:left="60"/>
              <w:spacing w:after="0" w:line="183" w:lineRule="exact"/>
              <w:rPr>
                <w:sz w:val="20"/>
                <w:szCs w:val="20"/>
                <w:color w:val="auto"/>
              </w:rPr>
            </w:pPr>
            <w:r>
              <w:rPr>
                <w:rFonts w:ascii="Arial" w:cs="Arial" w:eastAsia="Arial" w:hAnsi="Arial"/>
                <w:sz w:val="17"/>
                <w:szCs w:val="17"/>
                <w:color w:val="auto"/>
                <w:w w:val="93"/>
              </w:rPr>
              <w:t>—</w:t>
            </w:r>
          </w:p>
        </w:tc>
        <w:tc>
          <w:tcPr>
            <w:tcW w:w="4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916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916</w:t>
            </w:r>
          </w:p>
        </w:tc>
        <w:tc>
          <w:tcPr>
            <w:tcW w:w="100" w:type="dxa"/>
            <w:vAlign w:val="bottom"/>
            <w:shd w:val="clear" w:color="auto" w:fill="CFF0FC"/>
          </w:tcPr>
          <w:p>
            <w:pPr>
              <w:spacing w:after="0"/>
              <w:rPr>
                <w:sz w:val="19"/>
                <w:szCs w:val="19"/>
                <w:color w:val="auto"/>
              </w:rPr>
            </w:pPr>
          </w:p>
        </w:tc>
      </w:tr>
      <w:tr>
        <w:trPr>
          <w:trHeight w:val="75"/>
        </w:trPr>
        <w:tc>
          <w:tcPr>
            <w:tcW w:w="5760" w:type="dxa"/>
            <w:vAlign w:val="bottom"/>
            <w:tcBorders>
              <w:top w:val="single" w:sz="8" w:color="CFF0FC"/>
              <w:bottom w:val="single" w:sz="8" w:color="auto"/>
            </w:tcBorders>
          </w:tcPr>
          <w:p>
            <w:pPr>
              <w:spacing w:after="0"/>
              <w:rPr>
                <w:sz w:val="6"/>
                <w:szCs w:val="6"/>
                <w:color w:val="auto"/>
              </w:rPr>
            </w:pPr>
          </w:p>
        </w:tc>
        <w:tc>
          <w:tcPr>
            <w:tcW w:w="92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CFF0FC"/>
              <w:bottom w:val="single" w:sz="8" w:color="auto"/>
            </w:tcBorders>
          </w:tcPr>
          <w:p>
            <w:pPr>
              <w:spacing w:after="0"/>
              <w:rPr>
                <w:sz w:val="6"/>
                <w:szCs w:val="6"/>
                <w:color w:val="auto"/>
              </w:rPr>
            </w:pPr>
          </w:p>
        </w:tc>
        <w:tc>
          <w:tcPr>
            <w:tcW w:w="92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CFF0FC"/>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960" w:type="dxa"/>
            <w:vAlign w:val="bottom"/>
            <w:tcBorders>
              <w:top w:val="single" w:sz="8" w:color="auto"/>
              <w:bottom w:val="single" w:sz="8" w:color="auto"/>
            </w:tcBorders>
          </w:tcPr>
          <w:p>
            <w:pPr>
              <w:spacing w:after="0"/>
              <w:rPr>
                <w:sz w:val="6"/>
                <w:szCs w:val="6"/>
                <w:color w:val="auto"/>
              </w:rPr>
            </w:pPr>
          </w:p>
        </w:tc>
        <w:tc>
          <w:tcPr>
            <w:tcW w:w="260" w:type="dxa"/>
            <w:vAlign w:val="bottom"/>
            <w:tcBorders>
              <w:top w:val="single" w:sz="8" w:color="CFF0FC"/>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94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FF0FC"/>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-1071245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-1053465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-1071245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-1053465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-1071245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-93345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-76835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-93345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-76835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-93345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-76835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-76835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Warrant Liability</w:t>
      </w:r>
    </w:p>
    <w:p>
      <w:pPr>
        <w:spacing w:after="0" w:line="142"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connection with the November 13, 2018 issuance of Series B convertible preferred stock, the Company issued warrants to purchase shares of common stock of which certain warrants are shown as a liability on the balance sheet, see Note 10. The fair value of the warrant liability was determined based on significant inputs not observable in the market, which represents a Level 3 measurement within the fair value hierarchy. The fair value of the warrant liability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expected volatility of the price of the underlying common stock, and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7" w:name="page138"/>
    <w:bookmarkEnd w:id="137"/>
    <w:p>
      <w:pPr>
        <w:ind w:right="220"/>
        <w:spacing w:after="0" w:line="267" w:lineRule="auto"/>
        <w:rPr>
          <w:sz w:val="20"/>
          <w:szCs w:val="20"/>
          <w:color w:val="auto"/>
        </w:rPr>
      </w:pPr>
      <w:r>
        <w:rPr>
          <w:rFonts w:ascii="Arial" w:cs="Arial" w:eastAsia="Arial" w:hAnsi="Arial"/>
          <w:sz w:val="17"/>
          <w:szCs w:val="17"/>
          <w:color w:val="auto"/>
        </w:rPr>
        <w:t>remaining contractual term of the warrants. The most significant assumption in the model impacting the fair value of the common stock warrants is the fair value of the Company’s common stock as of each remeasurement date.</w:t>
      </w:r>
    </w:p>
    <w:p>
      <w:pPr>
        <w:spacing w:after="0" w:line="5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following table provides a roll forward of the aggregate fair values of the Company’s warrant liability, for which fair value is determined by Level 3 inputs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ind w:left="141"/>
              <w:spacing w:after="0"/>
              <w:rPr>
                <w:sz w:val="20"/>
                <w:szCs w:val="20"/>
                <w:color w:val="auto"/>
              </w:rPr>
            </w:pPr>
            <w:r>
              <w:rPr>
                <w:rFonts w:ascii="Arial" w:cs="Arial" w:eastAsia="Arial" w:hAnsi="Arial"/>
                <w:sz w:val="14"/>
                <w:szCs w:val="14"/>
                <w:b w:val="1"/>
                <w:bCs w:val="1"/>
                <w:color w:val="auto"/>
              </w:rPr>
              <w:t>SERIES B</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ind w:left="141"/>
              <w:spacing w:after="0"/>
              <w:rPr>
                <w:sz w:val="20"/>
                <w:szCs w:val="20"/>
                <w:color w:val="auto"/>
              </w:rPr>
            </w:pPr>
            <w:r>
              <w:rPr>
                <w:rFonts w:ascii="Arial" w:cs="Arial" w:eastAsia="Arial" w:hAnsi="Arial"/>
                <w:sz w:val="14"/>
                <w:szCs w:val="14"/>
                <w:b w:val="1"/>
                <w:bCs w:val="1"/>
                <w:color w:val="auto"/>
              </w:rPr>
              <w:t>WARRANT</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b w:val="1"/>
                <w:bCs w:val="1"/>
                <w:color w:val="auto"/>
              </w:rPr>
              <w:t>LIABILITY</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Balance at December 31, 2022</w:t>
            </w:r>
          </w:p>
        </w:tc>
        <w:tc>
          <w:tcPr>
            <w:tcW w:w="102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ind w:right="220"/>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1,882</w:t>
            </w: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7"/>
                <w:szCs w:val="17"/>
                <w:color w:val="auto"/>
              </w:rPr>
              <w:t>Change in fair value</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gridSpan w:val="3"/>
          </w:tcPr>
          <w:p>
            <w:pPr>
              <w:jc w:val="right"/>
              <w:ind w:right="40"/>
              <w:spacing w:after="0" w:line="189" w:lineRule="exact"/>
              <w:rPr>
                <w:sz w:val="20"/>
                <w:szCs w:val="20"/>
                <w:color w:val="auto"/>
              </w:rPr>
            </w:pPr>
            <w:r>
              <w:rPr>
                <w:rFonts w:ascii="Arial" w:cs="Arial" w:eastAsia="Arial" w:hAnsi="Arial"/>
                <w:sz w:val="17"/>
                <w:szCs w:val="17"/>
                <w:color w:val="auto"/>
              </w:rPr>
              <w:t>(966 )</w:t>
            </w: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Balance at December 31, 2023</w:t>
            </w:r>
          </w:p>
        </w:tc>
        <w:tc>
          <w:tcPr>
            <w:tcW w:w="10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40" w:type="dxa"/>
            <w:vAlign w:val="bottom"/>
            <w:tcBorders>
              <w:top w:val="single" w:sz="8" w:color="auto"/>
            </w:tcBorders>
            <w:gridSpan w:val="2"/>
            <w:shd w:val="clear" w:color="auto" w:fill="CFF0FC"/>
          </w:tcPr>
          <w:p>
            <w:pPr>
              <w:jc w:val="right"/>
              <w:ind w:right="220"/>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916</w:t>
            </w: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7"/>
                <w:szCs w:val="17"/>
                <w:color w:val="auto"/>
              </w:rPr>
              <w:t>Change in fair value</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color w:val="auto"/>
                <w:w w:val="99"/>
              </w:rPr>
              <w:t>20,802</w:t>
            </w:r>
          </w:p>
        </w:tc>
        <w:tc>
          <w:tcPr>
            <w:tcW w:w="100" w:type="dxa"/>
            <w:vAlign w:val="bottom"/>
          </w:tcPr>
          <w:p>
            <w:pPr>
              <w:spacing w:after="0"/>
              <w:rPr>
                <w:sz w:val="16"/>
                <w:szCs w:val="16"/>
                <w:color w:val="auto"/>
              </w:rPr>
            </w:pPr>
          </w:p>
        </w:tc>
      </w:tr>
      <w:tr>
        <w:trPr>
          <w:trHeight w:val="22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Balance at December 31, 2024</w:t>
            </w:r>
          </w:p>
        </w:tc>
        <w:tc>
          <w:tcPr>
            <w:tcW w:w="10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20"/>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w w:val="99"/>
              </w:rPr>
              <w:t>21,718</w:t>
            </w:r>
          </w:p>
        </w:tc>
        <w:tc>
          <w:tcPr>
            <w:tcW w:w="100" w:type="dxa"/>
            <w:vAlign w:val="bottom"/>
            <w:shd w:val="clear" w:color="auto" w:fill="CFF0FC"/>
          </w:tcPr>
          <w:p>
            <w:pPr>
              <w:spacing w:after="0"/>
              <w:rPr>
                <w:sz w:val="19"/>
                <w:szCs w:val="19"/>
                <w:color w:val="auto"/>
              </w:rPr>
            </w:pPr>
          </w:p>
        </w:tc>
      </w:tr>
      <w:tr>
        <w:trPr>
          <w:trHeight w:val="75"/>
        </w:trPr>
        <w:tc>
          <w:tcPr>
            <w:tcW w:w="7680" w:type="dxa"/>
            <w:vAlign w:val="bottom"/>
            <w:tcBorders>
              <w:top w:val="single" w:sz="8" w:color="CFF0FC"/>
              <w:bottom w:val="single" w:sz="8" w:color="auto"/>
            </w:tcBorders>
          </w:tcPr>
          <w:p>
            <w:pPr>
              <w:spacing w:after="0"/>
              <w:rPr>
                <w:sz w:val="6"/>
                <w:szCs w:val="6"/>
                <w:color w:val="auto"/>
              </w:rPr>
            </w:pPr>
          </w:p>
        </w:tc>
        <w:tc>
          <w:tcPr>
            <w:tcW w:w="1020" w:type="dxa"/>
            <w:vAlign w:val="bottom"/>
            <w:tcBorders>
              <w:top w:val="single" w:sz="8" w:color="CFF0FC"/>
              <w:bottom w:val="single" w:sz="8" w:color="auto"/>
            </w:tcBorders>
          </w:tcPr>
          <w:p>
            <w:pPr>
              <w:spacing w:after="0"/>
              <w:rPr>
                <w:sz w:val="6"/>
                <w:szCs w:val="6"/>
                <w:color w:val="auto"/>
              </w:rPr>
            </w:pPr>
          </w:p>
        </w:tc>
        <w:tc>
          <w:tcPr>
            <w:tcW w:w="520" w:type="dxa"/>
            <w:vAlign w:val="bottom"/>
            <w:tcBorders>
              <w:top w:val="single" w:sz="8" w:color="CFF0FC"/>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102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FF0FC"/>
              <w:bottom w:val="single" w:sz="8" w:color="auto"/>
            </w:tcBorders>
          </w:tcPr>
          <w:p>
            <w:pPr>
              <w:spacing w:after="0"/>
              <w:rPr>
                <w:sz w:val="6"/>
                <w:szCs w:val="6"/>
                <w:color w:val="auto"/>
              </w:rPr>
            </w:pPr>
          </w:p>
        </w:tc>
      </w:tr>
      <w:tr>
        <w:trPr>
          <w:trHeight w:val="314"/>
        </w:trPr>
        <w:tc>
          <w:tcPr>
            <w:tcW w:w="7680" w:type="dxa"/>
            <w:vAlign w:val="bottom"/>
          </w:tcPr>
          <w:p>
            <w:pPr>
              <w:spacing w:after="0"/>
              <w:rPr>
                <w:sz w:val="20"/>
                <w:szCs w:val="20"/>
                <w:color w:val="auto"/>
              </w:rPr>
            </w:pPr>
            <w:r>
              <w:rPr>
                <w:rFonts w:ascii="Arial" w:cs="Arial" w:eastAsia="Arial" w:hAnsi="Arial"/>
                <w:sz w:val="17"/>
                <w:szCs w:val="17"/>
                <w:b w:val="1"/>
                <w:bCs w:val="1"/>
                <w:color w:val="auto"/>
              </w:rPr>
              <w:t>4. Fixed Assets, Net</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7"/>
        </w:trPr>
        <w:tc>
          <w:tcPr>
            <w:tcW w:w="7680" w:type="dxa"/>
            <w:vAlign w:val="bottom"/>
          </w:tcPr>
          <w:p>
            <w:pPr>
              <w:spacing w:after="0"/>
              <w:rPr>
                <w:sz w:val="20"/>
                <w:szCs w:val="20"/>
                <w:color w:val="auto"/>
              </w:rPr>
            </w:pPr>
            <w:r>
              <w:rPr>
                <w:rFonts w:ascii="Arial" w:cs="Arial" w:eastAsia="Arial" w:hAnsi="Arial"/>
                <w:sz w:val="17"/>
                <w:szCs w:val="17"/>
                <w:color w:val="auto"/>
              </w:rPr>
              <w:t>Fixed assets, net consisted of the following (in thousands):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76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32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r>
        <w:trPr>
          <w:trHeight w:val="250"/>
        </w:trPr>
        <w:tc>
          <w:tcPr>
            <w:tcW w:w="76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55"/>
        </w:trPr>
        <w:tc>
          <w:tcPr>
            <w:tcW w:w="768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Borders>
              <w:bottom w:val="single" w:sz="8" w:color="auto"/>
            </w:tcBorders>
          </w:tcPr>
          <w:p>
            <w:pPr>
              <w:jc w:val="right"/>
              <w:ind w:right="1"/>
              <w:spacing w:after="0" w:line="155" w:lineRule="exact"/>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Laboratory equipment</w:t>
            </w:r>
          </w:p>
        </w:tc>
        <w:tc>
          <w:tcPr>
            <w:tcW w:w="1020" w:type="dxa"/>
            <w:vAlign w:val="bottom"/>
            <w:shd w:val="clear" w:color="auto" w:fill="CFF0FC"/>
          </w:tcPr>
          <w:p>
            <w:pPr>
              <w:jc w:val="right"/>
              <w:ind w:right="818"/>
              <w:spacing w:after="0" w:line="183"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1,219</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41"/>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1,209</w:t>
            </w: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7"/>
                <w:szCs w:val="17"/>
                <w:color w:val="auto"/>
              </w:rPr>
              <w:t>Manufacturing equipment</w:t>
            </w:r>
          </w:p>
        </w:tc>
        <w:tc>
          <w:tcPr>
            <w:tcW w:w="1020" w:type="dxa"/>
            <w:vAlign w:val="bottom"/>
          </w:tcPr>
          <w:p>
            <w:pPr>
              <w:spacing w:after="0"/>
              <w:rPr>
                <w:sz w:val="16"/>
                <w:szCs w:val="16"/>
                <w:color w:val="auto"/>
              </w:rPr>
            </w:pPr>
          </w:p>
        </w:tc>
        <w:tc>
          <w:tcPr>
            <w:tcW w:w="5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695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730</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Furniture and fixtures</w:t>
            </w:r>
          </w:p>
        </w:tc>
        <w:tc>
          <w:tcPr>
            <w:tcW w:w="102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159</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159</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7"/>
                <w:szCs w:val="17"/>
                <w:color w:val="auto"/>
              </w:rPr>
              <w:t>Networking and computer equipment</w:t>
            </w:r>
          </w:p>
        </w:tc>
        <w:tc>
          <w:tcPr>
            <w:tcW w:w="1020" w:type="dxa"/>
            <w:vAlign w:val="bottom"/>
          </w:tcPr>
          <w:p>
            <w:pPr>
              <w:spacing w:after="0"/>
              <w:rPr>
                <w:sz w:val="16"/>
                <w:szCs w:val="16"/>
                <w:color w:val="auto"/>
              </w:rPr>
            </w:pPr>
          </w:p>
        </w:tc>
        <w:tc>
          <w:tcPr>
            <w:tcW w:w="5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88</w:t>
            </w:r>
          </w:p>
        </w:tc>
        <w:tc>
          <w:tcPr>
            <w:tcW w:w="100" w:type="dxa"/>
            <w:vAlign w:val="bottom"/>
          </w:tcPr>
          <w:p>
            <w:pPr>
              <w:spacing w:after="0"/>
              <w:rPr>
                <w:sz w:val="16"/>
                <w:szCs w:val="16"/>
                <w:color w:val="auto"/>
              </w:rPr>
            </w:pPr>
          </w:p>
        </w:tc>
      </w:tr>
      <w:tr>
        <w:trPr>
          <w:trHeight w:val="189"/>
        </w:trPr>
        <w:tc>
          <w:tcPr>
            <w:tcW w:w="7680" w:type="dxa"/>
            <w:vAlign w:val="bottom"/>
            <w:tcBorders>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7"/>
                <w:szCs w:val="17"/>
                <w:color w:val="auto"/>
              </w:rPr>
              <w:t>Leasehold improvements</w:t>
            </w:r>
          </w:p>
        </w:tc>
        <w:tc>
          <w:tcPr>
            <w:tcW w:w="10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3,109</w:t>
            </w:r>
          </w:p>
        </w:tc>
        <w:tc>
          <w:tcPr>
            <w:tcW w:w="3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3,109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7"/>
                <w:szCs w:val="17"/>
                <w:color w:val="auto"/>
              </w:rPr>
              <w:t>Total fixed assets</w:t>
            </w:r>
          </w:p>
        </w:tc>
        <w:tc>
          <w:tcPr>
            <w:tcW w:w="1020" w:type="dxa"/>
            <w:vAlign w:val="bottom"/>
          </w:tcPr>
          <w:p>
            <w:pPr>
              <w:jc w:val="right"/>
              <w:ind w:right="818"/>
              <w:spacing w:after="0" w:line="183" w:lineRule="exact"/>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5,267</w:t>
            </w:r>
          </w:p>
        </w:tc>
        <w:tc>
          <w:tcPr>
            <w:tcW w:w="300" w:type="dxa"/>
            <w:vAlign w:val="bottom"/>
          </w:tcPr>
          <w:p>
            <w:pPr>
              <w:spacing w:after="0"/>
              <w:rPr>
                <w:sz w:val="15"/>
                <w:szCs w:val="15"/>
                <w:color w:val="auto"/>
              </w:rPr>
            </w:pPr>
          </w:p>
        </w:tc>
        <w:tc>
          <w:tcPr>
            <w:tcW w:w="1020" w:type="dxa"/>
            <w:vAlign w:val="bottom"/>
          </w:tcPr>
          <w:p>
            <w:pPr>
              <w:jc w:val="right"/>
              <w:ind w:right="841"/>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5,295</w:t>
            </w:r>
          </w:p>
        </w:tc>
        <w:tc>
          <w:tcPr>
            <w:tcW w:w="100" w:type="dxa"/>
            <w:vAlign w:val="bottom"/>
          </w:tcPr>
          <w:p>
            <w:pPr>
              <w:spacing w:after="0"/>
              <w:rPr>
                <w:sz w:val="15"/>
                <w:szCs w:val="15"/>
                <w:color w:val="auto"/>
              </w:rPr>
            </w:pPr>
          </w:p>
        </w:tc>
      </w:tr>
      <w:tr>
        <w:trPr>
          <w:trHeight w:val="189"/>
        </w:trPr>
        <w:tc>
          <w:tcPr>
            <w:tcW w:w="768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Less: accumulated depreciation</w:t>
            </w:r>
          </w:p>
        </w:tc>
        <w:tc>
          <w:tcPr>
            <w:tcW w:w="1020" w:type="dxa"/>
            <w:vAlign w:val="bottom"/>
            <w:shd w:val="clear" w:color="auto" w:fill="CFF0FC"/>
          </w:tcPr>
          <w:p>
            <w:pPr>
              <w:spacing w:after="0"/>
              <w:rPr>
                <w:sz w:val="16"/>
                <w:szCs w:val="16"/>
                <w:color w:val="auto"/>
              </w:rPr>
            </w:pPr>
          </w:p>
        </w:tc>
        <w:tc>
          <w:tcPr>
            <w:tcW w:w="860" w:type="dxa"/>
            <w:vAlign w:val="bottom"/>
            <w:gridSpan w:val="3"/>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(3,076 )</w:t>
            </w:r>
          </w:p>
        </w:tc>
        <w:tc>
          <w:tcPr>
            <w:tcW w:w="102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(2,089 )</w:t>
            </w:r>
          </w:p>
        </w:tc>
      </w:tr>
      <w:tr>
        <w:trPr>
          <w:trHeight w:val="183"/>
        </w:trPr>
        <w:tc>
          <w:tcPr>
            <w:tcW w:w="7680" w:type="dxa"/>
            <w:vAlign w:val="bottom"/>
            <w:tcBorders>
              <w:top w:val="single" w:sz="8" w:color="CFF0FC"/>
            </w:tcBorders>
          </w:tcPr>
          <w:p>
            <w:pPr>
              <w:ind w:left="280"/>
              <w:spacing w:after="0" w:line="183" w:lineRule="exact"/>
              <w:rPr>
                <w:sz w:val="20"/>
                <w:szCs w:val="20"/>
                <w:color w:val="auto"/>
              </w:rPr>
            </w:pPr>
            <w:r>
              <w:rPr>
                <w:rFonts w:ascii="Arial" w:cs="Arial" w:eastAsia="Arial" w:hAnsi="Arial"/>
                <w:sz w:val="17"/>
                <w:szCs w:val="17"/>
                <w:b w:val="1"/>
                <w:bCs w:val="1"/>
                <w:color w:val="auto"/>
              </w:rPr>
              <w:t>Fixed assets, net</w:t>
            </w:r>
          </w:p>
        </w:tc>
        <w:tc>
          <w:tcPr>
            <w:tcW w:w="1020" w:type="dxa"/>
            <w:vAlign w:val="bottom"/>
            <w:tcBorders>
              <w:top w:val="single" w:sz="8" w:color="auto"/>
              <w:bottom w:val="single" w:sz="8" w:color="auto"/>
            </w:tcBorders>
          </w:tcPr>
          <w:p>
            <w:pPr>
              <w:jc w:val="right"/>
              <w:ind w:right="818"/>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2,191</w:t>
            </w:r>
          </w:p>
        </w:tc>
        <w:tc>
          <w:tcPr>
            <w:tcW w:w="300" w:type="dxa"/>
            <w:vAlign w:val="bottom"/>
            <w:tcBorders>
              <w:top w:val="single" w:sz="8" w:color="CFF0FC"/>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41"/>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7"/>
                <w:szCs w:val="17"/>
                <w:color w:val="auto"/>
              </w:rPr>
              <w:t>3,206</w:t>
            </w:r>
          </w:p>
        </w:tc>
        <w:tc>
          <w:tcPr>
            <w:tcW w:w="100" w:type="dxa"/>
            <w:vAlign w:val="bottom"/>
            <w:tcBorders>
              <w:top w:val="single" w:sz="8" w:color="CFF0FC"/>
            </w:tcBorders>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76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277"/>
        </w:trPr>
        <w:tc>
          <w:tcPr>
            <w:tcW w:w="7680" w:type="dxa"/>
            <w:vAlign w:val="bottom"/>
          </w:tcPr>
          <w:p>
            <w:pPr>
              <w:spacing w:after="0"/>
              <w:rPr>
                <w:sz w:val="20"/>
                <w:szCs w:val="20"/>
                <w:color w:val="auto"/>
              </w:rPr>
            </w:pPr>
            <w:r>
              <w:rPr>
                <w:rFonts w:ascii="Arial" w:cs="Arial" w:eastAsia="Arial" w:hAnsi="Arial"/>
                <w:sz w:val="17"/>
                <w:szCs w:val="17"/>
                <w:color w:val="auto"/>
              </w:rPr>
              <w:t>Depreciation expense was $1.0 million for each of the years ended December 31, 2024 and 2023.</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7"/>
        </w:trPr>
        <w:tc>
          <w:tcPr>
            <w:tcW w:w="7680" w:type="dxa"/>
            <w:vAlign w:val="bottom"/>
          </w:tcPr>
          <w:p>
            <w:pPr>
              <w:spacing w:after="0"/>
              <w:rPr>
                <w:sz w:val="20"/>
                <w:szCs w:val="20"/>
                <w:color w:val="auto"/>
              </w:rPr>
            </w:pPr>
            <w:r>
              <w:rPr>
                <w:rFonts w:ascii="Arial" w:cs="Arial" w:eastAsia="Arial" w:hAnsi="Arial"/>
                <w:sz w:val="17"/>
                <w:szCs w:val="17"/>
                <w:b w:val="1"/>
                <w:bCs w:val="1"/>
                <w:color w:val="auto"/>
              </w:rPr>
              <w:t>5. Accrued Expenses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7"/>
        </w:trPr>
        <w:tc>
          <w:tcPr>
            <w:tcW w:w="7680" w:type="dxa"/>
            <w:vAlign w:val="bottom"/>
          </w:tcPr>
          <w:p>
            <w:pPr>
              <w:spacing w:after="0"/>
              <w:rPr>
                <w:sz w:val="20"/>
                <w:szCs w:val="20"/>
                <w:color w:val="auto"/>
              </w:rPr>
            </w:pPr>
            <w:r>
              <w:rPr>
                <w:rFonts w:ascii="Arial" w:cs="Arial" w:eastAsia="Arial" w:hAnsi="Arial"/>
                <w:sz w:val="17"/>
                <w:szCs w:val="17"/>
                <w:color w:val="auto"/>
              </w:rPr>
              <w:t>Accrued expenses consisted of the following (in thousands):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6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768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Borders>
              <w:bottom w:val="single" w:sz="8" w:color="auto"/>
            </w:tcBorders>
          </w:tcPr>
          <w:p>
            <w:pPr>
              <w:jc w:val="right"/>
              <w:ind w:right="1"/>
              <w:spacing w:after="0" w:line="155" w:lineRule="exact"/>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Payroll and employee related expenses</w:t>
            </w:r>
          </w:p>
        </w:tc>
        <w:tc>
          <w:tcPr>
            <w:tcW w:w="1020" w:type="dxa"/>
            <w:vAlign w:val="bottom"/>
            <w:shd w:val="clear" w:color="auto" w:fill="CFF0FC"/>
          </w:tcPr>
          <w:p>
            <w:pPr>
              <w:jc w:val="right"/>
              <w:ind w:right="818"/>
              <w:spacing w:after="0" w:line="183" w:lineRule="exact"/>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3,038</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41"/>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2,017</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7"/>
                <w:szCs w:val="17"/>
                <w:color w:val="auto"/>
              </w:rPr>
              <w:t>Professional fees</w:t>
            </w:r>
          </w:p>
        </w:tc>
        <w:tc>
          <w:tcPr>
            <w:tcW w:w="1020" w:type="dxa"/>
            <w:vAlign w:val="bottom"/>
          </w:tcPr>
          <w:p>
            <w:pPr>
              <w:spacing w:after="0"/>
              <w:rPr>
                <w:sz w:val="16"/>
                <w:szCs w:val="16"/>
                <w:color w:val="auto"/>
              </w:rPr>
            </w:pPr>
          </w:p>
        </w:tc>
        <w:tc>
          <w:tcPr>
            <w:tcW w:w="5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920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128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Third-party research and development expenses</w:t>
            </w:r>
          </w:p>
        </w:tc>
        <w:tc>
          <w:tcPr>
            <w:tcW w:w="102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765</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1,811</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390</w:t>
            </w:r>
          </w:p>
        </w:tc>
        <w:tc>
          <w:tcPr>
            <w:tcW w:w="3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6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18"/>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5,113</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41"/>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4,356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75"/>
        </w:trPr>
        <w:tc>
          <w:tcPr>
            <w:tcW w:w="76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-2073910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-1824990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-93345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-76835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-76835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term loan is secured by substantially all of the Company’s properties, rights and assets, except for its intellectual property, which is subject to a negative pledge under the Loan Agreement.</w:t>
      </w:r>
    </w:p>
    <w:p>
      <w:pPr>
        <w:spacing w:after="0" w:line="110"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spacing w:after="0" w:line="115"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During the years ended December 31, 2024 and 2023, the Company recorded interest expense relating to the Loan Agreement of $2.0 million and $2.5 million, respectively. The weighted average effective interest rate as of December 31, 2024 was 11.75%.</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8" w:name="page139"/>
    <w:bookmarkEnd w:id="138"/>
    <w:p>
      <w:pPr>
        <w:jc w:val="both"/>
        <w:ind w:right="40"/>
        <w:spacing w:after="0" w:line="249" w:lineRule="auto"/>
        <w:rPr>
          <w:sz w:val="20"/>
          <w:szCs w:val="20"/>
          <w:color w:val="auto"/>
        </w:rPr>
      </w:pPr>
      <w:r>
        <w:rPr>
          <w:rFonts w:ascii="Arial" w:cs="Arial" w:eastAsia="Arial" w:hAnsi="Arial"/>
          <w:sz w:val="17"/>
          <w:szCs w:val="17"/>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8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2025</w:t>
            </w:r>
          </w:p>
        </w:tc>
        <w:tc>
          <w:tcPr>
            <w:tcW w:w="1280" w:type="dxa"/>
            <w:vAlign w:val="bottom"/>
            <w:gridSpan w:val="2"/>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7"/>
                <w:szCs w:val="17"/>
                <w:color w:val="auto"/>
              </w:rPr>
            </w:pPr>
          </w:p>
        </w:tc>
      </w:tr>
      <w:tr>
        <w:trPr>
          <w:trHeight w:val="203"/>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2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w:t>
            </w:r>
          </w:p>
        </w:tc>
        <w:tc>
          <w:tcPr>
            <w:tcW w:w="100" w:type="dxa"/>
            <w:vAlign w:val="bottom"/>
          </w:tcPr>
          <w:p>
            <w:pPr>
              <w:spacing w:after="0"/>
              <w:rPr>
                <w:sz w:val="17"/>
                <w:szCs w:val="17"/>
                <w:color w:val="auto"/>
              </w:rPr>
            </w:pPr>
          </w:p>
        </w:tc>
      </w:tr>
      <w:tr>
        <w:trPr>
          <w:trHeight w:val="196"/>
        </w:trPr>
        <w:tc>
          <w:tcPr>
            <w:tcW w:w="840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principal</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10,833</w:t>
            </w:r>
          </w:p>
        </w:tc>
        <w:tc>
          <w:tcPr>
            <w:tcW w:w="100" w:type="dxa"/>
            <w:vAlign w:val="bottom"/>
            <w:shd w:val="clear" w:color="auto" w:fill="CFF0FC"/>
          </w:tcPr>
          <w:p>
            <w:pPr>
              <w:spacing w:after="0"/>
              <w:rPr>
                <w:sz w:val="17"/>
                <w:szCs w:val="17"/>
                <w:color w:val="auto"/>
              </w:rPr>
            </w:pPr>
          </w:p>
        </w:tc>
      </w:tr>
      <w:tr>
        <w:trPr>
          <w:trHeight w:val="203"/>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Final payment fee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100" w:type="dxa"/>
            <w:vAlign w:val="bottom"/>
          </w:tcPr>
          <w:p>
            <w:pPr>
              <w:spacing w:after="0"/>
              <w:rPr>
                <w:sz w:val="17"/>
                <w:szCs w:val="17"/>
                <w:color w:val="auto"/>
              </w:rPr>
            </w:pPr>
          </w:p>
        </w:tc>
      </w:tr>
      <w:tr>
        <w:trPr>
          <w:trHeight w:val="203"/>
        </w:trPr>
        <w:tc>
          <w:tcPr>
            <w:tcW w:w="8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debt discount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(989 )</w:t>
            </w:r>
          </w:p>
        </w:tc>
      </w:tr>
      <w:tr>
        <w:trPr>
          <w:trHeight w:val="203"/>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Accretion of debt discount</w:t>
            </w:r>
          </w:p>
        </w:tc>
        <w:tc>
          <w:tcPr>
            <w:tcW w:w="2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884</w:t>
            </w:r>
          </w:p>
        </w:tc>
        <w:tc>
          <w:tcPr>
            <w:tcW w:w="100" w:type="dxa"/>
            <w:vAlign w:val="bottom"/>
          </w:tcPr>
          <w:p>
            <w:pPr>
              <w:spacing w:after="0"/>
              <w:rPr>
                <w:sz w:val="17"/>
                <w:szCs w:val="17"/>
                <w:color w:val="auto"/>
              </w:rPr>
            </w:pPr>
          </w:p>
        </w:tc>
      </w:tr>
      <w:tr>
        <w:trPr>
          <w:trHeight w:val="196"/>
        </w:trPr>
        <w:tc>
          <w:tcPr>
            <w:tcW w:w="8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carrying amount</w:t>
            </w:r>
          </w:p>
        </w:tc>
        <w:tc>
          <w:tcPr>
            <w:tcW w:w="1280" w:type="dxa"/>
            <w:vAlign w:val="bottom"/>
            <w:gridSpan w:val="2"/>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11,628</w:t>
            </w:r>
          </w:p>
        </w:tc>
        <w:tc>
          <w:tcPr>
            <w:tcW w:w="100" w:type="dxa"/>
            <w:vAlign w:val="bottom"/>
            <w:shd w:val="clear" w:color="auto" w:fill="CFF0FC"/>
          </w:tcPr>
          <w:p>
            <w:pPr>
              <w:spacing w:after="0"/>
              <w:rPr>
                <w:sz w:val="17"/>
                <w:szCs w:val="17"/>
                <w:color w:val="auto"/>
              </w:rPr>
            </w:pPr>
          </w:p>
        </w:tc>
      </w:tr>
      <w:tr>
        <w:trPr>
          <w:trHeight w:val="203"/>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17"/>
                <w:szCs w:val="17"/>
                <w:color w:val="auto"/>
              </w:rPr>
            </w:pPr>
          </w:p>
        </w:tc>
        <w:tc>
          <w:tcPr>
            <w:tcW w:w="100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(9,895 )</w:t>
            </w:r>
          </w:p>
        </w:tc>
      </w:tr>
      <w:tr>
        <w:trPr>
          <w:trHeight w:val="236"/>
        </w:trPr>
        <w:tc>
          <w:tcPr>
            <w:tcW w:w="8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portion</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term loan approximates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Other Long-Term Debt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Periphagen Note</w:t>
      </w:r>
    </w:p>
    <w:p>
      <w:pPr>
        <w:spacing w:after="0" w:line="14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On December 9, 2019, the Company entered into a series of asset purchase agreements with Periphagen, Inc. (Periphagen), a biopharmaceutical company focused on the development of gene therapy vectors. Under the terms of the asset purchase agreements, the Company assumed a $1.0 million promissory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December 31, 2024, the carrying value of the note is $0.9 million. The carrying value of the note approximates fair value. Upon maturity, the Company will pay Periphagen $1.4 million for the outstanding balance and accrued interest due.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On February 4, 2019, the Company signed a lease agreement for its corporate headquarters at 117 Kendrick Street in Needham, Massachusetts.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facility consists of a 15,197 square foot property which houses the corporate, clinical, laboratory and manufacturing operations for the Company.</w:t>
      </w:r>
    </w:p>
    <w:p>
      <w:pPr>
        <w:spacing w:after="0"/>
        <w:rPr>
          <w:sz w:val="20"/>
          <w:szCs w:val="20"/>
          <w:color w:val="auto"/>
        </w:rPr>
      </w:pPr>
      <w:r>
        <w:rPr>
          <w:rFonts w:ascii="Arial" w:cs="Arial" w:eastAsia="Arial" w:hAnsi="Arial"/>
          <w:sz w:val="17"/>
          <w:szCs w:val="17"/>
          <w:color w:val="auto"/>
        </w:rPr>
        <w:t>The lease term ends on August 31, 2026.</w:t>
      </w:r>
    </w:p>
    <w:p>
      <w:pPr>
        <w:spacing w:after="0" w:line="126"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For each of the years ended December 31, 2024 and 2023, the Company recorded $0.4 million of operating lease cost and $0.1 million of variable lease cost. The total lease expense for each of the years ended December 31, 2024 and 2023 was $0.5 million.</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Cash paid for amounts included in the lease liability for each of the years ended December 31, 2024 and 2023 was $0.6 million.</w:t>
      </w:r>
    </w:p>
    <w:p>
      <w:pPr>
        <w:spacing w:after="0" w:line="290" w:lineRule="exact"/>
        <w:rPr>
          <w:sz w:val="20"/>
          <w:szCs w:val="20"/>
          <w:color w:val="auto"/>
        </w:rPr>
      </w:pPr>
    </w:p>
    <w:tbl>
      <w:tblPr>
        <w:tblLayout w:type="fixed"/>
        <w:tblInd w:w="1200" w:type="dxa"/>
        <w:tblCellMar>
          <w:top w:w="0" w:type="dxa"/>
          <w:left w:w="0" w:type="dxa"/>
          <w:bottom w:w="0" w:type="dxa"/>
          <w:right w:w="0" w:type="dxa"/>
        </w:tblCellMar>
      </w:tblPr>
      <w:tr>
        <w:trPr>
          <w:trHeight w:val="171"/>
        </w:trPr>
        <w:tc>
          <w:tcPr>
            <w:tcW w:w="528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Other Information</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2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380" w:type="dxa"/>
            <w:vAlign w:val="bottom"/>
            <w:gridSpan w:val="2"/>
            <w:shd w:val="clear" w:color="auto" w:fill="CFF0FC"/>
          </w:tcPr>
          <w:p>
            <w:pPr>
              <w:spacing w:after="0" w:line="183" w:lineRule="exact"/>
              <w:rPr>
                <w:sz w:val="20"/>
                <w:szCs w:val="20"/>
                <w:color w:val="auto"/>
              </w:rPr>
            </w:pPr>
            <w:r>
              <w:rPr>
                <w:rFonts w:ascii="Arial" w:cs="Arial" w:eastAsia="Arial" w:hAnsi="Arial"/>
                <w:sz w:val="17"/>
                <w:szCs w:val="17"/>
                <w:color w:val="auto"/>
              </w:rPr>
              <w:t>Operating cash flows used for operating leases (in thousands)</w:t>
            </w:r>
          </w:p>
        </w:tc>
        <w:tc>
          <w:tcPr>
            <w:tcW w:w="360" w:type="dxa"/>
            <w:vAlign w:val="bottom"/>
            <w:shd w:val="clear" w:color="auto" w:fill="CFF0FC"/>
          </w:tcPr>
          <w:p>
            <w:pPr>
              <w:jc w:val="right"/>
              <w:ind w:right="175"/>
              <w:spacing w:after="0" w:line="183" w:lineRule="exact"/>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598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583</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spacing w:after="0" w:line="189" w:lineRule="exact"/>
              <w:rPr>
                <w:sz w:val="20"/>
                <w:szCs w:val="20"/>
                <w:color w:val="auto"/>
              </w:rPr>
            </w:pPr>
            <w:r>
              <w:rPr>
                <w:rFonts w:ascii="Arial" w:cs="Arial" w:eastAsia="Arial" w:hAnsi="Arial"/>
                <w:sz w:val="17"/>
                <w:szCs w:val="17"/>
                <w:color w:val="auto"/>
              </w:rPr>
              <w:t>Weighted-average remaining lease term (years)</w:t>
            </w: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2.7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FF0FC"/>
          </w:tcPr>
          <w:p>
            <w:pPr>
              <w:spacing w:after="0" w:line="189" w:lineRule="exact"/>
              <w:rPr>
                <w:sz w:val="20"/>
                <w:szCs w:val="20"/>
                <w:color w:val="auto"/>
              </w:rPr>
            </w:pPr>
            <w:r>
              <w:rPr>
                <w:rFonts w:ascii="Arial" w:cs="Arial" w:eastAsia="Arial" w:hAnsi="Arial"/>
                <w:sz w:val="17"/>
                <w:szCs w:val="17"/>
                <w:color w:val="auto"/>
              </w:rPr>
              <w:t>Weighted-average incremental borrowing rate</w:t>
            </w:r>
          </w:p>
        </w:tc>
        <w:tc>
          <w:tcPr>
            <w:tcW w:w="36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7"/>
                <w:szCs w:val="17"/>
                <w:color w:val="auto"/>
              </w:rPr>
              <w:t>7.02 %</w:t>
            </w:r>
          </w:p>
        </w:tc>
        <w:tc>
          <w:tcPr>
            <w:tcW w:w="3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7.02 %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future lease payments under non-cancelable leases at December 31, 2024,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shd w:val="clear" w:color="auto" w:fill="CFF0FC"/>
          </w:tcPr>
          <w:p>
            <w:pPr>
              <w:ind w:left="20"/>
              <w:spacing w:after="0"/>
              <w:rPr>
                <w:sz w:val="20"/>
                <w:szCs w:val="20"/>
                <w:color w:val="auto"/>
              </w:rPr>
            </w:pPr>
            <w:r>
              <w:rPr>
                <w:rFonts w:ascii="Arial" w:cs="Arial" w:eastAsia="Arial" w:hAnsi="Arial"/>
                <w:sz w:val="17"/>
                <w:szCs w:val="17"/>
                <w:color w:val="auto"/>
              </w:rPr>
              <w:t>2025</w:t>
            </w:r>
          </w:p>
        </w:tc>
        <w:tc>
          <w:tcPr>
            <w:tcW w:w="6100" w:type="dxa"/>
            <w:vAlign w:val="bottom"/>
            <w:gridSpan w:val="2"/>
            <w:shd w:val="clear" w:color="auto" w:fill="CFF0FC"/>
          </w:tcPr>
          <w:p>
            <w:pPr>
              <w:jc w:val="right"/>
              <w:ind w:right="59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613</w:t>
            </w:r>
          </w:p>
        </w:tc>
        <w:tc>
          <w:tcPr>
            <w:tcW w:w="100" w:type="dxa"/>
            <w:vAlign w:val="bottom"/>
            <w:shd w:val="clear" w:color="auto" w:fill="CFF0FC"/>
          </w:tcPr>
          <w:p>
            <w:pPr>
              <w:spacing w:after="0"/>
              <w:rPr>
                <w:sz w:val="16"/>
                <w:szCs w:val="16"/>
                <w:color w:val="auto"/>
              </w:rPr>
            </w:pPr>
          </w:p>
        </w:tc>
      </w:tr>
      <w:tr>
        <w:trPr>
          <w:trHeight w:val="189"/>
        </w:trPr>
        <w:tc>
          <w:tcPr>
            <w:tcW w:w="3920" w:type="dxa"/>
            <w:vAlign w:val="bottom"/>
          </w:tcPr>
          <w:p>
            <w:pPr>
              <w:ind w:left="20"/>
              <w:spacing w:after="0" w:line="189" w:lineRule="exact"/>
              <w:rPr>
                <w:sz w:val="20"/>
                <w:szCs w:val="20"/>
                <w:color w:val="auto"/>
              </w:rPr>
            </w:pPr>
            <w:r>
              <w:rPr>
                <w:rFonts w:ascii="Arial" w:cs="Arial" w:eastAsia="Arial" w:hAnsi="Arial"/>
                <w:sz w:val="17"/>
                <w:szCs w:val="17"/>
                <w:color w:val="auto"/>
              </w:rPr>
              <w:t>2026</w:t>
            </w:r>
          </w:p>
        </w:tc>
        <w:tc>
          <w:tcPr>
            <w:tcW w:w="53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415</w:t>
            </w:r>
          </w:p>
        </w:tc>
        <w:tc>
          <w:tcPr>
            <w:tcW w:w="100" w:type="dxa"/>
            <w:vAlign w:val="bottom"/>
          </w:tcPr>
          <w:p>
            <w:pPr>
              <w:spacing w:after="0"/>
              <w:rPr>
                <w:sz w:val="16"/>
                <w:szCs w:val="16"/>
                <w:color w:val="auto"/>
              </w:rPr>
            </w:pPr>
          </w:p>
        </w:tc>
      </w:tr>
      <w:tr>
        <w:trPr>
          <w:trHeight w:val="183"/>
        </w:trPr>
        <w:tc>
          <w:tcPr>
            <w:tcW w:w="3920" w:type="dxa"/>
            <w:vAlign w:val="bottom"/>
            <w:shd w:val="clear" w:color="auto" w:fill="CFF0FC"/>
          </w:tcPr>
          <w:p>
            <w:pPr>
              <w:ind w:left="280"/>
              <w:spacing w:after="0" w:line="183" w:lineRule="exact"/>
              <w:rPr>
                <w:sz w:val="20"/>
                <w:szCs w:val="20"/>
                <w:color w:val="auto"/>
              </w:rPr>
            </w:pPr>
            <w:r>
              <w:rPr>
                <w:rFonts w:ascii="Arial" w:cs="Arial" w:eastAsia="Arial" w:hAnsi="Arial"/>
                <w:sz w:val="17"/>
                <w:szCs w:val="17"/>
                <w:color w:val="auto"/>
              </w:rPr>
              <w:t>Total future lease payments</w:t>
            </w:r>
          </w:p>
        </w:tc>
        <w:tc>
          <w:tcPr>
            <w:tcW w:w="5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1,028</w:t>
            </w:r>
          </w:p>
        </w:tc>
        <w:tc>
          <w:tcPr>
            <w:tcW w:w="100" w:type="dxa"/>
            <w:vAlign w:val="bottom"/>
            <w:shd w:val="clear" w:color="auto" w:fill="CFF0FC"/>
          </w:tcPr>
          <w:p>
            <w:pPr>
              <w:spacing w:after="0"/>
              <w:rPr>
                <w:sz w:val="15"/>
                <w:szCs w:val="15"/>
                <w:color w:val="auto"/>
              </w:rPr>
            </w:pPr>
          </w:p>
        </w:tc>
      </w:tr>
      <w:tr>
        <w:trPr>
          <w:trHeight w:val="189"/>
        </w:trPr>
        <w:tc>
          <w:tcPr>
            <w:tcW w:w="3920" w:type="dxa"/>
            <w:vAlign w:val="bottom"/>
          </w:tcPr>
          <w:p>
            <w:pPr>
              <w:ind w:left="20"/>
              <w:spacing w:after="0" w:line="189" w:lineRule="exact"/>
              <w:rPr>
                <w:sz w:val="20"/>
                <w:szCs w:val="20"/>
                <w:color w:val="auto"/>
              </w:rPr>
            </w:pPr>
            <w:r>
              <w:rPr>
                <w:rFonts w:ascii="Arial" w:cs="Arial" w:eastAsia="Arial" w:hAnsi="Arial"/>
                <w:sz w:val="17"/>
                <w:szCs w:val="17"/>
                <w:color w:val="auto"/>
              </w:rPr>
              <w:t>Less: imputed interest</w:t>
            </w:r>
          </w:p>
        </w:tc>
        <w:tc>
          <w:tcPr>
            <w:tcW w:w="5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(55 )</w:t>
            </w:r>
          </w:p>
        </w:tc>
      </w:tr>
      <w:tr>
        <w:trPr>
          <w:trHeight w:val="223"/>
        </w:trPr>
        <w:tc>
          <w:tcPr>
            <w:tcW w:w="39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7"/>
                <w:szCs w:val="17"/>
                <w:color w:val="auto"/>
              </w:rPr>
              <w:t>Total lease liability</w:t>
            </w:r>
          </w:p>
        </w:tc>
        <w:tc>
          <w:tcPr>
            <w:tcW w:w="53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59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973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615"/>
        </w:trPr>
        <w:tc>
          <w:tcPr>
            <w:tcW w:w="3920" w:type="dxa"/>
            <w:vAlign w:val="bottom"/>
          </w:tcPr>
          <w:p>
            <w:pPr>
              <w:spacing w:after="0"/>
              <w:rPr>
                <w:sz w:val="24"/>
                <w:szCs w:val="24"/>
                <w:color w:val="auto"/>
              </w:rPr>
            </w:pPr>
          </w:p>
        </w:tc>
        <w:tc>
          <w:tcPr>
            <w:tcW w:w="6100" w:type="dxa"/>
            <w:vAlign w:val="bottom"/>
            <w:gridSpan w:val="2"/>
          </w:tcPr>
          <w:p>
            <w:pPr>
              <w:jc w:val="right"/>
              <w:ind w:right="4135"/>
              <w:spacing w:after="0"/>
              <w:rPr>
                <w:sz w:val="20"/>
                <w:szCs w:val="20"/>
                <w:color w:val="auto"/>
              </w:rPr>
            </w:pPr>
            <w:r>
              <w:rPr>
                <w:rFonts w:ascii="Arial" w:cs="Arial" w:eastAsia="Arial" w:hAnsi="Arial"/>
                <w:sz w:val="17"/>
                <w:szCs w:val="17"/>
                <w:color w:val="auto"/>
              </w:rPr>
              <w:t>F-14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39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9" w:name="page140"/>
    <w:bookmarkEnd w:id="139"/>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Common shares are voting and dividends may be paid when, as and if declared by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Reserved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shares of common stock for future issuance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38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60" w:type="dxa"/>
            <w:vAlign w:val="bottom"/>
          </w:tcPr>
          <w:p>
            <w:pPr>
              <w:spacing w:after="0"/>
              <w:rPr>
                <w:sz w:val="13"/>
                <w:szCs w:val="13"/>
                <w:color w:val="auto"/>
              </w:rPr>
            </w:pPr>
          </w:p>
        </w:tc>
        <w:tc>
          <w:tcPr>
            <w:tcW w:w="16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Stock options outstanding</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4,486,181</w:t>
            </w: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5,666,621</w:t>
            </w:r>
          </w:p>
        </w:tc>
        <w:tc>
          <w:tcPr>
            <w:tcW w:w="100" w:type="dxa"/>
            <w:vAlign w:val="bottom"/>
            <w:shd w:val="clear" w:color="auto" w:fill="CFF0FC"/>
          </w:tcPr>
          <w:p>
            <w:pPr>
              <w:spacing w:after="0"/>
              <w:rPr>
                <w:sz w:val="15"/>
                <w:szCs w:val="15"/>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7"/>
                <w:szCs w:val="17"/>
                <w:color w:val="auto"/>
              </w:rPr>
              <w:t>Unvested restricted stock</w:t>
            </w:r>
          </w:p>
        </w:tc>
        <w:tc>
          <w:tcPr>
            <w:tcW w:w="1600" w:type="dxa"/>
            <w:vAlign w:val="bottom"/>
          </w:tcPr>
          <w:p>
            <w:pPr>
              <w:jc w:val="right"/>
              <w:spacing w:after="0" w:line="189" w:lineRule="exact"/>
              <w:rPr>
                <w:sz w:val="20"/>
                <w:szCs w:val="20"/>
                <w:color w:val="auto"/>
              </w:rPr>
            </w:pPr>
            <w:r>
              <w:rPr>
                <w:rFonts w:ascii="Arial" w:cs="Arial" w:eastAsia="Arial" w:hAnsi="Arial"/>
                <w:sz w:val="17"/>
                <w:szCs w:val="17"/>
                <w:color w:val="auto"/>
              </w:rPr>
              <w:t>330,779</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2,526,432</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Shares available for future grant under stock option plan</w:t>
            </w:r>
          </w:p>
        </w:tc>
        <w:tc>
          <w:tcPr>
            <w:tcW w:w="16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2,008,379</w:t>
            </w: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252,053</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7"/>
                <w:szCs w:val="17"/>
                <w:color w:val="auto"/>
              </w:rPr>
              <w:t>Warrants</w:t>
            </w:r>
          </w:p>
        </w:tc>
        <w:tc>
          <w:tcPr>
            <w:tcW w:w="1600" w:type="dxa"/>
            <w:vAlign w:val="bottom"/>
          </w:tcPr>
          <w:p>
            <w:pPr>
              <w:jc w:val="right"/>
              <w:spacing w:after="0" w:line="189" w:lineRule="exact"/>
              <w:rPr>
                <w:sz w:val="20"/>
                <w:szCs w:val="20"/>
                <w:color w:val="auto"/>
              </w:rPr>
            </w:pPr>
            <w:r>
              <w:rPr>
                <w:rFonts w:ascii="Arial" w:cs="Arial" w:eastAsia="Arial" w:hAnsi="Arial"/>
                <w:sz w:val="17"/>
                <w:szCs w:val="17"/>
                <w:color w:val="auto"/>
              </w:rPr>
              <w:t>7,507,708</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Pre-funded warrants</w:t>
            </w:r>
          </w:p>
        </w:tc>
        <w:tc>
          <w:tcPr>
            <w:tcW w:w="16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3,333,333</w:t>
            </w: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3"/>
        </w:trPr>
        <w:tc>
          <w:tcPr>
            <w:tcW w:w="7660" w:type="dxa"/>
            <w:vAlign w:val="bottom"/>
            <w:tcBorders>
              <w:top w:val="single" w:sz="8" w:color="CFF0FC"/>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17,666,380</w:t>
            </w:r>
          </w:p>
        </w:tc>
        <w:tc>
          <w:tcPr>
            <w:tcW w:w="260" w:type="dxa"/>
            <w:vAlign w:val="bottom"/>
            <w:tcBorders>
              <w:top w:val="single" w:sz="8" w:color="CFF0FC"/>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15,952,814</w:t>
            </w:r>
          </w:p>
        </w:tc>
        <w:tc>
          <w:tcPr>
            <w:tcW w:w="100" w:type="dxa"/>
            <w:vAlign w:val="bottom"/>
            <w:tcBorders>
              <w:top w:val="single" w:sz="8" w:color="CFF0FC"/>
            </w:tcBorders>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-290830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2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On August 5, 2022, the Company filed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Shelf was declared effective by the SEC on August 12, 2022. As of December 31, 2024, the Company has sold and issued 2,936,057 shares of common stock under the ATM program, with total net proceeds of $15.8 million. Subsequent to December 31, 2024 and through March 6, 2025, the Company has sold and issued 40,334 additional shares of common stock under the ATM Program, with total net proceeds of $0.4 million.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Warrants</w:t>
      </w:r>
    </w:p>
    <w:p>
      <w:pPr>
        <w:spacing w:after="0" w:line="14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has the following warrants outstanding for the purchase of common stock as of December 31, 2024 and 2023 (except the Pre-Funded Warrants which were only 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 SUBJECT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rPr>
              <w:t>PRICE PER</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WARRANTS</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260" w:type="dxa"/>
            <w:vAlign w:val="bottom"/>
          </w:tcPr>
          <w:p>
            <w:pPr>
              <w:spacing w:after="0"/>
              <w:rPr>
                <w:sz w:val="14"/>
                <w:szCs w:val="14"/>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EXPIRATION DATES</w:t>
            </w:r>
          </w:p>
        </w:tc>
      </w:tr>
      <w:tr>
        <w:trPr>
          <w:trHeight w:val="183"/>
        </w:trPr>
        <w:tc>
          <w:tcPr>
            <w:tcW w:w="644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Series B Warrants</w:t>
            </w:r>
          </w:p>
        </w:tc>
        <w:tc>
          <w:tcPr>
            <w:tcW w:w="14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3,672,484</w:t>
            </w:r>
          </w:p>
        </w:tc>
        <w:tc>
          <w:tcPr>
            <w:tcW w:w="4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6.81</w:t>
            </w: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November 2025</w:t>
            </w:r>
          </w:p>
        </w:tc>
      </w:tr>
      <w:tr>
        <w:trPr>
          <w:trHeight w:val="189"/>
        </w:trPr>
        <w:tc>
          <w:tcPr>
            <w:tcW w:w="6440" w:type="dxa"/>
            <w:vAlign w:val="bottom"/>
          </w:tcPr>
          <w:p>
            <w:pPr>
              <w:ind w:left="20"/>
              <w:spacing w:after="0" w:line="189" w:lineRule="exact"/>
              <w:rPr>
                <w:sz w:val="20"/>
                <w:szCs w:val="20"/>
                <w:color w:val="auto"/>
              </w:rPr>
            </w:pPr>
            <w:r>
              <w:rPr>
                <w:rFonts w:ascii="Arial" w:cs="Arial" w:eastAsia="Arial" w:hAnsi="Arial"/>
                <w:sz w:val="17"/>
                <w:szCs w:val="17"/>
                <w:color w:val="auto"/>
              </w:rPr>
              <w:t>Conditional Series B Warrants</w:t>
            </w:r>
          </w:p>
        </w:tc>
        <w:tc>
          <w:tcPr>
            <w:tcW w:w="14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3,672,484</w:t>
            </w:r>
          </w:p>
        </w:tc>
        <w:tc>
          <w:tcPr>
            <w:tcW w:w="4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6.81</w:t>
            </w:r>
          </w:p>
        </w:tc>
        <w:tc>
          <w:tcPr>
            <w:tcW w:w="2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Arial" w:cs="Arial" w:eastAsia="Arial" w:hAnsi="Arial"/>
                <w:sz w:val="17"/>
                <w:szCs w:val="17"/>
                <w:color w:val="auto"/>
              </w:rPr>
              <w:t>November 2025</w:t>
            </w:r>
          </w:p>
        </w:tc>
      </w:tr>
      <w:tr>
        <w:trPr>
          <w:trHeight w:val="189"/>
        </w:trPr>
        <w:tc>
          <w:tcPr>
            <w:tcW w:w="644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NC Ohio Trust</w:t>
            </w:r>
          </w:p>
        </w:tc>
        <w:tc>
          <w:tcPr>
            <w:tcW w:w="148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162,740</w:t>
            </w:r>
          </w:p>
        </w:tc>
        <w:tc>
          <w:tcPr>
            <w:tcW w:w="46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1.46</w:t>
            </w: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March 2029</w:t>
            </w:r>
          </w:p>
        </w:tc>
      </w:tr>
      <w:tr>
        <w:trPr>
          <w:trHeight w:val="225"/>
        </w:trPr>
        <w:tc>
          <w:tcPr>
            <w:tcW w:w="6440" w:type="dxa"/>
            <w:vAlign w:val="bottom"/>
          </w:tcPr>
          <w:p>
            <w:pPr>
              <w:ind w:left="20"/>
              <w:spacing w:after="0"/>
              <w:rPr>
                <w:sz w:val="20"/>
                <w:szCs w:val="20"/>
                <w:color w:val="auto"/>
              </w:rPr>
            </w:pPr>
            <w:r>
              <w:rPr>
                <w:rFonts w:ascii="Arial" w:cs="Arial" w:eastAsia="Arial" w:hAnsi="Arial"/>
                <w:sz w:val="17"/>
                <w:szCs w:val="17"/>
                <w:color w:val="auto"/>
              </w:rPr>
              <w:t>Pre-Funded Warrants</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3,333,333</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0.01</w:t>
            </w:r>
          </w:p>
        </w:tc>
        <w:tc>
          <w:tcPr>
            <w:tcW w:w="260" w:type="dxa"/>
            <w:vAlign w:val="bottom"/>
          </w:tcPr>
          <w:p>
            <w:pPr>
              <w:spacing w:after="0"/>
              <w:rPr>
                <w:sz w:val="19"/>
                <w:szCs w:val="19"/>
                <w:color w:val="auto"/>
              </w:rPr>
            </w:pPr>
          </w:p>
        </w:tc>
        <w:tc>
          <w:tcPr>
            <w:tcW w:w="1460" w:type="dxa"/>
            <w:vAlign w:val="bottom"/>
          </w:tcPr>
          <w:p>
            <w:pPr>
              <w:ind w:left="20"/>
              <w:spacing w:after="0"/>
              <w:rPr>
                <w:sz w:val="20"/>
                <w:szCs w:val="20"/>
                <w:color w:val="auto"/>
              </w:rPr>
            </w:pPr>
            <w:r>
              <w:rPr>
                <w:rFonts w:ascii="Arial" w:cs="Arial" w:eastAsia="Arial" w:hAnsi="Arial"/>
                <w:sz w:val="17"/>
                <w:szCs w:val="17"/>
                <w:color w:val="auto"/>
              </w:rPr>
              <w:t>No expiration</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Warrants</w:t>
      </w:r>
    </w:p>
    <w:p>
      <w:pPr>
        <w:spacing w:after="0" w:line="129" w:lineRule="exact"/>
        <w:rPr>
          <w:sz w:val="20"/>
          <w:szCs w:val="20"/>
          <w:color w:val="auto"/>
        </w:rPr>
      </w:pPr>
    </w:p>
    <w:p>
      <w:pPr>
        <w:jc w:val="both"/>
        <w:ind w:right="340"/>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the Company issued to the purchaser of the Series B Preferred warrants to purchase 3,672,484 shares of common stock for $6.81 per share (the Series B Warrants), which became fully exercisable upon issuance. The Series B Warrants contain provisions allowing cashless exercise.</w:t>
      </w:r>
    </w:p>
    <w:p>
      <w:pPr>
        <w:spacing w:after="0" w:line="107"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4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ind w:left="1020" w:right="800" w:hanging="503"/>
        <w:spacing w:after="0" w:line="266" w:lineRule="auto"/>
        <w:tabs>
          <w:tab w:leader="none" w:pos="1020" w:val="left"/>
        </w:tabs>
        <w:numPr>
          <w:ilvl w:val="0"/>
          <w:numId w:val="9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9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93"/>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9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Company's initial public offering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10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The Company will continue to recognize changes in the fair value of the Conditional Series B Warrants until each Conditional Series B Warrant is exercised, expires or qualifies for equity classification. The warrant liability fair value was $21.7 million and $0.9 million as of December 31, 2024 and 2023,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NC Ohio Trust Warrants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On March 20, 2019, the Company established the NC Incorporated Ohio Trust, an irrevocable trust funded by the Company. The beneficiary in the 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consolidated statement of operations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December 31, 2024 and 2023, a grant date was not established as there was not a mutual understanding of key terms. The Company remeasures the fair value of the award at each reporting date, as the service date preceded the grant date. The value of the warrants for 162,740 shares of common stock was $1.3 million and $0.2 million as of December 31, 2024 and 2023, respectively, and was recorded as stock compensation expense within research and development expense and a credit to stockholders’ equity in the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Pre-Funded Warrants</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connection with the public offering on December 16, 2024 (see Note 1),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 The pre-funded warrants are exercisable at any time. The holders of Pre-Funded Warrants may not exercise the warrant if the holder, together with its affiliates, would beneficially own more than 4.99%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74"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During the year ended December 31, 2024, no pre-funded warrants were exercised. As of December 31, 2024, there were 3,333,333 pre-funded warrants outstanding.</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Options, Restricted Stock and Stock-Based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29"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The 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1" w:name="page142"/>
    <w:bookmarkEnd w:id="141"/>
    <w:p>
      <w:pPr>
        <w:ind w:right="40"/>
        <w:spacing w:after="0" w:line="237" w:lineRule="auto"/>
        <w:rPr>
          <w:sz w:val="20"/>
          <w:szCs w:val="20"/>
          <w:color w:val="auto"/>
        </w:rPr>
      </w:pPr>
      <w:r>
        <w:rPr>
          <w:rFonts w:ascii="Arial" w:cs="Arial" w:eastAsia="Arial" w:hAnsi="Arial"/>
          <w:sz w:val="17"/>
          <w:szCs w:val="17"/>
          <w:color w:val="auto"/>
        </w:rPr>
        <w:t>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December 31, 2024, there are no shares available for grants under the 2015 Plan and the 2015 Plan continues to govern the terms and conditions of the outstanding awards under the 2015 Plan.</w:t>
      </w:r>
    </w:p>
    <w:p>
      <w:pPr>
        <w:spacing w:after="0" w:line="10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6,669,993 shares of common stock are reserved under the 2021 Plan, of which 2,008,379 shares remain available for future grants as of December 31, 2024.</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7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62"/>
        </w:trPr>
        <w:tc>
          <w:tcPr>
            <w:tcW w:w="57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TERM (IN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w:t>
            </w:r>
          </w:p>
        </w:tc>
      </w:tr>
      <w:tr>
        <w:trPr>
          <w:trHeight w:val="171"/>
        </w:trPr>
        <w:tc>
          <w:tcPr>
            <w:tcW w:w="57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r>
      <w:tr>
        <w:trPr>
          <w:trHeight w:val="183"/>
        </w:trPr>
        <w:tc>
          <w:tcPr>
            <w:tcW w:w="574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Outstanding as of December 31, 2023</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5,666,621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2.47</w:t>
            </w:r>
          </w:p>
        </w:tc>
        <w:tc>
          <w:tcPr>
            <w:tcW w:w="1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6.61</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199</w:t>
            </w:r>
          </w:p>
        </w:tc>
        <w:tc>
          <w:tcPr>
            <w:tcW w:w="100" w:type="dxa"/>
            <w:vAlign w:val="bottom"/>
            <w:shd w:val="clear" w:color="auto" w:fill="CFF0FC"/>
          </w:tcPr>
          <w:p>
            <w:pPr>
              <w:spacing w:after="0"/>
              <w:rPr>
                <w:sz w:val="15"/>
                <w:szCs w:val="15"/>
                <w:color w:val="auto"/>
              </w:rPr>
            </w:pPr>
          </w:p>
        </w:tc>
      </w:tr>
      <w:tr>
        <w:trPr>
          <w:trHeight w:val="189"/>
        </w:trPr>
        <w:tc>
          <w:tcPr>
            <w:tcW w:w="5740" w:type="dxa"/>
            <w:vAlign w:val="bottom"/>
          </w:tcPr>
          <w:p>
            <w:pPr>
              <w:ind w:left="20"/>
              <w:spacing w:after="0" w:line="189" w:lineRule="exact"/>
              <w:rPr>
                <w:sz w:val="20"/>
                <w:szCs w:val="20"/>
                <w:color w:val="auto"/>
              </w:rPr>
            </w:pPr>
            <w:r>
              <w:rPr>
                <w:rFonts w:ascii="Arial" w:cs="Arial" w:eastAsia="Arial" w:hAnsi="Arial"/>
                <w:sz w:val="17"/>
                <w:szCs w:val="17"/>
                <w:color w:val="auto"/>
              </w:rPr>
              <w:t>Granted</w:t>
            </w: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202,420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4.36</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4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Exercised</w:t>
            </w:r>
          </w:p>
        </w:tc>
        <w:tc>
          <w:tcPr>
            <w:tcW w:w="146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7"/>
                <w:szCs w:val="17"/>
                <w:color w:val="auto"/>
              </w:rPr>
              <w:t>(846,943 )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1.99</w:t>
            </w: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740" w:type="dxa"/>
            <w:vAlign w:val="bottom"/>
          </w:tcPr>
          <w:p>
            <w:pPr>
              <w:ind w:left="20"/>
              <w:spacing w:after="0" w:line="189" w:lineRule="exact"/>
              <w:rPr>
                <w:sz w:val="20"/>
                <w:szCs w:val="20"/>
                <w:color w:val="auto"/>
              </w:rPr>
            </w:pPr>
            <w:r>
              <w:rPr>
                <w:rFonts w:ascii="Arial" w:cs="Arial" w:eastAsia="Arial" w:hAnsi="Arial"/>
                <w:sz w:val="17"/>
                <w:szCs w:val="17"/>
                <w:color w:val="auto"/>
              </w:rPr>
              <w:t>Cancelled, forfeited or expired</w:t>
            </w:r>
          </w:p>
        </w:tc>
        <w:tc>
          <w:tcPr>
            <w:tcW w:w="14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(535,917 )</w:t>
            </w:r>
          </w:p>
        </w:tc>
        <w:tc>
          <w:tcPr>
            <w:tcW w:w="1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3.36</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7"/>
                <w:szCs w:val="17"/>
                <w:color w:val="auto"/>
              </w:rPr>
              <w:t>Outstanding as of December 31, 2024</w:t>
            </w: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4,486,181</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2.54</w:t>
            </w:r>
          </w:p>
        </w:tc>
        <w:tc>
          <w:tcPr>
            <w:tcW w:w="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6.61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27,599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5740" w:type="dxa"/>
            <w:vAlign w:val="bottom"/>
          </w:tcPr>
          <w:p>
            <w:pPr>
              <w:ind w:left="20"/>
              <w:spacing w:after="0" w:line="170" w:lineRule="exact"/>
              <w:rPr>
                <w:sz w:val="20"/>
                <w:szCs w:val="20"/>
                <w:color w:val="auto"/>
              </w:rPr>
            </w:pPr>
            <w:r>
              <w:rPr>
                <w:rFonts w:ascii="Arial" w:cs="Arial" w:eastAsia="Arial" w:hAnsi="Arial"/>
                <w:sz w:val="17"/>
                <w:szCs w:val="17"/>
                <w:color w:val="auto"/>
              </w:rPr>
              <w:t>Exercisable as of December 31, 2024</w:t>
            </w:r>
          </w:p>
        </w:tc>
        <w:tc>
          <w:tcPr>
            <w:tcW w:w="1220" w:type="dxa"/>
            <w:vAlign w:val="bottom"/>
          </w:tcPr>
          <w:p>
            <w:pPr>
              <w:jc w:val="right"/>
              <w:spacing w:after="0" w:line="170" w:lineRule="exact"/>
              <w:rPr>
                <w:sz w:val="20"/>
                <w:szCs w:val="20"/>
                <w:color w:val="auto"/>
              </w:rPr>
            </w:pPr>
            <w:r>
              <w:rPr>
                <w:rFonts w:ascii="Arial" w:cs="Arial" w:eastAsia="Arial" w:hAnsi="Arial"/>
                <w:sz w:val="17"/>
                <w:szCs w:val="17"/>
                <w:color w:val="auto"/>
              </w:rPr>
              <w:t>3,515,651</w:t>
            </w:r>
          </w:p>
        </w:tc>
        <w:tc>
          <w:tcPr>
            <w:tcW w:w="240" w:type="dxa"/>
            <w:vAlign w:val="bottom"/>
          </w:tcPr>
          <w:p>
            <w:pPr>
              <w:spacing w:after="0"/>
              <w:rPr>
                <w:sz w:val="14"/>
                <w:szCs w:val="14"/>
                <w:color w:val="auto"/>
              </w:rPr>
            </w:pPr>
          </w:p>
        </w:tc>
        <w:tc>
          <w:tcPr>
            <w:tcW w:w="140" w:type="dxa"/>
            <w:vAlign w:val="bottom"/>
          </w:tcPr>
          <w:p>
            <w:pPr>
              <w:jc w:val="right"/>
              <w:spacing w:after="0" w:line="170"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70" w:lineRule="exact"/>
              <w:rPr>
                <w:sz w:val="20"/>
                <w:szCs w:val="20"/>
                <w:color w:val="auto"/>
              </w:rPr>
            </w:pPr>
            <w:r>
              <w:rPr>
                <w:rFonts w:ascii="Arial" w:cs="Arial" w:eastAsia="Arial" w:hAnsi="Arial"/>
                <w:sz w:val="17"/>
                <w:szCs w:val="17"/>
                <w:color w:val="auto"/>
              </w:rPr>
              <w:t>2.40</w:t>
            </w:r>
          </w:p>
        </w:tc>
        <w:tc>
          <w:tcPr>
            <w:tcW w:w="140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6.20</w:t>
            </w:r>
          </w:p>
        </w:tc>
        <w:tc>
          <w:tcPr>
            <w:tcW w:w="360" w:type="dxa"/>
            <w:vAlign w:val="bottom"/>
            <w:gridSpan w:val="2"/>
          </w:tcPr>
          <w:p>
            <w:pPr>
              <w:jc w:val="right"/>
              <w:spacing w:after="0" w:line="170"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70" w:lineRule="exact"/>
              <w:rPr>
                <w:sz w:val="20"/>
                <w:szCs w:val="20"/>
                <w:color w:val="auto"/>
              </w:rPr>
            </w:pPr>
            <w:r>
              <w:rPr>
                <w:rFonts w:ascii="Arial" w:cs="Arial" w:eastAsia="Arial" w:hAnsi="Arial"/>
                <w:sz w:val="17"/>
                <w:szCs w:val="17"/>
                <w:color w:val="auto"/>
              </w:rPr>
              <w:t>22,116</w:t>
            </w:r>
          </w:p>
        </w:tc>
        <w:tc>
          <w:tcPr>
            <w:tcW w:w="100" w:type="dxa"/>
            <w:vAlign w:val="bottom"/>
          </w:tcPr>
          <w:p>
            <w:pPr>
              <w:spacing w:after="0"/>
              <w:rPr>
                <w:sz w:val="14"/>
                <w:szCs w:val="14"/>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ind w:left="20"/>
              <w:spacing w:after="0" w:line="170" w:lineRule="exact"/>
              <w:rPr>
                <w:sz w:val="20"/>
                <w:szCs w:val="20"/>
                <w:color w:val="auto"/>
              </w:rPr>
            </w:pPr>
            <w:r>
              <w:rPr>
                <w:rFonts w:ascii="Arial" w:cs="Arial" w:eastAsia="Arial" w:hAnsi="Arial"/>
                <w:sz w:val="17"/>
                <w:szCs w:val="17"/>
                <w:color w:val="auto"/>
              </w:rPr>
              <w:t>Unvested as of December 31, 2024</w:t>
            </w:r>
          </w:p>
        </w:tc>
        <w:tc>
          <w:tcPr>
            <w:tcW w:w="122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970,530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3.04</w:t>
            </w:r>
          </w:p>
        </w:tc>
        <w:tc>
          <w:tcPr>
            <w:tcW w:w="140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7"/>
                <w:szCs w:val="17"/>
                <w:color w:val="auto"/>
              </w:rPr>
              <w:t>8.10</w:t>
            </w:r>
          </w:p>
        </w:tc>
        <w:tc>
          <w:tcPr>
            <w:tcW w:w="36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5,483</w:t>
            </w:r>
          </w:p>
        </w:tc>
        <w:tc>
          <w:tcPr>
            <w:tcW w:w="100" w:type="dxa"/>
            <w:vAlign w:val="bottom"/>
            <w:shd w:val="clear" w:color="auto" w:fill="CFF0FC"/>
          </w:tcPr>
          <w:p>
            <w:pPr>
              <w:spacing w:after="0"/>
              <w:rPr>
                <w:sz w:val="18"/>
                <w:szCs w:val="18"/>
                <w:color w:val="auto"/>
              </w:rPr>
            </w:pPr>
          </w:p>
        </w:tc>
      </w:tr>
      <w:tr>
        <w:trPr>
          <w:trHeight w:val="75"/>
        </w:trPr>
        <w:tc>
          <w:tcPr>
            <w:tcW w:w="5740" w:type="dxa"/>
            <w:vAlign w:val="bottom"/>
            <w:tcBorders>
              <w:top w:val="single" w:sz="8" w:color="CFF0FC"/>
              <w:bottom w:val="single" w:sz="8" w:color="auto"/>
            </w:tcBorders>
          </w:tcPr>
          <w:p>
            <w:pPr>
              <w:spacing w:after="0"/>
              <w:rPr>
                <w:sz w:val="6"/>
                <w:szCs w:val="6"/>
                <w:color w:val="auto"/>
              </w:rPr>
            </w:pPr>
          </w:p>
        </w:tc>
        <w:tc>
          <w:tcPr>
            <w:tcW w:w="122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CFF0FC"/>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100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CFF0FC"/>
              <w:bottom w:val="single" w:sz="8" w:color="auto"/>
            </w:tcBorders>
          </w:tcPr>
          <w:p>
            <w:pPr>
              <w:spacing w:after="0"/>
              <w:rPr>
                <w:sz w:val="6"/>
                <w:szCs w:val="6"/>
                <w:color w:val="auto"/>
              </w:rPr>
            </w:pPr>
          </w:p>
        </w:tc>
        <w:tc>
          <w:tcPr>
            <w:tcW w:w="118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CFF0FC"/>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CFF0FC"/>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-384810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-367665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-384810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-367665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-384810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-367665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-93345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-93345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-93345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 on the date of exercise. In connection with the exercise of a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consolidated financial statements at December 31, 2024.</w:t>
      </w:r>
    </w:p>
    <w:p>
      <w:pPr>
        <w:spacing w:after="0" w:line="112"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range of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346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6240" w:type="dxa"/>
            <w:vAlign w:val="bottom"/>
          </w:tcPr>
          <w:p>
            <w:pPr>
              <w:spacing w:after="0"/>
              <w:rPr>
                <w:sz w:val="13"/>
                <w:szCs w:val="13"/>
                <w:color w:val="auto"/>
              </w:rPr>
            </w:pPr>
          </w:p>
        </w:tc>
        <w:tc>
          <w:tcPr>
            <w:tcW w:w="2240" w:type="dxa"/>
            <w:vAlign w:val="bottom"/>
            <w:tcBorders>
              <w:bottom w:val="single" w:sz="8" w:color="auto"/>
            </w:tcBorders>
          </w:tcPr>
          <w:p>
            <w:pPr>
              <w:jc w:val="right"/>
              <w:ind w:right="879"/>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77"/>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r>
      <w:tr>
        <w:trPr>
          <w:trHeight w:val="183"/>
        </w:trPr>
        <w:tc>
          <w:tcPr>
            <w:tcW w:w="624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Expected option life (years)</w:t>
            </w:r>
          </w:p>
        </w:tc>
        <w:tc>
          <w:tcPr>
            <w:tcW w:w="22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5.50 - 6.08</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5.48 - 6.08</w:t>
            </w:r>
          </w:p>
        </w:tc>
        <w:tc>
          <w:tcPr>
            <w:tcW w:w="180" w:type="dxa"/>
            <w:vAlign w:val="bottom"/>
            <w:shd w:val="clear" w:color="auto" w:fill="CFF0FC"/>
          </w:tcPr>
          <w:p>
            <w:pPr>
              <w:spacing w:after="0"/>
              <w:rPr>
                <w:sz w:val="15"/>
                <w:szCs w:val="15"/>
                <w:color w:val="auto"/>
              </w:rPr>
            </w:pPr>
          </w:p>
        </w:tc>
      </w:tr>
      <w:tr>
        <w:trPr>
          <w:trHeight w:val="189"/>
        </w:trPr>
        <w:tc>
          <w:tcPr>
            <w:tcW w:w="6240" w:type="dxa"/>
            <w:vAlign w:val="bottom"/>
          </w:tcPr>
          <w:p>
            <w:pPr>
              <w:ind w:left="20"/>
              <w:spacing w:after="0" w:line="189" w:lineRule="exact"/>
              <w:rPr>
                <w:sz w:val="20"/>
                <w:szCs w:val="20"/>
                <w:color w:val="auto"/>
              </w:rPr>
            </w:pPr>
            <w:r>
              <w:rPr>
                <w:rFonts w:ascii="Arial" w:cs="Arial" w:eastAsia="Arial" w:hAnsi="Arial"/>
                <w:sz w:val="17"/>
                <w:szCs w:val="17"/>
                <w:color w:val="auto"/>
              </w:rPr>
              <w:t>Risk-free interest rate</w:t>
            </w:r>
          </w:p>
        </w:tc>
        <w:tc>
          <w:tcPr>
            <w:tcW w:w="2240" w:type="dxa"/>
            <w:vAlign w:val="bottom"/>
          </w:tcPr>
          <w:p>
            <w:pPr>
              <w:jc w:val="right"/>
              <w:spacing w:after="0" w:line="189" w:lineRule="exact"/>
              <w:rPr>
                <w:sz w:val="20"/>
                <w:szCs w:val="20"/>
                <w:color w:val="auto"/>
              </w:rPr>
            </w:pPr>
            <w:r>
              <w:rPr>
                <w:rFonts w:ascii="Arial" w:cs="Arial" w:eastAsia="Arial" w:hAnsi="Arial"/>
                <w:sz w:val="17"/>
                <w:szCs w:val="17"/>
                <w:color w:val="auto"/>
              </w:rPr>
              <w:t>3.98% - 4.32%</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3.50% - 4.86%</w:t>
            </w:r>
          </w:p>
        </w:tc>
        <w:tc>
          <w:tcPr>
            <w:tcW w:w="180" w:type="dxa"/>
            <w:vAlign w:val="bottom"/>
          </w:tcPr>
          <w:p>
            <w:pPr>
              <w:spacing w:after="0"/>
              <w:rPr>
                <w:sz w:val="16"/>
                <w:szCs w:val="16"/>
                <w:color w:val="auto"/>
              </w:rPr>
            </w:pPr>
          </w:p>
        </w:tc>
      </w:tr>
      <w:tr>
        <w:trPr>
          <w:trHeight w:val="189"/>
        </w:trPr>
        <w:tc>
          <w:tcPr>
            <w:tcW w:w="624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Expected volatility</w:t>
            </w:r>
          </w:p>
        </w:tc>
        <w:tc>
          <w:tcPr>
            <w:tcW w:w="2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99.30% - 114.68%</w:t>
            </w: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91.33% - 94.51%</w:t>
            </w:r>
          </w:p>
        </w:tc>
        <w:tc>
          <w:tcPr>
            <w:tcW w:w="180" w:type="dxa"/>
            <w:vAlign w:val="bottom"/>
            <w:shd w:val="clear" w:color="auto" w:fill="CFF0FC"/>
          </w:tcPr>
          <w:p>
            <w:pPr>
              <w:spacing w:after="0"/>
              <w:rPr>
                <w:sz w:val="16"/>
                <w:szCs w:val="16"/>
                <w:color w:val="auto"/>
              </w:rPr>
            </w:pPr>
          </w:p>
        </w:tc>
      </w:tr>
      <w:tr>
        <w:trPr>
          <w:trHeight w:val="225"/>
        </w:trPr>
        <w:tc>
          <w:tcPr>
            <w:tcW w:w="624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2580" w:type="dxa"/>
            <w:vAlign w:val="bottom"/>
            <w:gridSpan w:val="2"/>
          </w:tcPr>
          <w:p>
            <w:pPr>
              <w:jc w:val="right"/>
              <w:ind w:right="180"/>
              <w:spacing w:after="0"/>
              <w:rPr>
                <w:sz w:val="20"/>
                <w:szCs w:val="20"/>
                <w:color w:val="auto"/>
              </w:rPr>
            </w:pPr>
            <w:r>
              <w:rPr>
                <w:rFonts w:ascii="Arial" w:cs="Arial" w:eastAsia="Arial" w:hAnsi="Arial"/>
                <w:sz w:val="17"/>
                <w:szCs w:val="17"/>
                <w:color w:val="auto"/>
              </w:rPr>
              <w:t>0 %</w:t>
            </w:r>
          </w:p>
        </w:tc>
        <w:tc>
          <w:tcPr>
            <w:tcW w:w="8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7"/>
                <w:szCs w:val="17"/>
                <w:color w:val="auto"/>
              </w:rPr>
              <w:t>0 %</w:t>
            </w:r>
          </w:p>
        </w:tc>
      </w:tr>
      <w:tr>
        <w:trPr>
          <w:trHeight w:val="59"/>
        </w:trPr>
        <w:tc>
          <w:tcPr>
            <w:tcW w:w="624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r>
    </w:tbl>
    <w:p>
      <w:pPr>
        <w:spacing w:after="0" w:line="126"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total intrinsic value of stock options exercised during the years ended December 31, 2024 and 2023 was $5.7 million and zero,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29"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400" w:type="dxa"/>
            <w:vAlign w:val="bottom"/>
          </w:tcPr>
          <w:p>
            <w:pPr>
              <w:spacing w:after="0"/>
              <w:rPr>
                <w:sz w:val="14"/>
                <w:szCs w:val="14"/>
                <w:color w:val="auto"/>
              </w:rPr>
            </w:pPr>
          </w:p>
        </w:tc>
        <w:tc>
          <w:tcPr>
            <w:tcW w:w="2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 GRANT</w:t>
            </w:r>
          </w:p>
        </w:tc>
      </w:tr>
      <w:tr>
        <w:trPr>
          <w:trHeight w:val="171"/>
        </w:trPr>
        <w:tc>
          <w:tcPr>
            <w:tcW w:w="6400" w:type="dxa"/>
            <w:vAlign w:val="bottom"/>
          </w:tcPr>
          <w:p>
            <w:pPr>
              <w:spacing w:after="0"/>
              <w:rPr>
                <w:sz w:val="14"/>
                <w:szCs w:val="14"/>
                <w:color w:val="auto"/>
              </w:rPr>
            </w:pPr>
          </w:p>
        </w:tc>
        <w:tc>
          <w:tcPr>
            <w:tcW w:w="2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DATE FAIR VALUE</w:t>
            </w:r>
          </w:p>
        </w:tc>
      </w:tr>
      <w:tr>
        <w:trPr>
          <w:trHeight w:val="183"/>
        </w:trPr>
        <w:tc>
          <w:tcPr>
            <w:tcW w:w="640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Unvested at December 31, 2023</w:t>
            </w:r>
          </w:p>
        </w:tc>
        <w:tc>
          <w:tcPr>
            <w:tcW w:w="23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2,526,432</w:t>
            </w:r>
          </w:p>
        </w:tc>
        <w:tc>
          <w:tcPr>
            <w:tcW w:w="48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7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1.06</w:t>
            </w:r>
          </w:p>
        </w:tc>
        <w:tc>
          <w:tcPr>
            <w:tcW w:w="100" w:type="dxa"/>
            <w:vAlign w:val="bottom"/>
            <w:shd w:val="clear" w:color="auto" w:fill="CFF0FC"/>
          </w:tcPr>
          <w:p>
            <w:pPr>
              <w:spacing w:after="0"/>
              <w:rPr>
                <w:sz w:val="15"/>
                <w:szCs w:val="15"/>
                <w:color w:val="auto"/>
              </w:rPr>
            </w:pPr>
          </w:p>
        </w:tc>
      </w:tr>
      <w:tr>
        <w:trPr>
          <w:trHeight w:val="189"/>
        </w:trPr>
        <w:tc>
          <w:tcPr>
            <w:tcW w:w="6400" w:type="dxa"/>
            <w:vAlign w:val="bottom"/>
          </w:tcPr>
          <w:p>
            <w:pPr>
              <w:ind w:left="20"/>
              <w:spacing w:after="0" w:line="189" w:lineRule="exact"/>
              <w:rPr>
                <w:sz w:val="20"/>
                <w:szCs w:val="20"/>
                <w:color w:val="auto"/>
              </w:rPr>
            </w:pPr>
            <w:r>
              <w:rPr>
                <w:rFonts w:ascii="Arial" w:cs="Arial" w:eastAsia="Arial" w:hAnsi="Arial"/>
                <w:sz w:val="17"/>
                <w:szCs w:val="17"/>
                <w:color w:val="auto"/>
              </w:rPr>
              <w:t>Granted</w:t>
            </w:r>
          </w:p>
        </w:tc>
        <w:tc>
          <w:tcPr>
            <w:tcW w:w="28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640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Vested</w:t>
            </w:r>
          </w:p>
        </w:tc>
        <w:tc>
          <w:tcPr>
            <w:tcW w:w="2820" w:type="dxa"/>
            <w:vAlign w:val="bottom"/>
            <w:gridSpan w:val="2"/>
            <w:shd w:val="clear" w:color="auto" w:fill="CFF0FC"/>
          </w:tcPr>
          <w:p>
            <w:pPr>
              <w:jc w:val="right"/>
              <w:ind w:right="400"/>
              <w:spacing w:after="0" w:line="189" w:lineRule="exact"/>
              <w:rPr>
                <w:sz w:val="20"/>
                <w:szCs w:val="20"/>
                <w:color w:val="auto"/>
              </w:rPr>
            </w:pPr>
            <w:r>
              <w:rPr>
                <w:rFonts w:ascii="Arial" w:cs="Arial" w:eastAsia="Arial" w:hAnsi="Arial"/>
                <w:sz w:val="17"/>
                <w:szCs w:val="17"/>
                <w:color w:val="auto"/>
              </w:rPr>
              <w:t>(1,936,460 )</w:t>
            </w:r>
          </w:p>
        </w:tc>
        <w:tc>
          <w:tcPr>
            <w:tcW w:w="220" w:type="dxa"/>
            <w:vAlign w:val="bottom"/>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1.07</w:t>
            </w:r>
          </w:p>
        </w:tc>
        <w:tc>
          <w:tcPr>
            <w:tcW w:w="100" w:type="dxa"/>
            <w:vAlign w:val="bottom"/>
            <w:shd w:val="clear" w:color="auto" w:fill="CFF0FC"/>
          </w:tcPr>
          <w:p>
            <w:pPr>
              <w:spacing w:after="0"/>
              <w:rPr>
                <w:sz w:val="16"/>
                <w:szCs w:val="16"/>
                <w:color w:val="auto"/>
              </w:rPr>
            </w:pPr>
          </w:p>
        </w:tc>
      </w:tr>
      <w:tr>
        <w:trPr>
          <w:trHeight w:val="189"/>
        </w:trPr>
        <w:tc>
          <w:tcPr>
            <w:tcW w:w="6400" w:type="dxa"/>
            <w:vAlign w:val="bottom"/>
          </w:tcPr>
          <w:p>
            <w:pPr>
              <w:ind w:left="20"/>
              <w:spacing w:after="0" w:line="189" w:lineRule="exact"/>
              <w:rPr>
                <w:sz w:val="20"/>
                <w:szCs w:val="20"/>
                <w:color w:val="auto"/>
              </w:rPr>
            </w:pPr>
            <w:r>
              <w:rPr>
                <w:rFonts w:ascii="Arial" w:cs="Arial" w:eastAsia="Arial" w:hAnsi="Arial"/>
                <w:sz w:val="17"/>
                <w:szCs w:val="17"/>
                <w:color w:val="auto"/>
              </w:rPr>
              <w:t>Forfeited</w:t>
            </w:r>
          </w:p>
        </w:tc>
        <w:tc>
          <w:tcPr>
            <w:tcW w:w="282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(259,193 )</w:t>
            </w:r>
          </w:p>
        </w:tc>
        <w:tc>
          <w:tcPr>
            <w:tcW w:w="2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700" w:type="dxa"/>
            <w:vAlign w:val="bottom"/>
          </w:tcPr>
          <w:p>
            <w:pPr>
              <w:jc w:val="right"/>
              <w:spacing w:after="0" w:line="189" w:lineRule="exact"/>
              <w:rPr>
                <w:sz w:val="20"/>
                <w:szCs w:val="20"/>
                <w:color w:val="auto"/>
              </w:rPr>
            </w:pPr>
            <w:r>
              <w:rPr>
                <w:rFonts w:ascii="Arial" w:cs="Arial" w:eastAsia="Arial" w:hAnsi="Arial"/>
                <w:sz w:val="17"/>
                <w:szCs w:val="17"/>
                <w:color w:val="auto"/>
              </w:rPr>
              <w:t>1.11</w:t>
            </w:r>
          </w:p>
        </w:tc>
        <w:tc>
          <w:tcPr>
            <w:tcW w:w="100" w:type="dxa"/>
            <w:vAlign w:val="bottom"/>
          </w:tcPr>
          <w:p>
            <w:pPr>
              <w:spacing w:after="0"/>
              <w:rPr>
                <w:sz w:val="16"/>
                <w:szCs w:val="16"/>
                <w:color w:val="auto"/>
              </w:rPr>
            </w:pPr>
          </w:p>
        </w:tc>
      </w:tr>
      <w:tr>
        <w:trPr>
          <w:trHeight w:val="223"/>
        </w:trPr>
        <w:tc>
          <w:tcPr>
            <w:tcW w:w="640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7"/>
                <w:szCs w:val="17"/>
                <w:color w:val="auto"/>
              </w:rPr>
              <w:t>Unvested at December 31, 2024</w:t>
            </w:r>
          </w:p>
        </w:tc>
        <w:tc>
          <w:tcPr>
            <w:tcW w:w="23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7"/>
                <w:szCs w:val="17"/>
                <w:color w:val="auto"/>
              </w:rPr>
              <w:t>330,779</w:t>
            </w:r>
          </w:p>
        </w:tc>
        <w:tc>
          <w:tcPr>
            <w:tcW w:w="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15"/>
              <w:spacing w:after="0" w:line="169" w:lineRule="exact"/>
              <w:rPr>
                <w:sz w:val="20"/>
                <w:szCs w:val="20"/>
                <w:color w:val="auto"/>
              </w:rPr>
            </w:pPr>
            <w:r>
              <w:rPr>
                <w:rFonts w:ascii="Arial" w:cs="Arial" w:eastAsia="Arial" w:hAnsi="Arial"/>
                <w:sz w:val="17"/>
                <w:szCs w:val="17"/>
                <w:color w:val="auto"/>
              </w:rPr>
              <w:t>$</w:t>
            </w:r>
          </w:p>
        </w:tc>
        <w:tc>
          <w:tcPr>
            <w:tcW w:w="170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7"/>
                <w:szCs w:val="17"/>
                <w:color w:val="auto"/>
              </w:rPr>
              <w:t>0.98</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The aggregate fair value of restricted stock units that vested during the years ended December 31, 2024 and 2023 was $16.8 million and $0.5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2"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Stock-based compensation expense for the years ended December 31, 2024 and 2023 was classified in the consolidated statements of operations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80" w:type="dxa"/>
            <w:vAlign w:val="bottom"/>
          </w:tcPr>
          <w:p>
            <w:pPr>
              <w:spacing w:after="0"/>
              <w:rPr>
                <w:sz w:val="13"/>
                <w:szCs w:val="13"/>
                <w:color w:val="auto"/>
              </w:rPr>
            </w:pPr>
          </w:p>
        </w:tc>
        <w:tc>
          <w:tcPr>
            <w:tcW w:w="1060" w:type="dxa"/>
            <w:vAlign w:val="bottom"/>
            <w:tcBorders>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Research and development</w:t>
            </w:r>
          </w:p>
        </w:tc>
        <w:tc>
          <w:tcPr>
            <w:tcW w:w="1060" w:type="dxa"/>
            <w:vAlign w:val="bottom"/>
            <w:shd w:val="clear" w:color="auto" w:fill="CFF0FC"/>
          </w:tcPr>
          <w:p>
            <w:pPr>
              <w:jc w:val="right"/>
              <w:ind w:right="861"/>
              <w:spacing w:after="0" w:line="183" w:lineRule="exact"/>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3,276</w:t>
            </w:r>
          </w:p>
        </w:tc>
        <w:tc>
          <w:tcPr>
            <w:tcW w:w="1340" w:type="dxa"/>
            <w:vAlign w:val="bottom"/>
            <w:gridSpan w:val="2"/>
            <w:shd w:val="clear" w:color="auto" w:fill="CFF0FC"/>
          </w:tcPr>
          <w:p>
            <w:pPr>
              <w:jc w:val="right"/>
              <w:ind w:right="868"/>
              <w:spacing w:after="0" w:line="183" w:lineRule="exact"/>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1,347</w:t>
            </w: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7"/>
                <w:szCs w:val="17"/>
                <w:color w:val="auto"/>
              </w:rPr>
              <w:t>General and administrative</w:t>
            </w: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2,036</w:t>
            </w:r>
          </w:p>
        </w:tc>
        <w:tc>
          <w:tcPr>
            <w:tcW w:w="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1,744</w:t>
            </w:r>
          </w:p>
        </w:tc>
        <w:tc>
          <w:tcPr>
            <w:tcW w:w="100" w:type="dxa"/>
            <w:vAlign w:val="bottom"/>
          </w:tcPr>
          <w:p>
            <w:pPr>
              <w:spacing w:after="0"/>
              <w:rPr>
                <w:sz w:val="16"/>
                <w:szCs w:val="16"/>
                <w:color w:val="auto"/>
              </w:rPr>
            </w:pPr>
          </w:p>
        </w:tc>
      </w:tr>
      <w:tr>
        <w:trPr>
          <w:trHeight w:val="22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Total stock-based compensation expense</w:t>
            </w:r>
          </w:p>
        </w:tc>
        <w:tc>
          <w:tcPr>
            <w:tcW w:w="1060" w:type="dxa"/>
            <w:vAlign w:val="bottom"/>
            <w:shd w:val="clear" w:color="auto" w:fill="CFF0FC"/>
          </w:tcPr>
          <w:p>
            <w:pPr>
              <w:jc w:val="right"/>
              <w:ind w:right="861"/>
              <w:spacing w:after="0" w:line="183" w:lineRule="exact"/>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5,312</w:t>
            </w:r>
          </w:p>
        </w:tc>
        <w:tc>
          <w:tcPr>
            <w:tcW w:w="1340" w:type="dxa"/>
            <w:vAlign w:val="bottom"/>
            <w:gridSpan w:val="2"/>
            <w:shd w:val="clear" w:color="auto" w:fill="CFF0FC"/>
          </w:tcPr>
          <w:p>
            <w:pPr>
              <w:jc w:val="right"/>
              <w:ind w:right="868"/>
              <w:spacing w:after="0" w:line="183" w:lineRule="exact"/>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3,091</w:t>
            </w:r>
          </w:p>
        </w:tc>
        <w:tc>
          <w:tcPr>
            <w:tcW w:w="100" w:type="dxa"/>
            <w:vAlign w:val="bottom"/>
            <w:shd w:val="clear" w:color="auto" w:fill="CFF0FC"/>
          </w:tcPr>
          <w:p>
            <w:pPr>
              <w:spacing w:after="0"/>
              <w:rPr>
                <w:sz w:val="19"/>
                <w:szCs w:val="19"/>
                <w:color w:val="auto"/>
              </w:rPr>
            </w:pPr>
          </w:p>
        </w:tc>
      </w:tr>
      <w:tr>
        <w:trPr>
          <w:trHeight w:val="88"/>
        </w:trPr>
        <w:tc>
          <w:tcPr>
            <w:tcW w:w="7680" w:type="dxa"/>
            <w:vAlign w:val="bottom"/>
            <w:tcBorders>
              <w:top w:val="single" w:sz="8" w:color="CFF0FC"/>
              <w:bottom w:val="single" w:sz="8" w:color="auto"/>
            </w:tcBorders>
          </w:tcPr>
          <w:p>
            <w:pPr>
              <w:spacing w:after="0"/>
              <w:rPr>
                <w:sz w:val="7"/>
                <w:szCs w:val="7"/>
                <w:color w:val="auto"/>
              </w:rPr>
            </w:pPr>
          </w:p>
        </w:tc>
        <w:tc>
          <w:tcPr>
            <w:tcW w:w="10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CFF0FC"/>
              <w:bottom w:val="single" w:sz="8" w:color="auto"/>
            </w:tcBorders>
          </w:tcPr>
          <w:p>
            <w:pPr>
              <w:spacing w:after="0"/>
              <w:rPr>
                <w:sz w:val="7"/>
                <w:szCs w:val="7"/>
                <w:color w:val="auto"/>
              </w:rPr>
            </w:pPr>
          </w:p>
        </w:tc>
        <w:tc>
          <w:tcPr>
            <w:tcW w:w="104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CFF0FC"/>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-102235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-85090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As of December 31, 2024 and 2023, total unrecognized compensation cost related to the unvested stock-based awards was $1.9 million and $6.1 million, respectively. As of December 31, 2024 and 2023, these amounts are expected to be recognized over a weighted average period of 2.29 and 2.40 years,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142"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Due to the Company's net losses for 2024 and 2023, as well as the full valuation allowance on its net deferred tax assets as discussed below, the Company did not record any income tax expense or benefit for the years ended December 31, 2024 and 2023 .</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Company's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2440" w:type="dxa"/>
            <w:vAlign w:val="bottom"/>
            <w:gridSpan w:val="3"/>
          </w:tcPr>
          <w:p>
            <w:pPr>
              <w:jc w:val="center"/>
              <w:ind w:left="1018"/>
              <w:spacing w:after="0"/>
              <w:rPr>
                <w:sz w:val="20"/>
                <w:szCs w:val="20"/>
                <w:color w:val="auto"/>
              </w:rPr>
            </w:pPr>
            <w:r>
              <w:rPr>
                <w:rFonts w:ascii="Arial" w:cs="Arial" w:eastAsia="Arial" w:hAnsi="Arial"/>
                <w:sz w:val="14"/>
                <w:szCs w:val="14"/>
                <w:b w:val="1"/>
                <w:bCs w:val="1"/>
                <w:color w:val="auto"/>
              </w:rPr>
              <w:t>YEAR ENDED</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7460" w:type="dxa"/>
            <w:vAlign w:val="bottom"/>
          </w:tcPr>
          <w:p>
            <w:pPr>
              <w:spacing w:after="0"/>
              <w:rPr>
                <w:sz w:val="14"/>
                <w:szCs w:val="14"/>
                <w:color w:val="auto"/>
              </w:rPr>
            </w:pPr>
          </w:p>
        </w:tc>
        <w:tc>
          <w:tcPr>
            <w:tcW w:w="2440" w:type="dxa"/>
            <w:vAlign w:val="bottom"/>
            <w:tcBorders>
              <w:bottom w:val="single" w:sz="8" w:color="auto"/>
            </w:tcBorders>
            <w:gridSpan w:val="3"/>
          </w:tcPr>
          <w:p>
            <w:pPr>
              <w:jc w:val="center"/>
              <w:ind w:left="101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7460" w:type="dxa"/>
            <w:vAlign w:val="bottom"/>
          </w:tcPr>
          <w:p>
            <w:pPr>
              <w:spacing w:after="0"/>
              <w:rPr>
                <w:sz w:val="13"/>
                <w:szCs w:val="13"/>
                <w:color w:val="auto"/>
              </w:rPr>
            </w:pPr>
          </w:p>
        </w:tc>
        <w:tc>
          <w:tcPr>
            <w:tcW w:w="1580" w:type="dxa"/>
            <w:vAlign w:val="bottom"/>
            <w:tcBorders>
              <w:bottom w:val="single" w:sz="8" w:color="auto"/>
            </w:tcBorders>
          </w:tcPr>
          <w:p>
            <w:pPr>
              <w:jc w:val="right"/>
              <w:ind w:right="538"/>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r>
      <w:tr>
        <w:trPr>
          <w:trHeight w:val="183"/>
        </w:trPr>
        <w:tc>
          <w:tcPr>
            <w:tcW w:w="746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Income at US statutory rate</w:t>
            </w:r>
          </w:p>
        </w:tc>
        <w:tc>
          <w:tcPr>
            <w:tcW w:w="196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7"/>
                <w:szCs w:val="17"/>
                <w:color w:val="auto"/>
              </w:rPr>
              <w:t>21.0 %</w:t>
            </w:r>
          </w:p>
        </w:tc>
        <w:tc>
          <w:tcPr>
            <w:tcW w:w="4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7"/>
                <w:szCs w:val="17"/>
                <w:color w:val="auto"/>
              </w:rPr>
              <w:t>21.0 %</w:t>
            </w:r>
          </w:p>
        </w:tc>
      </w:tr>
      <w:tr>
        <w:trPr>
          <w:trHeight w:val="189"/>
        </w:trPr>
        <w:tc>
          <w:tcPr>
            <w:tcW w:w="7460" w:type="dxa"/>
            <w:vAlign w:val="bottom"/>
          </w:tcPr>
          <w:p>
            <w:pPr>
              <w:ind w:left="20"/>
              <w:spacing w:after="0" w:line="189" w:lineRule="exact"/>
              <w:rPr>
                <w:sz w:val="20"/>
                <w:szCs w:val="20"/>
                <w:color w:val="auto"/>
              </w:rPr>
            </w:pPr>
            <w:r>
              <w:rPr>
                <w:rFonts w:ascii="Arial" w:cs="Arial" w:eastAsia="Arial" w:hAnsi="Arial"/>
                <w:sz w:val="17"/>
                <w:szCs w:val="17"/>
                <w:color w:val="auto"/>
              </w:rPr>
              <w:t>Permanent adjustments</w:t>
            </w:r>
          </w:p>
        </w:tc>
        <w:tc>
          <w:tcPr>
            <w:tcW w:w="19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(0.1 )%</w:t>
            </w:r>
          </w:p>
        </w:tc>
        <w:tc>
          <w:tcPr>
            <w:tcW w:w="480" w:type="dxa"/>
            <w:vAlign w:val="bottom"/>
          </w:tcPr>
          <w:p>
            <w:pPr>
              <w:spacing w:after="0"/>
              <w:rPr>
                <w:sz w:val="16"/>
                <w:szCs w:val="16"/>
                <w:color w:val="auto"/>
              </w:rPr>
            </w:pPr>
          </w:p>
        </w:tc>
        <w:tc>
          <w:tcPr>
            <w:tcW w:w="1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(1.3 )%</w:t>
            </w:r>
          </w:p>
        </w:tc>
      </w:tr>
      <w:tr>
        <w:trPr>
          <w:trHeight w:val="189"/>
        </w:trPr>
        <w:tc>
          <w:tcPr>
            <w:tcW w:w="746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Mark to market</w:t>
            </w:r>
          </w:p>
        </w:tc>
        <w:tc>
          <w:tcPr>
            <w:tcW w:w="196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7"/>
                <w:szCs w:val="17"/>
                <w:color w:val="auto"/>
              </w:rPr>
              <w:t>(7.9 )%</w:t>
            </w:r>
          </w:p>
        </w:tc>
        <w:tc>
          <w:tcPr>
            <w:tcW w:w="48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rPr>
              <w:t>0.5 %</w:t>
            </w:r>
          </w:p>
        </w:tc>
      </w:tr>
      <w:tr>
        <w:trPr>
          <w:trHeight w:val="189"/>
        </w:trPr>
        <w:tc>
          <w:tcPr>
            <w:tcW w:w="7460" w:type="dxa"/>
            <w:vAlign w:val="bottom"/>
          </w:tcPr>
          <w:p>
            <w:pPr>
              <w:ind w:left="20"/>
              <w:spacing w:after="0" w:line="189" w:lineRule="exact"/>
              <w:rPr>
                <w:sz w:val="20"/>
                <w:szCs w:val="20"/>
                <w:color w:val="auto"/>
              </w:rPr>
            </w:pPr>
            <w:r>
              <w:rPr>
                <w:rFonts w:ascii="Arial" w:cs="Arial" w:eastAsia="Arial" w:hAnsi="Arial"/>
                <w:sz w:val="17"/>
                <w:szCs w:val="17"/>
                <w:color w:val="auto"/>
              </w:rPr>
              <w:t>Equity compensation</w:t>
            </w:r>
          </w:p>
        </w:tc>
        <w:tc>
          <w:tcPr>
            <w:tcW w:w="19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3.3 %</w:t>
            </w:r>
          </w:p>
        </w:tc>
        <w:tc>
          <w:tcPr>
            <w:tcW w:w="480" w:type="dxa"/>
            <w:vAlign w:val="bottom"/>
          </w:tcPr>
          <w:p>
            <w:pPr>
              <w:spacing w:after="0"/>
              <w:rPr>
                <w:sz w:val="16"/>
                <w:szCs w:val="16"/>
                <w:color w:val="auto"/>
              </w:rPr>
            </w:pPr>
          </w:p>
        </w:tc>
        <w:tc>
          <w:tcPr>
            <w:tcW w:w="13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r>
      <w:tr>
        <w:trPr>
          <w:trHeight w:val="189"/>
        </w:trPr>
        <w:tc>
          <w:tcPr>
            <w:tcW w:w="746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State taxes, net of federal benefit</w:t>
            </w:r>
          </w:p>
        </w:tc>
        <w:tc>
          <w:tcPr>
            <w:tcW w:w="196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3.8 %</w:t>
            </w:r>
          </w:p>
        </w:tc>
        <w:tc>
          <w:tcPr>
            <w:tcW w:w="48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rPr>
              <w:t>6.9 %</w:t>
            </w:r>
          </w:p>
        </w:tc>
      </w:tr>
      <w:tr>
        <w:trPr>
          <w:trHeight w:val="189"/>
        </w:trPr>
        <w:tc>
          <w:tcPr>
            <w:tcW w:w="7460" w:type="dxa"/>
            <w:vAlign w:val="bottom"/>
          </w:tcPr>
          <w:p>
            <w:pPr>
              <w:ind w:left="20"/>
              <w:spacing w:after="0" w:line="189" w:lineRule="exact"/>
              <w:rPr>
                <w:sz w:val="20"/>
                <w:szCs w:val="20"/>
                <w:color w:val="auto"/>
              </w:rPr>
            </w:pPr>
            <w:r>
              <w:rPr>
                <w:rFonts w:ascii="Arial" w:cs="Arial" w:eastAsia="Arial" w:hAnsi="Arial"/>
                <w:sz w:val="17"/>
                <w:szCs w:val="17"/>
                <w:color w:val="auto"/>
              </w:rPr>
              <w:t>Valuation allowance</w:t>
            </w:r>
          </w:p>
        </w:tc>
        <w:tc>
          <w:tcPr>
            <w:tcW w:w="19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(21.1 )%</w:t>
            </w:r>
          </w:p>
        </w:tc>
        <w:tc>
          <w:tcPr>
            <w:tcW w:w="480" w:type="dxa"/>
            <w:vAlign w:val="bottom"/>
          </w:tcPr>
          <w:p>
            <w:pPr>
              <w:spacing w:after="0"/>
              <w:rPr>
                <w:sz w:val="16"/>
                <w:szCs w:val="16"/>
                <w:color w:val="auto"/>
              </w:rPr>
            </w:pPr>
          </w:p>
        </w:tc>
        <w:tc>
          <w:tcPr>
            <w:tcW w:w="1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(30.0 )%</w:t>
            </w:r>
          </w:p>
        </w:tc>
      </w:tr>
      <w:tr>
        <w:trPr>
          <w:trHeight w:val="189"/>
        </w:trPr>
        <w:tc>
          <w:tcPr>
            <w:tcW w:w="746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Tax credits</w:t>
            </w:r>
          </w:p>
        </w:tc>
        <w:tc>
          <w:tcPr>
            <w:tcW w:w="196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1.0 %</w:t>
            </w:r>
          </w:p>
        </w:tc>
        <w:tc>
          <w:tcPr>
            <w:tcW w:w="48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rPr>
              <w:t>2.9 %</w:t>
            </w:r>
          </w:p>
        </w:tc>
      </w:tr>
      <w:tr>
        <w:trPr>
          <w:trHeight w:val="183"/>
        </w:trPr>
        <w:tc>
          <w:tcPr>
            <w:tcW w:w="7460" w:type="dxa"/>
            <w:vAlign w:val="bottom"/>
            <w:tcBorders>
              <w:top w:val="single" w:sz="8" w:color="CFF0FC"/>
            </w:tcBorders>
          </w:tcPr>
          <w:p>
            <w:pPr>
              <w:spacing w:after="0"/>
              <w:rPr>
                <w:sz w:val="15"/>
                <w:szCs w:val="15"/>
                <w:color w:val="auto"/>
              </w:rPr>
            </w:pPr>
          </w:p>
        </w:tc>
        <w:tc>
          <w:tcPr>
            <w:tcW w:w="1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top w:val="single" w:sz="8" w:color="CFF0FC"/>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CFF0FC"/>
            </w:tcBorders>
          </w:tcPr>
          <w:p>
            <w:pPr>
              <w:spacing w:after="0"/>
              <w:rPr>
                <w:sz w:val="15"/>
                <w:szCs w:val="15"/>
                <w:color w:val="auto"/>
              </w:rPr>
            </w:pPr>
          </w:p>
        </w:tc>
      </w:tr>
      <w:tr>
        <w:trPr>
          <w:trHeight w:val="20"/>
        </w:trPr>
        <w:tc>
          <w:tcPr>
            <w:tcW w:w="7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75"/>
        </w:trPr>
        <w:tc>
          <w:tcPr>
            <w:tcW w:w="74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-222250</wp:posOffset>
            </wp:positionV>
            <wp:extent cx="1543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-222250</wp:posOffset>
            </wp:positionV>
            <wp:extent cx="1543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Net deferred tax assets as of December 31, 2024 and 2023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142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DECEMBER 31,</w:t>
            </w:r>
          </w:p>
        </w:tc>
        <w:tc>
          <w:tcPr>
            <w:tcW w:w="10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7680" w:type="dxa"/>
            <w:vAlign w:val="bottom"/>
            <w:vMerge w:val="restart"/>
          </w:tcPr>
          <w:p>
            <w:pPr>
              <w:ind w:left="20"/>
              <w:spacing w:after="0"/>
              <w:rPr>
                <w:sz w:val="20"/>
                <w:szCs w:val="20"/>
                <w:color w:val="auto"/>
              </w:rPr>
            </w:pPr>
            <w:r>
              <w:rPr>
                <w:rFonts w:ascii="Arial" w:cs="Arial" w:eastAsia="Arial" w:hAnsi="Arial"/>
                <w:sz w:val="17"/>
                <w:szCs w:val="17"/>
                <w:color w:val="auto"/>
              </w:rPr>
              <w:t>Deferred tax assets:</w:t>
            </w:r>
          </w:p>
        </w:tc>
        <w:tc>
          <w:tcPr>
            <w:tcW w:w="96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Net operating losses</w:t>
            </w:r>
          </w:p>
        </w:tc>
        <w:tc>
          <w:tcPr>
            <w:tcW w:w="960" w:type="dxa"/>
            <w:vAlign w:val="bottom"/>
            <w:shd w:val="clear" w:color="auto" w:fill="CFF0FC"/>
          </w:tcPr>
          <w:p>
            <w:pPr>
              <w:jc w:val="right"/>
              <w:ind w:right="759"/>
              <w:spacing w:after="0" w:line="189" w:lineRule="exact"/>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29,876</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315"/>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23,136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120"/>
              <w:spacing w:after="0" w:line="189" w:lineRule="exact"/>
              <w:rPr>
                <w:sz w:val="20"/>
                <w:szCs w:val="20"/>
                <w:color w:val="auto"/>
              </w:rPr>
            </w:pPr>
            <w:r>
              <w:rPr>
                <w:rFonts w:ascii="Arial" w:cs="Arial" w:eastAsia="Arial" w:hAnsi="Arial"/>
                <w:sz w:val="17"/>
                <w:szCs w:val="17"/>
                <w:color w:val="auto"/>
              </w:rPr>
              <w:t>Intangibles</w:t>
            </w:r>
          </w:p>
        </w:tc>
        <w:tc>
          <w:tcPr>
            <w:tcW w:w="9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422</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Accrued expenses and other</w:t>
            </w:r>
          </w:p>
        </w:tc>
        <w:tc>
          <w:tcPr>
            <w:tcW w:w="9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591</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434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120"/>
              <w:spacing w:after="0" w:line="189" w:lineRule="exact"/>
              <w:rPr>
                <w:sz w:val="20"/>
                <w:szCs w:val="20"/>
                <w:color w:val="auto"/>
              </w:rPr>
            </w:pPr>
            <w:r>
              <w:rPr>
                <w:rFonts w:ascii="Arial" w:cs="Arial" w:eastAsia="Arial" w:hAnsi="Arial"/>
                <w:sz w:val="17"/>
                <w:szCs w:val="17"/>
                <w:color w:val="auto"/>
              </w:rPr>
              <w:t>Lease liability</w:t>
            </w:r>
          </w:p>
        </w:tc>
        <w:tc>
          <w:tcPr>
            <w:tcW w:w="9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257</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Stock compensation</w:t>
            </w:r>
          </w:p>
        </w:tc>
        <w:tc>
          <w:tcPr>
            <w:tcW w:w="9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987</w:t>
            </w: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1,168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120"/>
              <w:spacing w:after="0" w:line="189" w:lineRule="exact"/>
              <w:rPr>
                <w:sz w:val="20"/>
                <w:szCs w:val="20"/>
                <w:color w:val="auto"/>
              </w:rPr>
            </w:pPr>
            <w:r>
              <w:rPr>
                <w:rFonts w:ascii="Arial" w:cs="Arial" w:eastAsia="Arial" w:hAnsi="Arial"/>
                <w:sz w:val="17"/>
                <w:szCs w:val="17"/>
                <w:color w:val="auto"/>
              </w:rPr>
              <w:t>Capitalized R&amp;D expenditures</w:t>
            </w:r>
          </w:p>
        </w:tc>
        <w:tc>
          <w:tcPr>
            <w:tcW w:w="9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13,456</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9,200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Borders>
              <w:bottom w:val="single" w:sz="8" w:color="CFF0FC"/>
            </w:tcBorders>
            <w:shd w:val="clear" w:color="auto" w:fill="CFF0FC"/>
          </w:tcPr>
          <w:p>
            <w:pPr>
              <w:ind w:left="120"/>
              <w:spacing w:after="0" w:line="189" w:lineRule="exact"/>
              <w:rPr>
                <w:sz w:val="20"/>
                <w:szCs w:val="20"/>
                <w:color w:val="auto"/>
              </w:rPr>
            </w:pPr>
            <w:r>
              <w:rPr>
                <w:rFonts w:ascii="Arial" w:cs="Arial" w:eastAsia="Arial" w:hAnsi="Arial"/>
                <w:sz w:val="17"/>
                <w:szCs w:val="17"/>
                <w:color w:val="auto"/>
              </w:rPr>
              <w:t>Credits</w:t>
            </w:r>
          </w:p>
        </w:tc>
        <w:tc>
          <w:tcPr>
            <w:tcW w:w="9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6,873</w:t>
            </w:r>
          </w:p>
        </w:tc>
        <w:tc>
          <w:tcPr>
            <w:tcW w:w="3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6,199</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80"/>
              <w:spacing w:after="0" w:line="183" w:lineRule="exact"/>
              <w:rPr>
                <w:sz w:val="20"/>
                <w:szCs w:val="20"/>
                <w:color w:val="auto"/>
              </w:rPr>
            </w:pPr>
            <w:r>
              <w:rPr>
                <w:rFonts w:ascii="Arial" w:cs="Arial" w:eastAsia="Arial" w:hAnsi="Arial"/>
                <w:sz w:val="17"/>
                <w:szCs w:val="17"/>
                <w:color w:val="auto"/>
              </w:rPr>
              <w:t>Total deferred tax assets</w:t>
            </w:r>
          </w:p>
        </w:tc>
        <w:tc>
          <w:tcPr>
            <w:tcW w:w="96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7"/>
                <w:szCs w:val="17"/>
                <w:color w:val="auto"/>
              </w:rPr>
              <w:t>52,462</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auto"/>
              </w:rPr>
              <w:t>41,049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Valuation allowance</w:t>
            </w:r>
          </w:p>
        </w:tc>
        <w:tc>
          <w:tcPr>
            <w:tcW w:w="9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7"/>
                <w:szCs w:val="17"/>
                <w:color w:val="auto"/>
                <w:w w:val="96"/>
              </w:rPr>
              <w:t>(52,185 )</w:t>
            </w:r>
          </w:p>
        </w:tc>
        <w:tc>
          <w:tcPr>
            <w:tcW w:w="5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(40,548 )</w:t>
            </w:r>
          </w:p>
        </w:tc>
        <w:tc>
          <w:tcPr>
            <w:tcW w:w="0" w:type="dxa"/>
            <w:vAlign w:val="bottom"/>
          </w:tcPr>
          <w:p>
            <w:pPr>
              <w:spacing w:after="0"/>
              <w:rPr>
                <w:sz w:val="1"/>
                <w:szCs w:val="1"/>
                <w:color w:val="auto"/>
              </w:rPr>
            </w:pPr>
          </w:p>
        </w:tc>
      </w:tr>
      <w:tr>
        <w:trPr>
          <w:trHeight w:val="183"/>
        </w:trPr>
        <w:tc>
          <w:tcPr>
            <w:tcW w:w="7680" w:type="dxa"/>
            <w:vAlign w:val="bottom"/>
            <w:tcBorders>
              <w:top w:val="single" w:sz="8" w:color="CFF0FC"/>
            </w:tcBorders>
          </w:tcPr>
          <w:p>
            <w:pPr>
              <w:ind w:left="300"/>
              <w:spacing w:after="0" w:line="183" w:lineRule="exact"/>
              <w:rPr>
                <w:sz w:val="20"/>
                <w:szCs w:val="20"/>
                <w:color w:val="auto"/>
              </w:rPr>
            </w:pPr>
            <w:r>
              <w:rPr>
                <w:rFonts w:ascii="Arial" w:cs="Arial" w:eastAsia="Arial" w:hAnsi="Arial"/>
                <w:sz w:val="17"/>
                <w:szCs w:val="17"/>
                <w:color w:val="auto"/>
              </w:rPr>
              <w:t>Net deferred tax assets</w:t>
            </w:r>
          </w:p>
        </w:tc>
        <w:tc>
          <w:tcPr>
            <w:tcW w:w="9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277</w:t>
            </w:r>
          </w:p>
        </w:tc>
        <w:tc>
          <w:tcPr>
            <w:tcW w:w="300" w:type="dxa"/>
            <w:vAlign w:val="bottom"/>
            <w:tcBorders>
              <w:top w:val="single" w:sz="8" w:color="CFF0FC"/>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501</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Deferred tax liabilities:</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120"/>
              <w:spacing w:after="0" w:line="189" w:lineRule="exact"/>
              <w:rPr>
                <w:sz w:val="20"/>
                <w:szCs w:val="20"/>
                <w:color w:val="auto"/>
              </w:rPr>
            </w:pPr>
            <w:r>
              <w:rPr>
                <w:rFonts w:ascii="Arial" w:cs="Arial" w:eastAsia="Arial" w:hAnsi="Arial"/>
                <w:sz w:val="17"/>
                <w:szCs w:val="17"/>
                <w:color w:val="auto"/>
              </w:rPr>
              <w:t>Right of use asset</w:t>
            </w:r>
          </w:p>
        </w:tc>
        <w:tc>
          <w:tcPr>
            <w:tcW w:w="960" w:type="dxa"/>
            <w:vAlign w:val="bottom"/>
          </w:tcPr>
          <w:p>
            <w:pPr>
              <w:spacing w:after="0"/>
              <w:rPr>
                <w:sz w:val="16"/>
                <w:szCs w:val="16"/>
                <w:color w:val="auto"/>
              </w:rPr>
            </w:pPr>
          </w:p>
        </w:tc>
        <w:tc>
          <w:tcPr>
            <w:tcW w:w="9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(143 )</w:t>
            </w:r>
          </w:p>
        </w:tc>
        <w:tc>
          <w:tcPr>
            <w:tcW w:w="500" w:type="dxa"/>
            <w:vAlign w:val="bottom"/>
          </w:tcPr>
          <w:p>
            <w:pPr>
              <w:spacing w:after="0"/>
              <w:rPr>
                <w:sz w:val="16"/>
                <w:szCs w:val="16"/>
                <w:color w:val="auto"/>
              </w:rPr>
            </w:pPr>
          </w:p>
        </w:tc>
        <w:tc>
          <w:tcPr>
            <w:tcW w:w="11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(223 )</w:t>
            </w: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Other</w:t>
            </w:r>
          </w:p>
        </w:tc>
        <w:tc>
          <w:tcPr>
            <w:tcW w:w="9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7"/>
                <w:szCs w:val="17"/>
                <w:color w:val="auto"/>
              </w:rPr>
              <w:t>(134 )</w:t>
            </w:r>
          </w:p>
        </w:tc>
        <w:tc>
          <w:tcPr>
            <w:tcW w:w="5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(278 )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tcPr>
          <w:p>
            <w:pPr>
              <w:ind w:left="280"/>
              <w:spacing w:after="0" w:line="183" w:lineRule="exact"/>
              <w:rPr>
                <w:sz w:val="20"/>
                <w:szCs w:val="20"/>
                <w:color w:val="auto"/>
              </w:rPr>
            </w:pPr>
            <w:r>
              <w:rPr>
                <w:rFonts w:ascii="Arial" w:cs="Arial" w:eastAsia="Arial" w:hAnsi="Arial"/>
                <w:sz w:val="17"/>
                <w:szCs w:val="17"/>
                <w:color w:val="auto"/>
              </w:rPr>
              <w:t>Total deferred tax liabilities</w:t>
            </w:r>
          </w:p>
        </w:tc>
        <w:tc>
          <w:tcPr>
            <w:tcW w:w="960" w:type="dxa"/>
            <w:vAlign w:val="bottom"/>
          </w:tcPr>
          <w:p>
            <w:pPr>
              <w:spacing w:after="0"/>
              <w:rPr>
                <w:sz w:val="15"/>
                <w:szCs w:val="15"/>
                <w:color w:val="auto"/>
              </w:rPr>
            </w:pPr>
          </w:p>
        </w:tc>
        <w:tc>
          <w:tcPr>
            <w:tcW w:w="920" w:type="dxa"/>
            <w:vAlign w:val="bottom"/>
            <w:gridSpan w:val="2"/>
          </w:tcPr>
          <w:p>
            <w:pPr>
              <w:jc w:val="right"/>
              <w:ind w:right="240"/>
              <w:spacing w:after="0" w:line="183" w:lineRule="exact"/>
              <w:rPr>
                <w:sz w:val="20"/>
                <w:szCs w:val="20"/>
                <w:color w:val="auto"/>
              </w:rPr>
            </w:pPr>
            <w:r>
              <w:rPr>
                <w:rFonts w:ascii="Arial" w:cs="Arial" w:eastAsia="Arial" w:hAnsi="Arial"/>
                <w:sz w:val="17"/>
                <w:szCs w:val="17"/>
                <w:color w:val="auto"/>
              </w:rPr>
              <w:t>(277 )</w:t>
            </w:r>
          </w:p>
        </w:tc>
        <w:tc>
          <w:tcPr>
            <w:tcW w:w="500" w:type="dxa"/>
            <w:vAlign w:val="bottom"/>
          </w:tcPr>
          <w:p>
            <w:pPr>
              <w:spacing w:after="0"/>
              <w:rPr>
                <w:sz w:val="15"/>
                <w:szCs w:val="15"/>
                <w:color w:val="auto"/>
              </w:rPr>
            </w:pPr>
          </w:p>
        </w:tc>
        <w:tc>
          <w:tcPr>
            <w:tcW w:w="118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(501 )</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ind w:left="280"/>
              <w:spacing w:after="0" w:line="183" w:lineRule="exact"/>
              <w:rPr>
                <w:sz w:val="20"/>
                <w:szCs w:val="20"/>
                <w:color w:val="auto"/>
              </w:rPr>
            </w:pPr>
            <w:r>
              <w:rPr>
                <w:rFonts w:ascii="Arial" w:cs="Arial" w:eastAsia="Arial" w:hAnsi="Arial"/>
                <w:sz w:val="17"/>
                <w:szCs w:val="17"/>
                <w:color w:val="auto"/>
              </w:rPr>
              <w:t>Net deferred tax assets (liabilities)</w:t>
            </w:r>
          </w:p>
        </w:tc>
        <w:tc>
          <w:tcPr>
            <w:tcW w:w="960" w:type="dxa"/>
            <w:vAlign w:val="bottom"/>
            <w:tcBorders>
              <w:top w:val="single" w:sz="8" w:color="auto"/>
              <w:bottom w:val="single" w:sz="8" w:color="auto"/>
            </w:tcBorders>
            <w:shd w:val="clear" w:color="auto" w:fill="CFF0FC"/>
          </w:tcPr>
          <w:p>
            <w:pPr>
              <w:jc w:val="right"/>
              <w:ind w:right="759"/>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5"/>
              <w:spacing w:after="0" w:line="183" w:lineRule="exact"/>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76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-1096645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-848360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-848360</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-350520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-93345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-76835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-76835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ind w:right="300"/>
        <w:spacing w:after="0" w:line="249" w:lineRule="auto"/>
        <w:rPr>
          <w:sz w:val="20"/>
          <w:szCs w:val="20"/>
          <w:color w:val="auto"/>
        </w:rPr>
      </w:pPr>
      <w:r>
        <w:rPr>
          <w:rFonts w:ascii="Arial" w:cs="Arial" w:eastAsia="Arial" w:hAnsi="Arial"/>
          <w:sz w:val="17"/>
          <w:szCs w:val="17"/>
          <w:color w:val="auto"/>
        </w:rPr>
        <w:t>As of December 31, 2024, the Company has gross federal and state net operating loss carryforwards of approximately $111.6 million and $101.9 million, respectively. The federal net operating loss carryforwards include $8.8 million that begins to expire in 2028 and $102.8 million that can be carried forward indefinitely. The state net operating loss carryforwards begin to expire in 2033.</w:t>
      </w:r>
    </w:p>
    <w:p>
      <w:pPr>
        <w:spacing w:after="0" w:line="107" w:lineRule="exact"/>
        <w:rPr>
          <w:sz w:val="20"/>
          <w:szCs w:val="20"/>
          <w:color w:val="auto"/>
        </w:rPr>
      </w:pPr>
    </w:p>
    <w:p>
      <w:pPr>
        <w:ind w:right="740"/>
        <w:spacing w:after="0" w:line="267" w:lineRule="auto"/>
        <w:rPr>
          <w:sz w:val="20"/>
          <w:szCs w:val="20"/>
          <w:color w:val="auto"/>
        </w:rPr>
      </w:pPr>
      <w:r>
        <w:rPr>
          <w:rFonts w:ascii="Arial" w:cs="Arial" w:eastAsia="Arial" w:hAnsi="Arial"/>
          <w:sz w:val="17"/>
          <w:szCs w:val="17"/>
          <w:color w:val="auto"/>
        </w:rPr>
        <w:t>As of December 31, 2024, the Company has gross federal and state tax credit carryforwards of approximately $5.0 million and $2.4 million, respectively, which begin to expire in 2037 and 2031, respectively.</w:t>
      </w:r>
    </w:p>
    <w:p>
      <w:pPr>
        <w:spacing w:after="0" w:line="78" w:lineRule="exact"/>
        <w:rPr>
          <w:sz w:val="20"/>
          <w:szCs w:val="20"/>
          <w:color w:val="auto"/>
        </w:rPr>
      </w:pPr>
    </w:p>
    <w:p>
      <w:pPr>
        <w:jc w:val="both"/>
        <w:ind w:right="160"/>
        <w:spacing w:after="0" w:line="241" w:lineRule="auto"/>
        <w:rPr>
          <w:sz w:val="20"/>
          <w:szCs w:val="20"/>
          <w:color w:val="auto"/>
        </w:rPr>
      </w:pPr>
      <w:r>
        <w:rPr>
          <w:rFonts w:ascii="Arial" w:cs="Arial" w:eastAsia="Arial" w:hAnsi="Arial"/>
          <w:sz w:val="17"/>
          <w:szCs w:val="17"/>
          <w:color w:val="auto"/>
        </w:rPr>
        <w:t>Management of the Company has evaluated the positive and negative evidence bearing upon the realizability of its deferred tax assets, which are comprised principally of net operating loss carryforwards and certain tax credits. Management has considered the Company’s history of cumulative net losses incurred since inception, as well as its lack of product revenue since inception, and has determined that it is more likely than not that the Company will not realize the benefits of its deferred tax assets. As a result, a full valuation allowance has been established at December 31, 2024 and 2023.</w:t>
      </w:r>
    </w:p>
    <w:p>
      <w:pPr>
        <w:spacing w:after="0" w:line="11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Section 382 of the Internal Revenue Code of 1986, as amended (Section 382), contains rules that limit the ability of a company that undergoes in ownership change to utilize its net operating losses (NOLs) and tax credits existing as of the date of such ownership change. Under the rules, such an ownership change is generally any change in ownership of more than 50% of a company’s stock within a rolling three-year period. The rules generally operate by focusing on changes in ownership of all stock considered by the rules as owning, directly or indirectly, 5% or more of the stock of a company and any change in ownership arising from new issuances of stock by the company. The Company has not yet determined if such a limitation would be placed against its available net operating losses. The Company will make such a determination prior to the utilization of any future net operating losses.</w:t>
      </w:r>
    </w:p>
    <w:p>
      <w:pPr>
        <w:spacing w:after="0" w:line="115" w:lineRule="exact"/>
        <w:rPr>
          <w:sz w:val="20"/>
          <w:szCs w:val="20"/>
          <w:color w:val="auto"/>
        </w:rPr>
      </w:pPr>
    </w:p>
    <w:p>
      <w:pPr>
        <w:jc w:val="both"/>
        <w:ind w:right="180"/>
        <w:spacing w:after="0" w:line="267" w:lineRule="auto"/>
        <w:rPr>
          <w:sz w:val="20"/>
          <w:szCs w:val="20"/>
          <w:color w:val="auto"/>
        </w:rPr>
      </w:pPr>
      <w:r>
        <w:rPr>
          <w:rFonts w:ascii="Arial" w:cs="Arial" w:eastAsia="Arial" w:hAnsi="Arial"/>
          <w:sz w:val="17"/>
          <w:szCs w:val="17"/>
          <w:color w:val="auto"/>
        </w:rPr>
        <w:t>A summary of changes in the valuation allowance for deferred tax assets during the years ended December 31, 2024 and 2023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6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Valuation allowance</w:t>
            </w:r>
          </w:p>
        </w:tc>
        <w:tc>
          <w:tcPr>
            <w:tcW w:w="1000" w:type="dxa"/>
            <w:vAlign w:val="bottom"/>
            <w:shd w:val="clear" w:color="auto" w:fill="CFF0FC"/>
          </w:tcPr>
          <w:p>
            <w:pPr>
              <w:jc w:val="right"/>
              <w:ind w:right="799"/>
              <w:spacing w:after="0" w:line="183" w:lineRule="exact"/>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40,548</w:t>
            </w:r>
          </w:p>
        </w:tc>
        <w:tc>
          <w:tcPr>
            <w:tcW w:w="80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29,166</w:t>
            </w: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80"/>
              <w:spacing w:after="0" w:line="189" w:lineRule="exact"/>
              <w:rPr>
                <w:sz w:val="20"/>
                <w:szCs w:val="20"/>
                <w:color w:val="auto"/>
              </w:rPr>
            </w:pPr>
            <w:r>
              <w:rPr>
                <w:rFonts w:ascii="Arial" w:cs="Arial" w:eastAsia="Arial" w:hAnsi="Arial"/>
                <w:sz w:val="17"/>
                <w:szCs w:val="17"/>
                <w:color w:val="auto"/>
              </w:rPr>
              <w:t>Increases recorded to income tax provision</w:t>
            </w:r>
          </w:p>
        </w:tc>
        <w:tc>
          <w:tcPr>
            <w:tcW w:w="10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11,637</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11,382</w:t>
            </w:r>
          </w:p>
        </w:tc>
        <w:tc>
          <w:tcPr>
            <w:tcW w:w="100" w:type="dxa"/>
            <w:vAlign w:val="bottom"/>
          </w:tcPr>
          <w:p>
            <w:pPr>
              <w:spacing w:after="0"/>
              <w:rPr>
                <w:sz w:val="16"/>
                <w:szCs w:val="16"/>
                <w:color w:val="auto"/>
              </w:rPr>
            </w:pPr>
          </w:p>
        </w:tc>
      </w:tr>
      <w:tr>
        <w:trPr>
          <w:trHeight w:val="189"/>
        </w:trPr>
        <w:tc>
          <w:tcPr>
            <w:tcW w:w="7680" w:type="dxa"/>
            <w:vAlign w:val="bottom"/>
            <w:tcBorders>
              <w:bottom w:val="single" w:sz="8" w:color="CFF0FC"/>
            </w:tcBorders>
            <w:shd w:val="clear" w:color="auto" w:fill="CFF0FC"/>
          </w:tcPr>
          <w:p>
            <w:pPr>
              <w:ind w:left="280"/>
              <w:spacing w:after="0" w:line="189" w:lineRule="exact"/>
              <w:rPr>
                <w:sz w:val="20"/>
                <w:szCs w:val="20"/>
                <w:color w:val="auto"/>
              </w:rPr>
            </w:pPr>
            <w:r>
              <w:rPr>
                <w:rFonts w:ascii="Arial" w:cs="Arial" w:eastAsia="Arial" w:hAnsi="Arial"/>
                <w:sz w:val="17"/>
                <w:szCs w:val="17"/>
                <w:color w:val="auto"/>
              </w:rPr>
              <w:t>Decreases recorded to income tax provision</w:t>
            </w:r>
          </w:p>
        </w:tc>
        <w:tc>
          <w:tcPr>
            <w:tcW w:w="10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7"/>
                <w:szCs w:val="17"/>
                <w:color w:val="auto"/>
              </w:rPr>
              <w:t>Valuation allowance</w:t>
            </w:r>
          </w:p>
        </w:tc>
        <w:tc>
          <w:tcPr>
            <w:tcW w:w="1000" w:type="dxa"/>
            <w:vAlign w:val="bottom"/>
          </w:tcPr>
          <w:p>
            <w:pPr>
              <w:jc w:val="right"/>
              <w:ind w:right="799"/>
              <w:spacing w:after="0" w:line="183"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7"/>
                <w:szCs w:val="17"/>
                <w:color w:val="auto"/>
              </w:rPr>
              <w:t>52,185</w:t>
            </w:r>
          </w:p>
        </w:tc>
        <w:tc>
          <w:tcPr>
            <w:tcW w:w="80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7"/>
                <w:szCs w:val="17"/>
                <w:color w:val="auto"/>
              </w:rPr>
              <w:t>40,548</w:t>
            </w:r>
          </w:p>
        </w:tc>
        <w:tc>
          <w:tcPr>
            <w:tcW w:w="10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76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-222250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The Company files income tax returns in the United States and various state and local jurisdictions. The federal and state tax returns are generally subject to examination for the years ended December 31, 2014 through December 31, 2024. There are currently no pending tax examinations. To the extent the Company has tax attribute carryforwards, the tax year in which the attribute was generated may still be adjusted upon examination.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b w:val="1"/>
          <w:bCs w:val="1"/>
          <w:color w:val="auto"/>
        </w:rPr>
        <w:t>13. Exclusive Licensing Agreement with a Related Party</w:t>
      </w:r>
    </w:p>
    <w:p>
      <w:pPr>
        <w:spacing w:after="0" w:line="12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the $1.0 million upfront license fee as research and development service revenue as of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Technology License Agreement</w:t>
      </w:r>
    </w:p>
    <w:p>
      <w:pPr>
        <w:spacing w:after="0" w:line="12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During the years ended December 31, 2024 and 2023, the Company did not expense any startup and patient fees for clinical trials performed by MGB.</w:t>
      </w:r>
    </w:p>
    <w:p>
      <w:pPr>
        <w:spacing w:after="0" w:line="11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identified the guarantees described below as disclosable, in accordance with ASC 460, Guarantees.</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96"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110" w:lineRule="exact"/>
        <w:rPr>
          <w:sz w:val="20"/>
          <w:szCs w:val="20"/>
          <w:color w:val="auto"/>
        </w:rPr>
      </w:pPr>
    </w:p>
    <w:p>
      <w:pPr>
        <w:ind w:right="980"/>
        <w:spacing w:after="0" w:line="267" w:lineRule="auto"/>
        <w:rPr>
          <w:sz w:val="20"/>
          <w:szCs w:val="20"/>
          <w:color w:val="auto"/>
        </w:rPr>
      </w:pPr>
      <w:r>
        <w:rPr>
          <w:rFonts w:ascii="Arial" w:cs="Arial" w:eastAsia="Arial" w:hAnsi="Arial"/>
          <w:sz w:val="17"/>
          <w:szCs w:val="17"/>
          <w:color w:val="auto"/>
        </w:rPr>
        <w:t>The Company leases office space under a noncancelable operating lease expiring in 2026. The Company has standard indemnification arrangements under this lease that require it to indemnify the landlord against all costs, expenses, fines,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145" w:name="page146"/>
    <w:bookmarkEnd w:id="145"/>
    <w:p>
      <w:pPr>
        <w:ind w:right="320"/>
        <w:spacing w:after="0" w:line="267" w:lineRule="auto"/>
        <w:rPr>
          <w:sz w:val="20"/>
          <w:szCs w:val="20"/>
          <w:color w:val="auto"/>
        </w:rPr>
      </w:pPr>
      <w:r>
        <w:rPr>
          <w:rFonts w:ascii="Arial" w:cs="Arial" w:eastAsia="Arial" w:hAnsi="Arial"/>
          <w:sz w:val="17"/>
          <w:szCs w:val="17"/>
          <w:color w:val="auto"/>
        </w:rPr>
        <w:t>suits, claims, demands, liabilities, and actions directly resulting from any breach, violation, or nonperformance of any covenant or condition of the lease.</w:t>
      </w:r>
    </w:p>
    <w:p>
      <w:pPr>
        <w:spacing w:after="0" w:line="78" w:lineRule="exact"/>
        <w:rPr>
          <w:sz w:val="20"/>
          <w:szCs w:val="20"/>
          <w:color w:val="auto"/>
        </w:rPr>
      </w:pPr>
    </w:p>
    <w:p>
      <w:pPr>
        <w:jc w:val="both"/>
        <w:ind w:right="220"/>
        <w:spacing w:after="0" w:line="249" w:lineRule="auto"/>
        <w:rPr>
          <w:sz w:val="20"/>
          <w:szCs w:val="20"/>
          <w:color w:val="auto"/>
        </w:rPr>
      </w:pPr>
      <w:r>
        <w:rPr>
          <w:rFonts w:ascii="Arial" w:cs="Arial" w:eastAsia="Arial" w:hAnsi="Arial"/>
          <w:sz w:val="17"/>
          <w:szCs w:val="17"/>
          <w:color w:val="auto"/>
        </w:rPr>
        <w:t>As of December 31, 2024,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4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Net Loss Per Share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42"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Basic and diluted net loss per share attributable to common stockholders was computed by dividing net loss by the weighted-average common shares outstanding for the period, including the pre-funded warrants given their nominal exercise price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6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40"/>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Numerator:</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80"/>
              <w:spacing w:after="0" w:line="189" w:lineRule="exact"/>
              <w:rPr>
                <w:sz w:val="20"/>
                <w:szCs w:val="20"/>
                <w:color w:val="auto"/>
              </w:rPr>
            </w:pPr>
            <w:r>
              <w:rPr>
                <w:rFonts w:ascii="Arial" w:cs="Arial" w:eastAsia="Arial" w:hAnsi="Arial"/>
                <w:sz w:val="17"/>
                <w:szCs w:val="17"/>
                <w:color w:val="auto"/>
              </w:rPr>
              <w:t>Net loss</w:t>
            </w:r>
          </w:p>
        </w:tc>
        <w:tc>
          <w:tcPr>
            <w:tcW w:w="38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(55,177 )</w:t>
            </w:r>
          </w:p>
        </w:tc>
        <w:tc>
          <w:tcPr>
            <w:tcW w:w="360" w:type="dxa"/>
            <w:vAlign w:val="bottom"/>
          </w:tcPr>
          <w:p>
            <w:pPr>
              <w:jc w:val="right"/>
              <w:ind w:right="175"/>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(37,939 )</w:t>
            </w: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Denominator:</w:t>
            </w:r>
          </w:p>
        </w:tc>
        <w:tc>
          <w:tcPr>
            <w:tcW w:w="38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80"/>
              <w:spacing w:after="0" w:line="189" w:lineRule="exact"/>
              <w:rPr>
                <w:sz w:val="20"/>
                <w:szCs w:val="20"/>
                <w:color w:val="auto"/>
              </w:rPr>
            </w:pPr>
            <w:r>
              <w:rPr>
                <w:rFonts w:ascii="Arial" w:cs="Arial" w:eastAsia="Arial" w:hAnsi="Arial"/>
                <w:sz w:val="17"/>
                <w:szCs w:val="17"/>
                <w:color w:val="auto"/>
              </w:rPr>
              <w:t>Weighted-average shares of common stock outstanding, basic and diluted</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31,675,076</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28,935,289</w:t>
            </w:r>
          </w:p>
        </w:tc>
        <w:tc>
          <w:tcPr>
            <w:tcW w:w="100" w:type="dxa"/>
            <w:vAlign w:val="bottom"/>
          </w:tcPr>
          <w:p>
            <w:pPr>
              <w:spacing w:after="0"/>
              <w:rPr>
                <w:sz w:val="16"/>
                <w:szCs w:val="16"/>
                <w:color w:val="auto"/>
              </w:rPr>
            </w:pPr>
          </w:p>
        </w:tc>
      </w:tr>
      <w:tr>
        <w:trPr>
          <w:trHeight w:val="22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Net loss per share, basic and diluted</w:t>
            </w:r>
          </w:p>
        </w:tc>
        <w:tc>
          <w:tcPr>
            <w:tcW w:w="380" w:type="dxa"/>
            <w:vAlign w:val="bottom"/>
            <w:shd w:val="clear" w:color="auto" w:fill="CFF0FC"/>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7"/>
                <w:szCs w:val="17"/>
                <w:color w:val="auto"/>
              </w:rPr>
              <w:t>(1.74 )</w:t>
            </w:r>
          </w:p>
        </w:tc>
        <w:tc>
          <w:tcPr>
            <w:tcW w:w="360" w:type="dxa"/>
            <w:vAlign w:val="bottom"/>
            <w:shd w:val="clear" w:color="auto" w:fill="CFF0FC"/>
          </w:tcPr>
          <w:p>
            <w:pPr>
              <w:jc w:val="right"/>
              <w:ind w:right="175"/>
              <w:spacing w:after="0" w:line="183" w:lineRule="exact"/>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7"/>
                <w:szCs w:val="17"/>
                <w:color w:val="auto"/>
              </w:rPr>
              <w:t>(1.31 )</w:t>
            </w:r>
          </w:p>
        </w:tc>
      </w:tr>
      <w:tr>
        <w:trPr>
          <w:trHeight w:val="183"/>
        </w:trPr>
        <w:tc>
          <w:tcPr>
            <w:tcW w:w="7680" w:type="dxa"/>
            <w:vAlign w:val="bottom"/>
            <w:tcBorders>
              <w:top w:val="single" w:sz="8" w:color="CFF0FC"/>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CFF0FC"/>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FF0FC"/>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-145415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9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loss per share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560" w:type="dxa"/>
            <w:vAlign w:val="bottom"/>
            <w:gridSpan w:val="4"/>
          </w:tcPr>
          <w:p>
            <w:pPr>
              <w:ind w:left="7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68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Outstanding warrants for common stock</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7,507,708</w:t>
            </w:r>
          </w:p>
        </w:tc>
        <w:tc>
          <w:tcPr>
            <w:tcW w:w="18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7,507,708</w:t>
            </w:r>
          </w:p>
        </w:tc>
        <w:tc>
          <w:tcPr>
            <w:tcW w:w="12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7"/>
                <w:szCs w:val="17"/>
                <w:color w:val="auto"/>
              </w:rPr>
              <w:t>Outstanding stock options (as converted to common stock)</w:t>
            </w:r>
          </w:p>
        </w:tc>
        <w:tc>
          <w:tcPr>
            <w:tcW w:w="1600" w:type="dxa"/>
            <w:vAlign w:val="bottom"/>
          </w:tcPr>
          <w:p>
            <w:pPr>
              <w:jc w:val="right"/>
              <w:spacing w:after="0" w:line="189" w:lineRule="exact"/>
              <w:rPr>
                <w:sz w:val="20"/>
                <w:szCs w:val="20"/>
                <w:color w:val="auto"/>
              </w:rPr>
            </w:pPr>
            <w:r>
              <w:rPr>
                <w:rFonts w:ascii="Arial" w:cs="Arial" w:eastAsia="Arial" w:hAnsi="Arial"/>
                <w:sz w:val="17"/>
                <w:szCs w:val="17"/>
                <w:color w:val="auto"/>
              </w:rPr>
              <w:t>4,486,181</w:t>
            </w:r>
          </w:p>
        </w:tc>
        <w:tc>
          <w:tcPr>
            <w:tcW w:w="18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5,666,621</w:t>
            </w:r>
          </w:p>
        </w:tc>
        <w:tc>
          <w:tcPr>
            <w:tcW w:w="120" w:type="dxa"/>
            <w:vAlign w:val="bottom"/>
          </w:tcPr>
          <w:p>
            <w:pPr>
              <w:spacing w:after="0"/>
              <w:rPr>
                <w:sz w:val="16"/>
                <w:szCs w:val="16"/>
                <w:color w:val="auto"/>
              </w:rPr>
            </w:pPr>
          </w:p>
        </w:tc>
      </w:tr>
      <w:tr>
        <w:trPr>
          <w:trHeight w:val="189"/>
        </w:trPr>
        <w:tc>
          <w:tcPr>
            <w:tcW w:w="7680" w:type="dxa"/>
            <w:vAlign w:val="bottom"/>
            <w:tcBorders>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7"/>
                <w:szCs w:val="17"/>
                <w:color w:val="auto"/>
              </w:rPr>
              <w:t>Unvested restricted stock</w:t>
            </w:r>
          </w:p>
        </w:tc>
        <w:tc>
          <w:tcPr>
            <w:tcW w:w="16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330,779</w:t>
            </w:r>
          </w:p>
        </w:tc>
        <w:tc>
          <w:tcPr>
            <w:tcW w:w="240" w:type="dxa"/>
            <w:vAlign w:val="bottom"/>
            <w:tcBorders>
              <w:bottom w:val="single" w:sz="8" w:color="CFF0FC"/>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2,526,432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spacing w:after="0"/>
              <w:rPr>
                <w:sz w:val="15"/>
                <w:szCs w:val="15"/>
                <w:color w:val="auto"/>
              </w:rPr>
            </w:pPr>
          </w:p>
        </w:tc>
        <w:tc>
          <w:tcPr>
            <w:tcW w:w="1600" w:type="dxa"/>
            <w:vAlign w:val="bottom"/>
          </w:tcPr>
          <w:p>
            <w:pPr>
              <w:jc w:val="right"/>
              <w:spacing w:after="0" w:line="183" w:lineRule="exact"/>
              <w:rPr>
                <w:sz w:val="20"/>
                <w:szCs w:val="20"/>
                <w:color w:val="auto"/>
              </w:rPr>
            </w:pPr>
            <w:r>
              <w:rPr>
                <w:rFonts w:ascii="Arial" w:cs="Arial" w:eastAsia="Arial" w:hAnsi="Arial"/>
                <w:sz w:val="17"/>
                <w:szCs w:val="17"/>
                <w:color w:val="auto"/>
              </w:rPr>
              <w:t>12,324,668</w:t>
            </w:r>
          </w:p>
        </w:tc>
        <w:tc>
          <w:tcPr>
            <w:tcW w:w="18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15,700,761</w:t>
            </w:r>
          </w:p>
        </w:tc>
        <w:tc>
          <w:tcPr>
            <w:tcW w:w="12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6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-290830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-290830</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Reporting</w:t>
      </w:r>
    </w:p>
    <w:p>
      <w:pPr>
        <w:spacing w:after="0" w:line="12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Company operates in one business segment, which includes all activities related to the discovery, development, and potential commercialization of off-the-shelf viral immunotherapies that help patients fight cancer.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w:t>
      </w:r>
    </w:p>
    <w:p>
      <w:pPr>
        <w:spacing w:after="0" w:line="112"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In addition to the significant expense categories included within consolidated net loss presented on the Company's consolidated statements of operations, see below for disaggregated amounts that comprise research and development and general and administrative expenses: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440" w:type="dxa"/>
            <w:vAlign w:val="bottom"/>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8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35"/>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83"/>
        </w:trPr>
        <w:tc>
          <w:tcPr>
            <w:tcW w:w="644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Operating expenses:</w:t>
            </w:r>
          </w:p>
        </w:tc>
        <w:tc>
          <w:tcPr>
            <w:tcW w:w="1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6440" w:type="dxa"/>
            <w:vAlign w:val="bottom"/>
          </w:tcPr>
          <w:p>
            <w:pPr>
              <w:ind w:left="280"/>
              <w:spacing w:after="0" w:line="189" w:lineRule="exact"/>
              <w:rPr>
                <w:sz w:val="20"/>
                <w:szCs w:val="20"/>
                <w:color w:val="auto"/>
              </w:rPr>
            </w:pPr>
            <w:r>
              <w:rPr>
                <w:rFonts w:ascii="Arial" w:cs="Arial" w:eastAsia="Arial" w:hAnsi="Arial"/>
                <w:sz w:val="17"/>
                <w:szCs w:val="17"/>
                <w:b w:val="1"/>
                <w:bCs w:val="1"/>
                <w:color w:val="auto"/>
              </w:rPr>
              <w:t>Research and development:</w:t>
            </w: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44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Employee-related</w:t>
            </w:r>
          </w:p>
        </w:tc>
        <w:tc>
          <w:tcPr>
            <w:tcW w:w="1280" w:type="dxa"/>
            <w:vAlign w:val="bottom"/>
            <w:shd w:val="clear" w:color="auto" w:fill="CFF0FC"/>
          </w:tcPr>
          <w:p>
            <w:pPr>
              <w:jc w:val="right"/>
              <w:ind w:right="1099"/>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11,669</w:t>
            </w: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95"/>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13,362</w:t>
            </w:r>
          </w:p>
        </w:tc>
        <w:tc>
          <w:tcPr>
            <w:tcW w:w="120" w:type="dxa"/>
            <w:vAlign w:val="bottom"/>
            <w:shd w:val="clear" w:color="auto" w:fill="CFF0FC"/>
          </w:tcPr>
          <w:p>
            <w:pPr>
              <w:spacing w:after="0"/>
              <w:rPr>
                <w:sz w:val="16"/>
                <w:szCs w:val="16"/>
                <w:color w:val="auto"/>
              </w:rPr>
            </w:pPr>
          </w:p>
        </w:tc>
      </w:tr>
      <w:tr>
        <w:trPr>
          <w:trHeight w:val="189"/>
        </w:trPr>
        <w:tc>
          <w:tcPr>
            <w:tcW w:w="6440" w:type="dxa"/>
            <w:vAlign w:val="bottom"/>
          </w:tcPr>
          <w:p>
            <w:pPr>
              <w:ind w:left="280"/>
              <w:spacing w:after="0" w:line="189" w:lineRule="exact"/>
              <w:rPr>
                <w:sz w:val="20"/>
                <w:szCs w:val="20"/>
                <w:color w:val="auto"/>
              </w:rPr>
            </w:pPr>
            <w:r>
              <w:rPr>
                <w:rFonts w:ascii="Arial" w:cs="Arial" w:eastAsia="Arial" w:hAnsi="Arial"/>
                <w:sz w:val="17"/>
                <w:szCs w:val="17"/>
                <w:color w:val="auto"/>
              </w:rPr>
              <w:t>Clinical development</w:t>
            </w:r>
          </w:p>
        </w:tc>
        <w:tc>
          <w:tcPr>
            <w:tcW w:w="1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5,196</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7,940</w:t>
            </w:r>
          </w:p>
        </w:tc>
        <w:tc>
          <w:tcPr>
            <w:tcW w:w="120" w:type="dxa"/>
            <w:vAlign w:val="bottom"/>
          </w:tcPr>
          <w:p>
            <w:pPr>
              <w:spacing w:after="0"/>
              <w:rPr>
                <w:sz w:val="16"/>
                <w:szCs w:val="16"/>
                <w:color w:val="auto"/>
              </w:rPr>
            </w:pPr>
          </w:p>
        </w:tc>
      </w:tr>
      <w:tr>
        <w:trPr>
          <w:trHeight w:val="189"/>
        </w:trPr>
        <w:tc>
          <w:tcPr>
            <w:tcW w:w="644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Facility and equipment costs</w:t>
            </w:r>
          </w:p>
        </w:tc>
        <w:tc>
          <w:tcPr>
            <w:tcW w:w="1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1,566</w:t>
            </w: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1,945</w:t>
            </w:r>
          </w:p>
        </w:tc>
        <w:tc>
          <w:tcPr>
            <w:tcW w:w="120" w:type="dxa"/>
            <w:vAlign w:val="bottom"/>
            <w:shd w:val="clear" w:color="auto" w:fill="CFF0FC"/>
          </w:tcPr>
          <w:p>
            <w:pPr>
              <w:spacing w:after="0"/>
              <w:rPr>
                <w:sz w:val="16"/>
                <w:szCs w:val="16"/>
                <w:color w:val="auto"/>
              </w:rPr>
            </w:pPr>
          </w:p>
        </w:tc>
      </w:tr>
      <w:tr>
        <w:trPr>
          <w:trHeight w:val="189"/>
        </w:trPr>
        <w:tc>
          <w:tcPr>
            <w:tcW w:w="6440" w:type="dxa"/>
            <w:vAlign w:val="bottom"/>
          </w:tcPr>
          <w:p>
            <w:pPr>
              <w:ind w:left="280"/>
              <w:spacing w:after="0" w:line="189" w:lineRule="exact"/>
              <w:rPr>
                <w:sz w:val="20"/>
                <w:szCs w:val="20"/>
                <w:color w:val="auto"/>
              </w:rPr>
            </w:pPr>
            <w:r>
              <w:rPr>
                <w:rFonts w:ascii="Arial" w:cs="Arial" w:eastAsia="Arial" w:hAnsi="Arial"/>
                <w:sz w:val="17"/>
                <w:szCs w:val="17"/>
                <w:color w:val="auto"/>
              </w:rPr>
              <w:t>Pre-clinical research</w:t>
            </w:r>
          </w:p>
        </w:tc>
        <w:tc>
          <w:tcPr>
            <w:tcW w:w="1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384</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660</w:t>
            </w:r>
          </w:p>
        </w:tc>
        <w:tc>
          <w:tcPr>
            <w:tcW w:w="120" w:type="dxa"/>
            <w:vAlign w:val="bottom"/>
          </w:tcPr>
          <w:p>
            <w:pPr>
              <w:spacing w:after="0"/>
              <w:rPr>
                <w:sz w:val="16"/>
                <w:szCs w:val="16"/>
                <w:color w:val="auto"/>
              </w:rPr>
            </w:pPr>
          </w:p>
        </w:tc>
      </w:tr>
      <w:tr>
        <w:trPr>
          <w:trHeight w:val="189"/>
        </w:trPr>
        <w:tc>
          <w:tcPr>
            <w:tcW w:w="6440" w:type="dxa"/>
            <w:vAlign w:val="bottom"/>
            <w:tcBorders>
              <w:bottom w:val="single" w:sz="8" w:color="CFF0FC"/>
            </w:tcBorders>
            <w:shd w:val="clear" w:color="auto" w:fill="CFF0FC"/>
          </w:tcPr>
          <w:p>
            <w:pPr>
              <w:ind w:left="280"/>
              <w:spacing w:after="0" w:line="189" w:lineRule="exact"/>
              <w:rPr>
                <w:sz w:val="20"/>
                <w:szCs w:val="20"/>
                <w:color w:val="auto"/>
              </w:rPr>
            </w:pPr>
            <w:r>
              <w:rPr>
                <w:rFonts w:ascii="Arial" w:cs="Arial" w:eastAsia="Arial" w:hAnsi="Arial"/>
                <w:sz w:val="17"/>
                <w:szCs w:val="17"/>
                <w:color w:val="auto"/>
              </w:rPr>
              <w:t>Other research and development segment expenses</w:t>
            </w:r>
          </w:p>
        </w:tc>
        <w:tc>
          <w:tcPr>
            <w:tcW w:w="12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499</w:t>
            </w:r>
          </w:p>
        </w:tc>
        <w:tc>
          <w:tcPr>
            <w:tcW w:w="3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599</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6440" w:type="dxa"/>
            <w:vAlign w:val="bottom"/>
          </w:tcPr>
          <w:p>
            <w:pPr>
              <w:ind w:left="280"/>
              <w:spacing w:after="0" w:line="183" w:lineRule="exact"/>
              <w:rPr>
                <w:sz w:val="20"/>
                <w:szCs w:val="20"/>
                <w:color w:val="auto"/>
              </w:rPr>
            </w:pPr>
            <w:r>
              <w:rPr>
                <w:rFonts w:ascii="Arial" w:cs="Arial" w:eastAsia="Arial" w:hAnsi="Arial"/>
                <w:sz w:val="17"/>
                <w:szCs w:val="17"/>
                <w:b w:val="1"/>
                <w:bCs w:val="1"/>
                <w:color w:val="auto"/>
              </w:rPr>
              <w:t>Total research and development</w:t>
            </w:r>
          </w:p>
        </w:tc>
        <w:tc>
          <w:tcPr>
            <w:tcW w:w="12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7"/>
                <w:szCs w:val="17"/>
                <w:color w:val="auto"/>
              </w:rPr>
              <w:t>19,314</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7"/>
                <w:szCs w:val="17"/>
                <w:color w:val="auto"/>
              </w:rPr>
              <w:t>24,506</w:t>
            </w:r>
          </w:p>
        </w:tc>
        <w:tc>
          <w:tcPr>
            <w:tcW w:w="120" w:type="dxa"/>
            <w:vAlign w:val="bottom"/>
          </w:tcPr>
          <w:p>
            <w:pPr>
              <w:spacing w:after="0"/>
              <w:rPr>
                <w:sz w:val="15"/>
                <w:szCs w:val="15"/>
                <w:color w:val="auto"/>
              </w:rPr>
            </w:pPr>
          </w:p>
        </w:tc>
      </w:tr>
      <w:tr>
        <w:trPr>
          <w:trHeight w:val="189"/>
        </w:trPr>
        <w:tc>
          <w:tcPr>
            <w:tcW w:w="644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b w:val="1"/>
                <w:bCs w:val="1"/>
                <w:color w:val="auto"/>
              </w:rPr>
              <w:t>General and administrative:</w:t>
            </w:r>
          </w:p>
        </w:tc>
        <w:tc>
          <w:tcPr>
            <w:tcW w:w="1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6440" w:type="dxa"/>
            <w:vAlign w:val="bottom"/>
          </w:tcPr>
          <w:p>
            <w:pPr>
              <w:ind w:left="280"/>
              <w:spacing w:after="0" w:line="189" w:lineRule="exact"/>
              <w:rPr>
                <w:sz w:val="20"/>
                <w:szCs w:val="20"/>
                <w:color w:val="auto"/>
              </w:rPr>
            </w:pPr>
            <w:r>
              <w:rPr>
                <w:rFonts w:ascii="Arial" w:cs="Arial" w:eastAsia="Arial" w:hAnsi="Arial"/>
                <w:sz w:val="17"/>
                <w:szCs w:val="17"/>
                <w:color w:val="auto"/>
              </w:rPr>
              <w:t>Employee-related</w:t>
            </w:r>
          </w:p>
        </w:tc>
        <w:tc>
          <w:tcPr>
            <w:tcW w:w="1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6,831</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7,573</w:t>
            </w:r>
          </w:p>
        </w:tc>
        <w:tc>
          <w:tcPr>
            <w:tcW w:w="120" w:type="dxa"/>
            <w:vAlign w:val="bottom"/>
          </w:tcPr>
          <w:p>
            <w:pPr>
              <w:spacing w:after="0"/>
              <w:rPr>
                <w:sz w:val="16"/>
                <w:szCs w:val="16"/>
                <w:color w:val="auto"/>
              </w:rPr>
            </w:pPr>
          </w:p>
        </w:tc>
      </w:tr>
      <w:tr>
        <w:trPr>
          <w:trHeight w:val="189"/>
        </w:trPr>
        <w:tc>
          <w:tcPr>
            <w:tcW w:w="6440" w:type="dxa"/>
            <w:vAlign w:val="bottom"/>
            <w:shd w:val="clear" w:color="auto" w:fill="CFF0FC"/>
          </w:tcPr>
          <w:p>
            <w:pPr>
              <w:ind w:left="280"/>
              <w:spacing w:after="0" w:line="189" w:lineRule="exact"/>
              <w:rPr>
                <w:sz w:val="20"/>
                <w:szCs w:val="20"/>
                <w:color w:val="auto"/>
              </w:rPr>
            </w:pPr>
            <w:r>
              <w:rPr>
                <w:rFonts w:ascii="Arial" w:cs="Arial" w:eastAsia="Arial" w:hAnsi="Arial"/>
                <w:sz w:val="17"/>
                <w:szCs w:val="17"/>
                <w:color w:val="auto"/>
              </w:rPr>
              <w:t>Professional and consulting fees</w:t>
            </w:r>
          </w:p>
        </w:tc>
        <w:tc>
          <w:tcPr>
            <w:tcW w:w="1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5,263</w:t>
            </w: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3,666</w:t>
            </w:r>
          </w:p>
        </w:tc>
        <w:tc>
          <w:tcPr>
            <w:tcW w:w="120" w:type="dxa"/>
            <w:vAlign w:val="bottom"/>
            <w:shd w:val="clear" w:color="auto" w:fill="CFF0FC"/>
          </w:tcPr>
          <w:p>
            <w:pPr>
              <w:spacing w:after="0"/>
              <w:rPr>
                <w:sz w:val="16"/>
                <w:szCs w:val="16"/>
                <w:color w:val="auto"/>
              </w:rPr>
            </w:pPr>
          </w:p>
        </w:tc>
      </w:tr>
      <w:tr>
        <w:trPr>
          <w:trHeight w:val="189"/>
        </w:trPr>
        <w:tc>
          <w:tcPr>
            <w:tcW w:w="6440" w:type="dxa"/>
            <w:vAlign w:val="bottom"/>
          </w:tcPr>
          <w:p>
            <w:pPr>
              <w:ind w:left="280"/>
              <w:spacing w:after="0" w:line="189" w:lineRule="exact"/>
              <w:rPr>
                <w:sz w:val="20"/>
                <w:szCs w:val="20"/>
                <w:color w:val="auto"/>
              </w:rPr>
            </w:pPr>
            <w:r>
              <w:rPr>
                <w:rFonts w:ascii="Arial" w:cs="Arial" w:eastAsia="Arial" w:hAnsi="Arial"/>
                <w:sz w:val="17"/>
                <w:szCs w:val="17"/>
                <w:color w:val="auto"/>
              </w:rPr>
              <w:t>Other general and administrative segment expenses (1)</w:t>
            </w:r>
          </w:p>
        </w:tc>
        <w:tc>
          <w:tcPr>
            <w:tcW w:w="1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1,963</w:t>
            </w:r>
          </w:p>
        </w:tc>
        <w:tc>
          <w:tcPr>
            <w:tcW w:w="3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2,646</w:t>
            </w:r>
          </w:p>
        </w:tc>
        <w:tc>
          <w:tcPr>
            <w:tcW w:w="120" w:type="dxa"/>
            <w:vAlign w:val="bottom"/>
          </w:tcPr>
          <w:p>
            <w:pPr>
              <w:spacing w:after="0"/>
              <w:rPr>
                <w:sz w:val="16"/>
                <w:szCs w:val="16"/>
                <w:color w:val="auto"/>
              </w:rPr>
            </w:pPr>
          </w:p>
        </w:tc>
      </w:tr>
      <w:tr>
        <w:trPr>
          <w:trHeight w:val="183"/>
        </w:trPr>
        <w:tc>
          <w:tcPr>
            <w:tcW w:w="6440" w:type="dxa"/>
            <w:vAlign w:val="bottom"/>
            <w:tcBorders>
              <w:bottom w:val="single" w:sz="8" w:color="CFF0FC"/>
            </w:tcBorders>
            <w:shd w:val="clear" w:color="auto" w:fill="CFF0FC"/>
          </w:tcPr>
          <w:p>
            <w:pPr>
              <w:ind w:left="280"/>
              <w:spacing w:after="0" w:line="183" w:lineRule="exact"/>
              <w:rPr>
                <w:sz w:val="20"/>
                <w:szCs w:val="20"/>
                <w:color w:val="auto"/>
              </w:rPr>
            </w:pPr>
            <w:r>
              <w:rPr>
                <w:rFonts w:ascii="Arial" w:cs="Arial" w:eastAsia="Arial" w:hAnsi="Arial"/>
                <w:sz w:val="17"/>
                <w:szCs w:val="17"/>
                <w:b w:val="1"/>
                <w:bCs w:val="1"/>
                <w:color w:val="auto"/>
              </w:rPr>
              <w:t>Total general and administrative</w:t>
            </w:r>
          </w:p>
        </w:tc>
        <w:tc>
          <w:tcPr>
            <w:tcW w:w="1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14,057</w:t>
            </w:r>
          </w:p>
        </w:tc>
        <w:tc>
          <w:tcPr>
            <w:tcW w:w="3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13,885</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6440" w:type="dxa"/>
            <w:vAlign w:val="bottom"/>
          </w:tcPr>
          <w:p>
            <w:pPr>
              <w:ind w:left="520"/>
              <w:spacing w:after="0" w:line="183" w:lineRule="exact"/>
              <w:rPr>
                <w:sz w:val="20"/>
                <w:szCs w:val="20"/>
                <w:color w:val="auto"/>
              </w:rPr>
            </w:pPr>
            <w:r>
              <w:rPr>
                <w:rFonts w:ascii="Arial" w:cs="Arial" w:eastAsia="Arial" w:hAnsi="Arial"/>
                <w:sz w:val="17"/>
                <w:szCs w:val="17"/>
                <w:b w:val="1"/>
                <w:bCs w:val="1"/>
                <w:color w:val="auto"/>
              </w:rPr>
              <w:t>Total operating expenses</w:t>
            </w:r>
          </w:p>
        </w:tc>
        <w:tc>
          <w:tcPr>
            <w:tcW w:w="1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33,371</w:t>
            </w:r>
          </w:p>
        </w:tc>
        <w:tc>
          <w:tcPr>
            <w:tcW w:w="3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38,391</w:t>
            </w:r>
          </w:p>
        </w:tc>
        <w:tc>
          <w:tcPr>
            <w:tcW w:w="120" w:type="dxa"/>
            <w:vAlign w:val="bottom"/>
          </w:tcPr>
          <w:p>
            <w:pPr>
              <w:spacing w:after="0"/>
              <w:rPr>
                <w:sz w:val="15"/>
                <w:szCs w:val="15"/>
                <w:color w:val="auto"/>
              </w:rPr>
            </w:pPr>
          </w:p>
        </w:tc>
      </w:tr>
      <w:tr>
        <w:trPr>
          <w:trHeight w:val="183"/>
        </w:trPr>
        <w:tc>
          <w:tcPr>
            <w:tcW w:w="644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Loss from operations</w:t>
            </w:r>
          </w:p>
        </w:tc>
        <w:tc>
          <w:tcPr>
            <w:tcW w:w="1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7"/>
                <w:szCs w:val="17"/>
                <w:color w:val="auto"/>
              </w:rPr>
              <w:t>(33,371 )</w:t>
            </w:r>
          </w:p>
        </w:tc>
        <w:tc>
          <w:tcPr>
            <w:tcW w:w="8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(38,391 )</w:t>
            </w:r>
          </w:p>
        </w:tc>
      </w:tr>
      <w:tr>
        <w:trPr>
          <w:trHeight w:val="189"/>
        </w:trPr>
        <w:tc>
          <w:tcPr>
            <w:tcW w:w="6440" w:type="dxa"/>
            <w:vAlign w:val="bottom"/>
          </w:tcPr>
          <w:p>
            <w:pPr>
              <w:ind w:left="20"/>
              <w:spacing w:after="0" w:line="189" w:lineRule="exact"/>
              <w:rPr>
                <w:sz w:val="20"/>
                <w:szCs w:val="20"/>
                <w:color w:val="auto"/>
              </w:rPr>
            </w:pPr>
            <w:r>
              <w:rPr>
                <w:rFonts w:ascii="Arial" w:cs="Arial" w:eastAsia="Arial" w:hAnsi="Arial"/>
                <w:sz w:val="17"/>
                <w:szCs w:val="17"/>
                <w:color w:val="auto"/>
              </w:rPr>
              <w:t>Interest income</w:t>
            </w:r>
          </w:p>
        </w:tc>
        <w:tc>
          <w:tcPr>
            <w:tcW w:w="1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1,086</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2,081</w:t>
            </w:r>
          </w:p>
        </w:tc>
        <w:tc>
          <w:tcPr>
            <w:tcW w:w="120" w:type="dxa"/>
            <w:vAlign w:val="bottom"/>
          </w:tcPr>
          <w:p>
            <w:pPr>
              <w:spacing w:after="0"/>
              <w:rPr>
                <w:sz w:val="16"/>
                <w:szCs w:val="16"/>
                <w:color w:val="auto"/>
              </w:rPr>
            </w:pPr>
          </w:p>
        </w:tc>
      </w:tr>
      <w:tr>
        <w:trPr>
          <w:trHeight w:val="189"/>
        </w:trPr>
        <w:tc>
          <w:tcPr>
            <w:tcW w:w="6440" w:type="dxa"/>
            <w:vAlign w:val="bottom"/>
            <w:shd w:val="clear" w:color="auto" w:fill="CFF0FC"/>
          </w:tcPr>
          <w:p>
            <w:pPr>
              <w:ind w:left="20"/>
              <w:spacing w:after="0" w:line="189" w:lineRule="exact"/>
              <w:rPr>
                <w:sz w:val="20"/>
                <w:szCs w:val="20"/>
                <w:color w:val="auto"/>
              </w:rPr>
            </w:pPr>
            <w:r>
              <w:rPr>
                <w:rFonts w:ascii="Arial" w:cs="Arial" w:eastAsia="Arial" w:hAnsi="Arial"/>
                <w:sz w:val="17"/>
                <w:szCs w:val="17"/>
                <w:color w:val="auto"/>
              </w:rPr>
              <w:t>Interest expense</w:t>
            </w:r>
          </w:p>
        </w:tc>
        <w:tc>
          <w:tcPr>
            <w:tcW w:w="1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300"/>
              <w:spacing w:after="0" w:line="189" w:lineRule="exact"/>
              <w:rPr>
                <w:sz w:val="20"/>
                <w:szCs w:val="20"/>
                <w:color w:val="auto"/>
              </w:rPr>
            </w:pPr>
            <w:r>
              <w:rPr>
                <w:rFonts w:ascii="Arial" w:cs="Arial" w:eastAsia="Arial" w:hAnsi="Arial"/>
                <w:sz w:val="17"/>
                <w:szCs w:val="17"/>
                <w:color w:val="auto"/>
              </w:rPr>
              <w:t>(2,090 )</w:t>
            </w:r>
          </w:p>
        </w:tc>
        <w:tc>
          <w:tcPr>
            <w:tcW w:w="88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(2,595 )</w:t>
            </w:r>
          </w:p>
        </w:tc>
      </w:tr>
      <w:tr>
        <w:trPr>
          <w:trHeight w:val="189"/>
        </w:trPr>
        <w:tc>
          <w:tcPr>
            <w:tcW w:w="6440" w:type="dxa"/>
            <w:vAlign w:val="bottom"/>
          </w:tcPr>
          <w:p>
            <w:pPr>
              <w:ind w:left="20"/>
              <w:spacing w:after="0" w:line="189" w:lineRule="exact"/>
              <w:rPr>
                <w:sz w:val="20"/>
                <w:szCs w:val="20"/>
                <w:color w:val="auto"/>
              </w:rPr>
            </w:pPr>
            <w:r>
              <w:rPr>
                <w:rFonts w:ascii="Arial" w:cs="Arial" w:eastAsia="Arial" w:hAnsi="Arial"/>
                <w:sz w:val="17"/>
                <w:szCs w:val="17"/>
                <w:color w:val="auto"/>
              </w:rPr>
              <w:t>Change in fair value of warrant liability</w:t>
            </w:r>
          </w:p>
        </w:tc>
        <w:tc>
          <w:tcPr>
            <w:tcW w:w="1280" w:type="dxa"/>
            <w:vAlign w:val="bottom"/>
          </w:tcPr>
          <w:p>
            <w:pPr>
              <w:spacing w:after="0"/>
              <w:rPr>
                <w:sz w:val="16"/>
                <w:szCs w:val="16"/>
                <w:color w:val="auto"/>
              </w:rPr>
            </w:pPr>
          </w:p>
        </w:tc>
        <w:tc>
          <w:tcPr>
            <w:tcW w:w="124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(20,802 )</w:t>
            </w:r>
          </w:p>
        </w:tc>
        <w:tc>
          <w:tcPr>
            <w:tcW w:w="8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966</w:t>
            </w:r>
          </w:p>
        </w:tc>
        <w:tc>
          <w:tcPr>
            <w:tcW w:w="120" w:type="dxa"/>
            <w:vAlign w:val="bottom"/>
          </w:tcPr>
          <w:p>
            <w:pPr>
              <w:spacing w:after="0"/>
              <w:rPr>
                <w:sz w:val="16"/>
                <w:szCs w:val="16"/>
                <w:color w:val="auto"/>
              </w:rPr>
            </w:pPr>
          </w:p>
        </w:tc>
      </w:tr>
      <w:tr>
        <w:trPr>
          <w:trHeight w:val="20"/>
        </w:trPr>
        <w:tc>
          <w:tcPr>
            <w:tcW w:w="6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44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Net loss</w:t>
            </w:r>
          </w:p>
        </w:tc>
        <w:tc>
          <w:tcPr>
            <w:tcW w:w="1280" w:type="dxa"/>
            <w:vAlign w:val="bottom"/>
            <w:shd w:val="clear" w:color="auto" w:fill="CFF0FC"/>
          </w:tcPr>
          <w:p>
            <w:pPr>
              <w:jc w:val="right"/>
              <w:ind w:right="1099"/>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7"/>
                <w:szCs w:val="17"/>
                <w:color w:val="auto"/>
              </w:rPr>
              <w:t>(55,177 )</w:t>
            </w:r>
          </w:p>
        </w:tc>
        <w:tc>
          <w:tcPr>
            <w:tcW w:w="880" w:type="dxa"/>
            <w:vAlign w:val="bottom"/>
            <w:shd w:val="clear" w:color="auto" w:fill="CFF0FC"/>
          </w:tcPr>
          <w:p>
            <w:pPr>
              <w:jc w:val="right"/>
              <w:ind w:right="695"/>
              <w:spacing w:after="0" w:line="183" w:lineRule="exact"/>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(37,939 )</w:t>
            </w: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-1508125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-770890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(1) Other general and administrative segment expenses primarily consists of insurance, occupancy, and information technology costs.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Corporate Restructuring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2023, the Company’s board of directors authorized a restructuring plan to focus on key clinical data readouts for CAN-2409 and</w:t>
      </w:r>
    </w:p>
    <w:p>
      <w:pPr>
        <w:spacing w:after="0" w:line="20"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color w:val="auto"/>
        </w:rPr>
        <w:t>continuation and expansion of development of CAN-3110 as well as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which resulted in a reduction of the Company’s workforce by approximately 45%. Each affected employee’s separation occurred in December 2023. As a result, the Company incurred costs of $0.7 million related to severance benefits for the affected employees, including severance payments and limited reimbursement of medical insurance premiums. The restructuring plan was completed in the first quarter of 2024 when the final severance payments of $46,000 were made.</w:t>
      </w:r>
    </w:p>
    <w:p>
      <w:pPr>
        <w:spacing w:after="0" w:line="115"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Of the $0.7 million in costs recognized related to the restructuring plan, $0.5 million and $0.2 million were included in research and development and general and administrative expenses, respectively, in the accompanying consolidated statement of operations for the year ended December 31, 2023. During the year ended December 31, 2023, the Company paid $0.7 million in severance benefits to separating employees related to the restructuring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7"/>
          <w:szCs w:val="17"/>
          <w:b w:val="1"/>
          <w:bCs w:val="1"/>
          <w:color w:val="auto"/>
        </w:rPr>
        <w:t>SIGNATURES</w:t>
      </w:r>
    </w:p>
    <w:p>
      <w:pPr>
        <w:spacing w:after="0" w:line="318"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7"/>
          <w:szCs w:val="17"/>
          <w:b w:val="1"/>
          <w:bCs w:val="1"/>
          <w:color w:val="auto"/>
        </w:rPr>
        <w:t>.</w:t>
      </w:r>
    </w:p>
    <w:p>
      <w:pPr>
        <w:spacing w:after="0" w:line="111"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Candel Therapeutics, Inc.</w:t>
      </w:r>
    </w:p>
    <w:p>
      <w:pPr>
        <w:spacing w:after="0" w:line="183" w:lineRule="exact"/>
        <w:rPr>
          <w:sz w:val="20"/>
          <w:szCs w:val="20"/>
          <w:color w:val="auto"/>
        </w:rPr>
      </w:pPr>
    </w:p>
    <w:p>
      <w:pPr>
        <w:ind w:left="20"/>
        <w:spacing w:after="0"/>
        <w:tabs>
          <w:tab w:leader="none" w:pos="5400" w:val="left"/>
          <w:tab w:leader="none" w:pos="7900" w:val="left"/>
        </w:tabs>
        <w:rPr>
          <w:sz w:val="20"/>
          <w:szCs w:val="20"/>
          <w:color w:val="auto"/>
        </w:rPr>
      </w:pPr>
      <w:r>
        <w:rPr>
          <w:rFonts w:ascii="Arial" w:cs="Arial" w:eastAsia="Arial" w:hAnsi="Arial"/>
          <w:sz w:val="17"/>
          <w:szCs w:val="17"/>
          <w:color w:val="auto"/>
        </w:rPr>
        <w:t>Date: March 13,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10160</wp:posOffset>
            </wp:positionV>
            <wp:extent cx="33432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7"/>
          <w:szCs w:val="17"/>
          <w:b w:val="1"/>
          <w:bCs w:val="1"/>
          <w:color w:val="auto"/>
        </w:rPr>
        <w:t>Paul Peter Tak, M.D., Ph.D., FMedSci</w:t>
      </w:r>
    </w:p>
    <w:p>
      <w:pPr>
        <w:ind w:left="708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Each person whose individual signature appears below hereby constitutes and appoints Paul Peter Tak and Charles Schoch,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74"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and on the dates indicated.</w:t>
      </w:r>
    </w:p>
    <w:p>
      <w:pPr>
        <w:spacing w:after="0" w:line="145" w:lineRule="exact"/>
        <w:rPr>
          <w:sz w:val="20"/>
          <w:szCs w:val="20"/>
          <w:color w:val="auto"/>
        </w:rPr>
      </w:pPr>
    </w:p>
    <w:p>
      <w:pPr>
        <w:ind w:left="1640"/>
        <w:spacing w:after="0"/>
        <w:tabs>
          <w:tab w:leader="none" w:pos="608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4720" w:type="dxa"/>
            <w:vAlign w:val="bottom"/>
          </w:tcPr>
          <w:p>
            <w:pPr>
              <w:ind w:left="120"/>
              <w:spacing w:after="0"/>
              <w:rPr>
                <w:sz w:val="20"/>
                <w:szCs w:val="20"/>
                <w:color w:val="auto"/>
              </w:rPr>
            </w:pPr>
            <w:r>
              <w:rPr>
                <w:rFonts w:ascii="Arial" w:cs="Arial" w:eastAsia="Arial" w:hAnsi="Arial"/>
                <w:sz w:val="17"/>
                <w:szCs w:val="17"/>
                <w:color w:val="auto"/>
              </w:rPr>
              <w:t>President and Chief Executive Officer</w:t>
            </w:r>
          </w:p>
        </w:tc>
        <w:tc>
          <w:tcPr>
            <w:tcW w:w="2860" w:type="dxa"/>
            <w:vAlign w:val="bottom"/>
          </w:tcPr>
          <w:p>
            <w:pPr>
              <w:spacing w:after="0"/>
              <w:rPr>
                <w:sz w:val="16"/>
                <w:szCs w:val="16"/>
                <w:color w:val="auto"/>
              </w:rPr>
            </w:pPr>
          </w:p>
        </w:tc>
      </w:tr>
      <w:tr>
        <w:trPr>
          <w:trHeight w:val="21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Paul Peter Tak</w:t>
            </w:r>
          </w:p>
        </w:tc>
        <w:tc>
          <w:tcPr>
            <w:tcW w:w="4720" w:type="dxa"/>
            <w:vAlign w:val="bottom"/>
          </w:tcPr>
          <w:p>
            <w:pPr>
              <w:ind w:left="120"/>
              <w:spacing w:after="0"/>
              <w:rPr>
                <w:sz w:val="20"/>
                <w:szCs w:val="20"/>
                <w:color w:val="auto"/>
              </w:rPr>
            </w:pPr>
            <w:r>
              <w:rPr>
                <w:rFonts w:ascii="Arial" w:cs="Arial" w:eastAsia="Arial" w:hAnsi="Arial"/>
                <w:sz w:val="17"/>
                <w:szCs w:val="17"/>
                <w:color w:val="auto"/>
              </w:rPr>
              <w:t>(Principal Executive Officer)</w:t>
            </w:r>
          </w:p>
        </w:tc>
        <w:tc>
          <w:tcPr>
            <w:tcW w:w="2860" w:type="dxa"/>
            <w:vAlign w:val="bottom"/>
          </w:tcPr>
          <w:p>
            <w:pPr>
              <w:ind w:left="500"/>
              <w:spacing w:after="0"/>
              <w:rPr>
                <w:sz w:val="20"/>
                <w:szCs w:val="20"/>
                <w:color w:val="auto"/>
              </w:rPr>
            </w:pPr>
            <w:r>
              <w:rPr>
                <w:rFonts w:ascii="Arial" w:cs="Arial" w:eastAsia="Arial" w:hAnsi="Arial"/>
                <w:sz w:val="17"/>
                <w:szCs w:val="17"/>
                <w:color w:val="auto"/>
              </w:rPr>
              <w:t>March 13, 2025</w:t>
            </w:r>
          </w:p>
        </w:tc>
      </w:t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Paul Peter Tak, M.D., Ph.D. FMedSci</w:t>
            </w:r>
          </w:p>
        </w:tc>
        <w:tc>
          <w:tcPr>
            <w:tcW w:w="47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14"/>
        </w:trPr>
        <w:tc>
          <w:tcPr>
            <w:tcW w:w="366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7"/>
                <w:szCs w:val="17"/>
                <w:color w:val="auto"/>
              </w:rPr>
              <w:t>Interim Chief Financial Officer (Principal Financial and</w:t>
            </w:r>
          </w:p>
        </w:tc>
        <w:tc>
          <w:tcPr>
            <w:tcW w:w="2860" w:type="dxa"/>
            <w:vAlign w:val="bottom"/>
          </w:tcPr>
          <w:p>
            <w:pPr>
              <w:spacing w:after="0"/>
              <w:rPr>
                <w:sz w:val="18"/>
                <w:szCs w:val="18"/>
                <w:color w:val="auto"/>
              </w:rPr>
            </w:pPr>
          </w:p>
        </w:tc>
      </w:tr>
      <w:tr>
        <w:trPr>
          <w:trHeight w:val="21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Charles Schoch</w:t>
            </w:r>
          </w:p>
        </w:tc>
        <w:tc>
          <w:tcPr>
            <w:tcW w:w="4720" w:type="dxa"/>
            <w:vAlign w:val="bottom"/>
          </w:tcPr>
          <w:p>
            <w:pPr>
              <w:ind w:left="120"/>
              <w:spacing w:after="0"/>
              <w:rPr>
                <w:sz w:val="20"/>
                <w:szCs w:val="20"/>
                <w:color w:val="auto"/>
              </w:rPr>
            </w:pPr>
            <w:r>
              <w:rPr>
                <w:rFonts w:ascii="Arial" w:cs="Arial" w:eastAsia="Arial" w:hAnsi="Arial"/>
                <w:sz w:val="17"/>
                <w:szCs w:val="17"/>
                <w:color w:val="auto"/>
              </w:rPr>
              <w:t>Accounting Officer)</w:t>
            </w:r>
          </w:p>
        </w:tc>
        <w:tc>
          <w:tcPr>
            <w:tcW w:w="2860" w:type="dxa"/>
            <w:vAlign w:val="bottom"/>
          </w:tcPr>
          <w:p>
            <w:pPr>
              <w:ind w:left="500"/>
              <w:spacing w:after="0"/>
              <w:rPr>
                <w:sz w:val="20"/>
                <w:szCs w:val="20"/>
                <w:color w:val="auto"/>
              </w:rPr>
            </w:pPr>
            <w:r>
              <w:rPr>
                <w:rFonts w:ascii="Arial" w:cs="Arial" w:eastAsia="Arial" w:hAnsi="Arial"/>
                <w:sz w:val="17"/>
                <w:szCs w:val="17"/>
                <w:color w:val="auto"/>
              </w:rPr>
              <w:t>March 13, 2025</w:t>
            </w:r>
          </w:p>
        </w:tc>
      </w:t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Charles Schoch</w:t>
            </w:r>
          </w:p>
        </w:tc>
        <w:tc>
          <w:tcPr>
            <w:tcW w:w="47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3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Paul B. Manning</w:t>
            </w:r>
          </w:p>
        </w:tc>
        <w:tc>
          <w:tcPr>
            <w:tcW w:w="4720" w:type="dxa"/>
            <w:vAlign w:val="bottom"/>
          </w:tcPr>
          <w:p>
            <w:pPr>
              <w:ind w:left="120"/>
              <w:spacing w:after="0"/>
              <w:rPr>
                <w:sz w:val="20"/>
                <w:szCs w:val="20"/>
                <w:color w:val="auto"/>
              </w:rPr>
            </w:pPr>
            <w:r>
              <w:rPr>
                <w:rFonts w:ascii="Arial" w:cs="Arial" w:eastAsia="Arial" w:hAnsi="Arial"/>
                <w:sz w:val="17"/>
                <w:szCs w:val="17"/>
                <w:color w:val="auto"/>
              </w:rPr>
              <w:t>Chairman</w:t>
            </w:r>
          </w:p>
        </w:tc>
        <w:tc>
          <w:tcPr>
            <w:tcW w:w="2860" w:type="dxa"/>
            <w:vAlign w:val="bottom"/>
          </w:tcPr>
          <w:p>
            <w:pPr>
              <w:ind w:left="500"/>
              <w:spacing w:after="0"/>
              <w:rPr>
                <w:sz w:val="20"/>
                <w:szCs w:val="20"/>
                <w:color w:val="auto"/>
              </w:rPr>
            </w:pPr>
            <w:r>
              <w:rPr>
                <w:rFonts w:ascii="Arial" w:cs="Arial" w:eastAsia="Arial" w:hAnsi="Arial"/>
                <w:sz w:val="17"/>
                <w:szCs w:val="17"/>
                <w:color w:val="auto"/>
              </w:rPr>
              <w:t>March 13, 2025</w:t>
            </w:r>
          </w:p>
        </w:tc>
      </w:t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Paul B. Manning</w:t>
            </w:r>
          </w:p>
        </w:tc>
        <w:tc>
          <w:tcPr>
            <w:tcW w:w="47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3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Edward J. Benz Jr.</w:t>
            </w:r>
          </w:p>
        </w:tc>
        <w:tc>
          <w:tcPr>
            <w:tcW w:w="47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500"/>
              <w:spacing w:after="0"/>
              <w:rPr>
                <w:sz w:val="20"/>
                <w:szCs w:val="20"/>
                <w:color w:val="auto"/>
              </w:rPr>
            </w:pPr>
            <w:r>
              <w:rPr>
                <w:rFonts w:ascii="Arial" w:cs="Arial" w:eastAsia="Arial" w:hAnsi="Arial"/>
                <w:sz w:val="17"/>
                <w:szCs w:val="17"/>
                <w:color w:val="auto"/>
              </w:rPr>
              <w:t>March 13, 2025</w:t>
            </w:r>
          </w:p>
        </w:tc>
      </w:t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Edward J. Benz, Jr, M.D.</w:t>
            </w:r>
          </w:p>
        </w:tc>
        <w:tc>
          <w:tcPr>
            <w:tcW w:w="47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3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Chris Martell</w:t>
            </w:r>
          </w:p>
        </w:tc>
        <w:tc>
          <w:tcPr>
            <w:tcW w:w="47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500"/>
              <w:spacing w:after="0"/>
              <w:rPr>
                <w:sz w:val="20"/>
                <w:szCs w:val="20"/>
                <w:color w:val="auto"/>
              </w:rPr>
            </w:pPr>
            <w:r>
              <w:rPr>
                <w:rFonts w:ascii="Arial" w:cs="Arial" w:eastAsia="Arial" w:hAnsi="Arial"/>
                <w:sz w:val="17"/>
                <w:szCs w:val="17"/>
                <w:color w:val="auto"/>
              </w:rPr>
              <w:t>March 13, 2025</w:t>
            </w:r>
          </w:p>
        </w:tc>
      </w:t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Chris Martell</w:t>
            </w:r>
          </w:p>
        </w:tc>
        <w:tc>
          <w:tcPr>
            <w:tcW w:w="47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3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Renee Gaeta</w:t>
            </w:r>
          </w:p>
        </w:tc>
        <w:tc>
          <w:tcPr>
            <w:tcW w:w="47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500"/>
              <w:spacing w:after="0"/>
              <w:rPr>
                <w:sz w:val="20"/>
                <w:szCs w:val="20"/>
                <w:color w:val="auto"/>
              </w:rPr>
            </w:pPr>
            <w:r>
              <w:rPr>
                <w:rFonts w:ascii="Arial" w:cs="Arial" w:eastAsia="Arial" w:hAnsi="Arial"/>
                <w:sz w:val="17"/>
                <w:szCs w:val="17"/>
                <w:color w:val="auto"/>
              </w:rPr>
              <w:t>March 13, 2025</w:t>
            </w:r>
          </w:p>
        </w:tc>
      </w:t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Renee Gaeta</w:t>
            </w:r>
          </w:p>
        </w:tc>
        <w:tc>
          <w:tcPr>
            <w:tcW w:w="47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4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Gary Nabel</w:t>
            </w:r>
          </w:p>
        </w:tc>
        <w:tc>
          <w:tcPr>
            <w:tcW w:w="47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500"/>
              <w:spacing w:after="0"/>
              <w:rPr>
                <w:sz w:val="20"/>
                <w:szCs w:val="20"/>
                <w:color w:val="auto"/>
              </w:rPr>
            </w:pPr>
            <w:r>
              <w:rPr>
                <w:rFonts w:ascii="Arial" w:cs="Arial" w:eastAsia="Arial" w:hAnsi="Arial"/>
                <w:sz w:val="17"/>
                <w:szCs w:val="17"/>
                <w:color w:val="auto"/>
              </w:rPr>
              <w:t>March 13, 2025</w:t>
            </w:r>
          </w:p>
        </w:tc>
      </w:t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Gary Nabel, Ph.D., M.D.</w:t>
            </w:r>
          </w:p>
        </w:tc>
        <w:tc>
          <w:tcPr>
            <w:tcW w:w="47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3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Joseph Papa</w:t>
            </w:r>
          </w:p>
        </w:tc>
        <w:tc>
          <w:tcPr>
            <w:tcW w:w="47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500"/>
              <w:spacing w:after="0"/>
              <w:rPr>
                <w:sz w:val="20"/>
                <w:szCs w:val="20"/>
                <w:color w:val="auto"/>
              </w:rPr>
            </w:pPr>
            <w:r>
              <w:rPr>
                <w:rFonts w:ascii="Arial" w:cs="Arial" w:eastAsia="Arial" w:hAnsi="Arial"/>
                <w:sz w:val="17"/>
                <w:szCs w:val="17"/>
                <w:color w:val="auto"/>
              </w:rPr>
              <w:t>March 13, 2025</w:t>
            </w:r>
          </w:p>
        </w:tc>
      </w:t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Joseph Papa</w:t>
            </w:r>
          </w:p>
        </w:tc>
        <w:tc>
          <w:tcPr>
            <w:tcW w:w="47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4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Diem Nguyen</w:t>
            </w:r>
          </w:p>
        </w:tc>
        <w:tc>
          <w:tcPr>
            <w:tcW w:w="47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500"/>
              <w:spacing w:after="0"/>
              <w:rPr>
                <w:sz w:val="20"/>
                <w:szCs w:val="20"/>
                <w:color w:val="auto"/>
              </w:rPr>
            </w:pPr>
            <w:r>
              <w:rPr>
                <w:rFonts w:ascii="Arial" w:cs="Arial" w:eastAsia="Arial" w:hAnsi="Arial"/>
                <w:sz w:val="17"/>
                <w:szCs w:val="17"/>
                <w:color w:val="auto"/>
              </w:rPr>
              <w:t>March 13, 2025</w:t>
            </w:r>
          </w:p>
        </w:tc>
      </w:t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Diem Nguyen, Ph.D., MBA</w:t>
            </w:r>
          </w:p>
        </w:tc>
        <w:tc>
          <w:tcPr>
            <w:tcW w:w="47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4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Nicoletta Loggia</w:t>
            </w:r>
          </w:p>
        </w:tc>
        <w:tc>
          <w:tcPr>
            <w:tcW w:w="47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860" w:type="dxa"/>
            <w:vAlign w:val="bottom"/>
          </w:tcPr>
          <w:p>
            <w:pPr>
              <w:ind w:left="500"/>
              <w:spacing w:after="0"/>
              <w:rPr>
                <w:sz w:val="20"/>
                <w:szCs w:val="20"/>
                <w:color w:val="auto"/>
              </w:rPr>
            </w:pPr>
            <w:r>
              <w:rPr>
                <w:rFonts w:ascii="Arial" w:cs="Arial" w:eastAsia="Arial" w:hAnsi="Arial"/>
                <w:sz w:val="17"/>
                <w:szCs w:val="17"/>
                <w:color w:val="auto"/>
              </w:rPr>
              <w:t>March 13, 2025</w:t>
            </w:r>
          </w:p>
        </w:tc>
      </w:tr>
      <w:tr>
        <w:trPr>
          <w:trHeight w:val="190"/>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Nicoletta Loggia, Ph.D., R.Ph</w:t>
            </w:r>
          </w:p>
        </w:tc>
        <w:tc>
          <w:tcPr>
            <w:tcW w:w="47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600"/>
        </w:trPr>
        <w:tc>
          <w:tcPr>
            <w:tcW w:w="3660" w:type="dxa"/>
            <w:vAlign w:val="bottom"/>
          </w:tcPr>
          <w:p>
            <w:pPr>
              <w:spacing w:after="0"/>
              <w:rPr>
                <w:sz w:val="24"/>
                <w:szCs w:val="24"/>
                <w:color w:val="auto"/>
              </w:rPr>
            </w:pPr>
          </w:p>
        </w:tc>
        <w:tc>
          <w:tcPr>
            <w:tcW w:w="4720" w:type="dxa"/>
            <w:vAlign w:val="bottom"/>
          </w:tcPr>
          <w:p>
            <w:pPr>
              <w:ind w:left="1780"/>
              <w:spacing w:after="0"/>
              <w:rPr>
                <w:sz w:val="20"/>
                <w:szCs w:val="20"/>
                <w:color w:val="auto"/>
              </w:rPr>
            </w:pPr>
            <w:r>
              <w:rPr>
                <w:rFonts w:ascii="Arial" w:cs="Arial" w:eastAsia="Arial" w:hAnsi="Arial"/>
                <w:sz w:val="17"/>
                <w:szCs w:val="17"/>
                <w:color w:val="auto"/>
              </w:rPr>
              <w:t>F-23</w:t>
            </w:r>
          </w:p>
        </w:tc>
        <w:tc>
          <w:tcPr>
            <w:tcW w:w="2860" w:type="dxa"/>
            <w:vAlign w:val="bottom"/>
          </w:tcPr>
          <w:p>
            <w:pPr>
              <w:spacing w:after="0"/>
              <w:rPr>
                <w:sz w:val="24"/>
                <w:szCs w:val="24"/>
                <w:color w:val="auto"/>
              </w:rPr>
            </w:pPr>
          </w:p>
        </w:tc>
      </w:tr>
      <w:tr>
        <w:trPr>
          <w:trHeight w:val="749"/>
        </w:trPr>
        <w:tc>
          <w:tcPr>
            <w:tcW w:w="36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Description of the Registrant’s Securities Registered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Section 12 of the Securities Exchange Act of 1934, as amended</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of the general terms and provisions of the registered capital stock of Candel Therapeutics, Inc. (“Candel”, “we”, “our”) does not purport to be complete and is subject to, and qualified in its entirety by, reference to our Amended and Restated Certificate of Incorporation, or certificate of incorporation, our Amended and Restated Bylaws, or bylaws, each of which is incorporated by reference as an exhibit to the Annual Report on Form 10-K of which this Exhibit 4.2 is a part, and applicable provisions of the Delaware General Corporation Law, or the DGCL. Our common stock, par value $0.01 per share is registered pursuant to Section 12(b) of the Securities Exchange Act of 1934, as amended, or the Exchange Act, and trades on The Nasdaq Global Market under the symbol CADL. The summaries below do not purport to be complete statements of the relevant provisions of the certificate of incorporation, the bylaws or the DGCL.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One Hundred Fifty Million (150,000,000) shares of common stock, par value $0.01 per share, or the common stock, and Ten Million (10,000,000) shares of undesignated preferred stock, par value $0.01 per share, or the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of common stock on any matter that is submitted to a vote by our stockholders, except as otherwise expressly provided in our certificate of incorporation or as required by applicable law.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“CADL.”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further action by the stockholders, to issue up to an aggregate of 10,000,000 shares of preferred stock in one or more series and fix the rights, preferences and privileges of the shares of each series and any of its qualifications, limitations or restrictions.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could adversely affect the voting power of holders of our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30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board of directors will make any determination to issue such shares based on its judgment as to our company’s best interests and the best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3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Holders of certain of our shares of common stock are entitled to rights with respect to the registration of these securities under the Securities Act of 1933, as amended, or the Securities Act. These rights are provided under the terms of our second amended and restated investors’ rights agreement, dated March 19, 2019, or the Investors’ Rights Agreement. The Investors’ Rights Agreement includes demand registration rights, short-form registration rights and piggyback registration rights. All fees, costs and expenses incurred in connection with registrations under the Investors’ Rights Agreement will be borne by us. All selling expenses, including underwriting discounts and selling commissions, will be borne by the holders of the shares being registered.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Holders of our shares of common stock are entitled to demand registration rights. Under the terms of the Investors’ Rights Agreement, we will be required, upon the request of holders of a majority of our outstanding registrable securities that would result in an anticipated offering amount of a majority of the registrable securities then outstanding (or a lesser percent if net proceeds would exceed $15 million), to file a registration statement and to use commercially reasonable efforts to effect the registration of these shares for public resale. We are required to effect up to one registration pursuant to this provision of the Investors’ Rights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Short-form registration rights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Holders of our shares of common stock are also entitled to short form registration rights. Pursuant to the Investors’ Rights Agreement, if we are eligible to file a registration statement on Form S-3, upon the request of holders of a majority of our outstanding registrable securities to sell registrable securities with an anticipated aggregate offering amount of at least $5.0 million, we will be required to use our commercially reasonable efforts to effect a registration of such shares. We are required to effect up to two registrations in any twelve month period pursuant to this provision of the Investors’ Rights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holders of our registrable securities are entitled to piggyback registration rights. If we register any of our securities either for our own account or for the account of other security holders, the holders of our outstanding registrable securities are entitled to include their shares in the registration. Subject to certain exceptions contained in the Investors’ Rights Agreement, we and the underwriters may limit the number of shares included in the underwritten offering if the underwriters determine that marketing factors require a limitation of the number of shares to be underwritten.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registration rights granted under the investor rights agreement will terminate upon the earlier of (i) the closing of certain liquidation events, (ii) at such time after our initial public offering when all registrable securities could be sold under Rule 144 of the Securities Act or a similar exemption without limitation during a three-month period without registration or (iii) the fifth anniversary of our initial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provisions of the DGCL and of our certificate of incorporation and bylaws may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7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07" w:lineRule="exact"/>
        <w:rPr>
          <w:sz w:val="20"/>
          <w:szCs w:val="20"/>
          <w:color w:val="auto"/>
        </w:rPr>
      </w:pPr>
    </w:p>
    <w:p>
      <w:pPr>
        <w:ind w:left="760" w:hanging="378"/>
        <w:spacing w:after="0" w:line="234"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0" w:lineRule="exact"/>
        <w:rPr>
          <w:rFonts w:ascii="Times New Roman" w:cs="Times New Roman" w:eastAsia="Times New Roman" w:hAnsi="Times New Roman"/>
          <w:sz w:val="22"/>
          <w:szCs w:val="22"/>
          <w:color w:val="auto"/>
        </w:rPr>
      </w:pPr>
    </w:p>
    <w:p>
      <w:pPr>
        <w:ind w:left="760" w:right="60" w:hanging="378"/>
        <w:spacing w:after="0" w:line="242"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9" w:lineRule="exact"/>
        <w:rPr>
          <w:rFonts w:ascii="Times New Roman" w:cs="Times New Roman" w:eastAsia="Times New Roman" w:hAnsi="Times New Roman"/>
          <w:sz w:val="22"/>
          <w:szCs w:val="22"/>
          <w:color w:val="auto"/>
        </w:rPr>
      </w:pPr>
    </w:p>
    <w:p>
      <w:pPr>
        <w:ind w:left="760" w:right="60" w:hanging="378"/>
        <w:spacing w:after="0" w:line="239"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33" w:lineRule="exact"/>
        <w:rPr>
          <w:sz w:val="20"/>
          <w:szCs w:val="20"/>
          <w:color w:val="auto"/>
        </w:rPr>
      </w:pPr>
    </w:p>
    <w:p>
      <w:pPr>
        <w:ind w:left="760" w:hanging="378"/>
        <w:spacing w:after="0"/>
        <w:tabs>
          <w:tab w:leader="none" w:pos="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 w:lineRule="exact"/>
        <w:rPr>
          <w:rFonts w:ascii="Times New Roman" w:cs="Times New Roman" w:eastAsia="Times New Roman" w:hAnsi="Times New Roman"/>
          <w:sz w:val="22"/>
          <w:szCs w:val="22"/>
          <w:color w:val="auto"/>
        </w:rPr>
      </w:pPr>
    </w:p>
    <w:p>
      <w:pPr>
        <w:ind w:left="760" w:right="60" w:hanging="378"/>
        <w:spacing w:after="0" w:line="233" w:lineRule="auto"/>
        <w:tabs>
          <w:tab w:leader="none" w:pos="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sale, transfer, lease, pledge, exchange, mortgage or other disposition involving the interested stockholder of 10% or more of the assets of the corporation;</w:t>
      </w:r>
    </w:p>
    <w:p>
      <w:pPr>
        <w:spacing w:after="0" w:line="9" w:lineRule="exact"/>
        <w:rPr>
          <w:rFonts w:ascii="Times New Roman" w:cs="Times New Roman" w:eastAsia="Times New Roman" w:hAnsi="Times New Roman"/>
          <w:sz w:val="22"/>
          <w:szCs w:val="22"/>
          <w:color w:val="auto"/>
        </w:rPr>
      </w:pPr>
    </w:p>
    <w:p>
      <w:pPr>
        <w:ind w:left="760" w:right="260" w:hanging="378"/>
        <w:spacing w:after="0" w:line="234" w:lineRule="auto"/>
        <w:tabs>
          <w:tab w:leader="none" w:pos="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 or</w:t>
      </w:r>
    </w:p>
    <w:p>
      <w:pPr>
        <w:spacing w:after="0" w:line="10" w:lineRule="exact"/>
        <w:rPr>
          <w:rFonts w:ascii="Times New Roman" w:cs="Times New Roman" w:eastAsia="Times New Roman" w:hAnsi="Times New Roman"/>
          <w:sz w:val="22"/>
          <w:szCs w:val="22"/>
          <w:color w:val="auto"/>
        </w:rPr>
      </w:pPr>
    </w:p>
    <w:p>
      <w:pPr>
        <w:ind w:left="760" w:right="440" w:hanging="378"/>
        <w:spacing w:after="0" w:line="234" w:lineRule="auto"/>
        <w:tabs>
          <w:tab w:leader="none" w:pos="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4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Amended and Restated Certificate of Incorporation and Amended and Restated Bylaws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delaying, deferring or preventing another party from acquiring control of us and encouraging persons considering unsolicited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ind w:right="420"/>
        <w:spacing w:after="0" w:line="282" w:lineRule="auto"/>
        <w:rPr>
          <w:sz w:val="20"/>
          <w:szCs w:val="20"/>
          <w:color w:val="auto"/>
        </w:rPr>
      </w:pPr>
      <w:r>
        <w:rPr>
          <w:rFonts w:ascii="Times New Roman" w:cs="Times New Roman" w:eastAsia="Times New Roman" w:hAnsi="Times New Roman"/>
          <w:sz w:val="18"/>
          <w:szCs w:val="18"/>
          <w:color w:val="auto"/>
        </w:rPr>
        <w:t>tender offers or other unilateral takeover proposals to negotiate with our board of directors rather than pursue non-negotiated takeover attempts. These provisions include the items described below.</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Board composition and filling vacancies</w:t>
      </w:r>
      <w:r>
        <w:rPr>
          <w:rFonts w:ascii="Times New Roman" w:cs="Times New Roman" w:eastAsia="Times New Roman" w:hAnsi="Times New Roman"/>
          <w:sz w:val="18"/>
          <w:szCs w:val="18"/>
          <w:color w:val="auto"/>
        </w:rPr>
        <w:t>. Our certificate of incorporation provides for the division of our board of directors into three classes serving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No written consent of stockholders</w:t>
      </w:r>
      <w:r>
        <w:rPr>
          <w:rFonts w:ascii="Times New Roman" w:cs="Times New Roman" w:eastAsia="Times New Roman" w:hAnsi="Times New Roman"/>
          <w:sz w:val="18"/>
          <w:szCs w:val="18"/>
          <w:color w:val="auto"/>
        </w:rPr>
        <w:t>. Our certificate of incorporation provides that all stockholder actions are required to be taken by a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Meetings of stockholders</w:t>
      </w:r>
      <w:r>
        <w:rPr>
          <w:rFonts w:ascii="Times New Roman" w:cs="Times New Roman" w:eastAsia="Times New Roman" w:hAnsi="Times New Roman"/>
          <w:sz w:val="18"/>
          <w:szCs w:val="18"/>
          <w:color w:val="auto"/>
        </w:rPr>
        <w:t>. Our certificate of incorporation and bylaws provide that only a majority of the members of our board of directors then in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Advance notice requirements</w:t>
      </w:r>
      <w:r>
        <w:rPr>
          <w:rFonts w:ascii="Times New Roman" w:cs="Times New Roman" w:eastAsia="Times New Roman" w:hAnsi="Times New Roman"/>
          <w:sz w:val="18"/>
          <w:szCs w:val="18"/>
          <w:color w:val="auto"/>
        </w:rPr>
        <w:t>. Our bylaws establish advance notice procedures with regard to stockholder proposals relating to the nomination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 to certificate of incorporation and bylaws. </w:t>
      </w:r>
      <w:r>
        <w:rPr>
          <w:rFonts w:ascii="Times New Roman" w:cs="Times New Roman" w:eastAsia="Times New Roman" w:hAnsi="Times New Roman"/>
          <w:sz w:val="18"/>
          <w:szCs w:val="18"/>
          <w:color w:val="auto"/>
        </w:rPr>
        <w:t>Any amendment of our certificate of incorporation must first be approved by a majority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not less than two-thirds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Our certificate of incorporation provides for 10,000,000 authorized shares of preferred stock. The existence of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2" w:name="page153"/>
    <w:bookmarkEnd w:id="152"/>
    <w:p>
      <w:pPr>
        <w:ind w:right="160"/>
        <w:spacing w:after="0" w:line="282" w:lineRule="auto"/>
        <w:rPr>
          <w:sz w:val="20"/>
          <w:szCs w:val="20"/>
          <w:color w:val="auto"/>
        </w:rPr>
      </w:pPr>
      <w:r>
        <w:rPr>
          <w:rFonts w:ascii="Times New Roman" w:cs="Times New Roman" w:eastAsia="Times New Roman" w:hAnsi="Times New Roman"/>
          <w:sz w:val="18"/>
          <w:szCs w:val="18"/>
          <w:color w:val="auto"/>
        </w:rPr>
        <w:t>also adversely affect the rights and powers, including voting rights, of these holders and may have the effect of delaying, deterring or preventing a change in control of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33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(or, if the Chancery Court does not have jurisdiction, the federal district court for the District of Delaware or other state courts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General Corporation Law of the State of Delaware or our certificate of incorporation or by-laws (including the interpretation, validity or enforceability thereof) or (iv) any action asserting a claim governed by the internal affairs doctrine. Our bylaws also provide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18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addition, our bylaws provide that, unless we consent in writing to the selection of an alternative forum, the federal district courts of the United States will be the exclusive forum for any private action asserting violations by us or any of our directors or officers of the Securities Act or the Exchange Act, or the rules and regulations promulgated thereunder, and of all suits in equity and actions at law brought to enforce any liability or duty created by those statutes or the rules and regulations under such statutes. If any action the subject matter of which is within the scope of the preceding sentence is filed in a court other than the federal district courts of the United States, the plaintiff or plaintiffs shall be deemed by this provision of the bylaws (i) to have consented to removal of the action by us to the federal district courts of the United States, in the case of an action filed in a state court, and (ii) to have consented to transfer of the action to the federal district courts of the United States.</w:t>
      </w:r>
    </w:p>
    <w:p>
      <w:pPr>
        <w:spacing w:after="0" w:line="21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in our bylaws may impose additional litigation costs on stockholders in pursuing any such claims, particularly if the stockholders do not reside in or near the State of Delaware. Additionally, the forum selection clauses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1286510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19.1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CANDEL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POLICY</w:t>
      </w:r>
    </w:p>
    <w:p>
      <w:pPr>
        <w:spacing w:after="0" w:line="182"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This memorandum sets forth the policy of Candel Therapeutics, Inc. and its subsidiaries (collectively, the “Company”) regarding trading in the Company’s securities as described below and the disclosure of information concerning the Company. This Amended and Restated Insider Trading Policy (the “Insider Trading Policy”) is designed to prevent insider trading or the appearance of impropriety, to satisfy the Company’s obligation to reasonably supervise the activities of Company personnel, and to help Company personnel avoid the severe consequences associated with violations of insider trading laws. It is your obligation to understand and comply with this Insider Trading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204" w:lineRule="exact"/>
        <w:rPr>
          <w:sz w:val="20"/>
          <w:szCs w:val="20"/>
          <w:color w:val="auto"/>
        </w:rPr>
      </w:pPr>
    </w:p>
    <w:p>
      <w:pPr>
        <w:ind w:left="760" w:hanging="752"/>
        <w:spacing w:after="0"/>
        <w:tabs>
          <w:tab w:leader="none" w:pos="760" w:val="left"/>
        </w:tabs>
        <w:numPr>
          <w:ilvl w:val="0"/>
          <w:numId w:val="9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To Whom does this Insider Trading Policy Apply?</w:t>
      </w:r>
    </w:p>
    <w:p>
      <w:pPr>
        <w:spacing w:after="0" w:line="212"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This Insider Trading Policy is applicable to the Company’s directors, officers, employees and designated consultants and applies to any and all transactions by such persons and their affiliates (as defined below)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81"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In addition, all directors, officers, employees and designated consultants must comply with the Trading Procedures set forth in Part II of this Insider Trading Policy (the “Trading Procedures”) (collectively, and solely for the purposes of this Insider Trading Policy, these persons are referred to as “Insiders”). Generally, the Trading Procedures establish trading windows outside of which the persons covered by the Trading Procedures will be restricted from trading in the Company’s securities and also require the pre-clearance of all transactions in the Company’s securities by such persons. You will be notified if you are required to comply with the Trading Procedures.</w:t>
      </w:r>
    </w:p>
    <w:p>
      <w:pPr>
        <w:spacing w:after="0" w:line="181" w:lineRule="exact"/>
        <w:rPr>
          <w:sz w:val="20"/>
          <w:szCs w:val="20"/>
          <w:color w:val="auto"/>
        </w:rPr>
      </w:pPr>
    </w:p>
    <w:p>
      <w:pPr>
        <w:ind w:right="720" w:firstLine="749"/>
        <w:spacing w:after="0" w:line="258" w:lineRule="auto"/>
        <w:rPr>
          <w:sz w:val="20"/>
          <w:szCs w:val="20"/>
          <w:color w:val="auto"/>
        </w:rPr>
      </w:pPr>
      <w:r>
        <w:rPr>
          <w:rFonts w:ascii="Times New Roman" w:cs="Times New Roman" w:eastAsia="Times New Roman" w:hAnsi="Times New Roman"/>
          <w:sz w:val="22"/>
          <w:szCs w:val="22"/>
          <w:color w:val="auto"/>
        </w:rPr>
        <w:t>This Insider Trading Policy, including, if applicable, the Trading Procedures contained herein, also applies to the following persons (collectively, these persons and entities are referred to as “Affiliated Persons”):</w:t>
      </w:r>
    </w:p>
    <w:p>
      <w:pPr>
        <w:spacing w:after="0" w:line="158" w:lineRule="exact"/>
        <w:rPr>
          <w:sz w:val="20"/>
          <w:szCs w:val="20"/>
          <w:color w:val="auto"/>
        </w:rPr>
      </w:pPr>
    </w:p>
    <w:p>
      <w:pPr>
        <w:ind w:left="1140" w:hanging="383"/>
        <w:spacing w:after="0"/>
        <w:tabs>
          <w:tab w:leader="none" w:pos="11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spouse, child, parent, significant other or other family member, in each case, living in the same household;</w:t>
      </w:r>
    </w:p>
    <w:p>
      <w:pPr>
        <w:spacing w:after="0" w:line="206" w:lineRule="exact"/>
        <w:rPr>
          <w:rFonts w:ascii="Times New Roman" w:cs="Times New Roman" w:eastAsia="Times New Roman" w:hAnsi="Times New Roman"/>
          <w:sz w:val="22"/>
          <w:szCs w:val="22"/>
          <w:color w:val="auto"/>
        </w:rPr>
      </w:pPr>
    </w:p>
    <w:p>
      <w:pPr>
        <w:ind w:left="1140" w:right="320" w:hanging="383"/>
        <w:spacing w:after="0" w:line="282" w:lineRule="auto"/>
        <w:tabs>
          <w:tab w:leader="none" w:pos="114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trusts, family partnerships and other types of entities formed for your benefit or for the benefit of a member of your family over which you have the ability to influence or direct investment decisions concerning securities;</w:t>
      </w:r>
    </w:p>
    <w:p>
      <w:pPr>
        <w:spacing w:after="0" w:line="134" w:lineRule="exact"/>
        <w:rPr>
          <w:rFonts w:ascii="Times New Roman" w:cs="Times New Roman" w:eastAsia="Times New Roman" w:hAnsi="Times New Roman"/>
          <w:sz w:val="21"/>
          <w:szCs w:val="21"/>
          <w:color w:val="auto"/>
        </w:rPr>
      </w:pPr>
    </w:p>
    <w:p>
      <w:pPr>
        <w:ind w:left="1140" w:hanging="383"/>
        <w:spacing w:after="0"/>
        <w:tabs>
          <w:tab w:leader="none" w:pos="11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4" w:name="page155"/>
    <w:bookmarkEnd w:id="154"/>
    <w:p>
      <w:pPr>
        <w:ind w:left="1140" w:right="100" w:hanging="383"/>
        <w:spacing w:after="0" w:line="233" w:lineRule="auto"/>
        <w:tabs>
          <w:tab w:leader="none" w:pos="11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Trading Procedures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and an Insider has hereby represented to the Company that such Insider’s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7" w:lineRule="exact"/>
        <w:rPr>
          <w:sz w:val="20"/>
          <w:szCs w:val="20"/>
          <w:color w:val="auto"/>
        </w:rPr>
      </w:pPr>
    </w:p>
    <w:p>
      <w:pPr>
        <w:ind w:right="780"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58"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In the event that you leave the Company for any reason, this Insider Trading Policy, including, if applicable, the Trading Procedures contained herein,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174"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212" w:lineRule="exact"/>
        <w:rPr>
          <w:sz w:val="20"/>
          <w:szCs w:val="20"/>
          <w:color w:val="auto"/>
        </w:rPr>
      </w:pPr>
    </w:p>
    <w:p>
      <w:pPr>
        <w:ind w:right="340" w:firstLine="749"/>
        <w:spacing w:after="0" w:line="239" w:lineRule="auto"/>
        <w:rPr>
          <w:sz w:val="20"/>
          <w:szCs w:val="20"/>
          <w:color w:val="auto"/>
        </w:rPr>
      </w:pPr>
      <w:r>
        <w:rPr>
          <w:rFonts w:ascii="Times New Roman" w:cs="Times New Roman" w:eastAsia="Times New Roman" w:hAnsi="Times New Roman"/>
          <w:sz w:val="22"/>
          <w:szCs w:val="22"/>
          <w:color w:val="auto"/>
        </w:rPr>
        <w:t>It is generally illegal for you to trade in the securities of the Company, whether for your account or for the account of another, while in the possession of material, nonpublic information about the Company. It is also generally illegal for you to disclose material, nonpublic information about the Company to others who may trade on the basis of that information. These illegal activities are commonly referred to as “insider trading.”</w:t>
      </w:r>
    </w:p>
    <w:p>
      <w:pPr>
        <w:spacing w:after="0" w:line="180" w:lineRule="exact"/>
        <w:rPr>
          <w:sz w:val="20"/>
          <w:szCs w:val="20"/>
          <w:color w:val="auto"/>
        </w:rPr>
      </w:pPr>
    </w:p>
    <w:p>
      <w:pPr>
        <w:ind w:right="720" w:firstLine="749"/>
        <w:spacing w:after="0" w:line="258" w:lineRule="auto"/>
        <w:rPr>
          <w:sz w:val="20"/>
          <w:szCs w:val="20"/>
          <w:color w:val="auto"/>
        </w:rPr>
      </w:pPr>
      <w:r>
        <w:rPr>
          <w:rFonts w:ascii="Times New Roman" w:cs="Times New Roman" w:eastAsia="Times New Roman" w:hAnsi="Times New Roman"/>
          <w:sz w:val="22"/>
          <w:szCs w:val="22"/>
          <w:color w:val="auto"/>
        </w:rPr>
        <w:t>When you know or are in possession of material, nonpublic information about the Company, whether positive or negative, you are generally prohibited from the following activities:</w:t>
      </w:r>
    </w:p>
    <w:p>
      <w:pPr>
        <w:spacing w:after="0" w:line="158" w:lineRule="exact"/>
        <w:rPr>
          <w:sz w:val="20"/>
          <w:szCs w:val="20"/>
          <w:color w:val="auto"/>
        </w:rPr>
      </w:pPr>
    </w:p>
    <w:p>
      <w:pPr>
        <w:ind w:left="1140" w:hanging="383"/>
        <w:spacing w:after="0" w:line="235" w:lineRule="auto"/>
        <w:tabs>
          <w:tab w:leader="none" w:pos="11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(whether for your account of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in compliance with the affirmative defense of Rule 10b5-1 under the Exchange Act, such as when trades are made pursuant to a written plan that was adopted,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5" w:name="page156"/>
    <w:bookmarkEnd w:id="155"/>
    <w:p>
      <w:pPr>
        <w:ind w:left="1140" w:right="60"/>
        <w:spacing w:after="0" w:line="258" w:lineRule="auto"/>
        <w:rPr>
          <w:sz w:val="20"/>
          <w:szCs w:val="20"/>
          <w:color w:val="auto"/>
        </w:rPr>
      </w:pPr>
      <w:r>
        <w:rPr>
          <w:rFonts w:ascii="Times New Roman" w:cs="Times New Roman" w:eastAsia="Times New Roman" w:hAnsi="Times New Roman"/>
          <w:sz w:val="22"/>
          <w:szCs w:val="22"/>
          <w:color w:val="auto"/>
        </w:rPr>
        <w:t>trading instructions that were given, before you knew or had possession of such material, nonpublic information and certain other conditions are satisfied;</w:t>
      </w:r>
    </w:p>
    <w:p>
      <w:pPr>
        <w:spacing w:after="0" w:line="158" w:lineRule="exact"/>
        <w:rPr>
          <w:sz w:val="20"/>
          <w:szCs w:val="20"/>
          <w:color w:val="auto"/>
        </w:rPr>
      </w:pPr>
    </w:p>
    <w:p>
      <w:pPr>
        <w:ind w:left="1140" w:hanging="383"/>
        <w:spacing w:after="0"/>
        <w:tabs>
          <w:tab w:leader="none" w:pos="11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giving trading advice of any kind about the Company; and</w:t>
      </w:r>
    </w:p>
    <w:p>
      <w:pPr>
        <w:spacing w:after="0" w:line="206" w:lineRule="exact"/>
        <w:rPr>
          <w:rFonts w:ascii="Times New Roman" w:cs="Times New Roman" w:eastAsia="Times New Roman" w:hAnsi="Times New Roman"/>
          <w:sz w:val="22"/>
          <w:szCs w:val="22"/>
          <w:color w:val="auto"/>
        </w:rPr>
      </w:pPr>
    </w:p>
    <w:p>
      <w:pPr>
        <w:ind w:left="1140" w:right="20" w:hanging="383"/>
        <w:spacing w:after="0" w:line="244" w:lineRule="auto"/>
        <w:tabs>
          <w:tab w:leader="none" w:pos="11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the material, nonpublic information about the Company, whether positive or negative, to anyone else who might then trade, or recommending to anyone that they purchase or sell the Company’s securities when you are aware of material, nonpublic information (these practices are commonly known as “tipping”).</w:t>
      </w:r>
    </w:p>
    <w:p>
      <w:pPr>
        <w:spacing w:after="0" w:line="173"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This Insider Trading Policy does not apply to: (1) an exercise of an employee stock option when payment of the exercise price is made in cash,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 or (3) the sale of shares of stock upon vesting of restricted stock or upon settlement of restricted stock units to satisfy applicable tax withholding requirements pursuant to an arrangement whereby the Company issues to a broker designated by the Company and acting on behalf of the employee a number of shares of stock sufficient to satisfy the withholding amount due along with any applicable third-party commission with irrevocable instructions to sell such shares of stock (“Sell-to-Cover”) and the proceeds from such Sell-to-Cover are remitted to the Company if (a) such Sell-to-Cover is required by applicable Company policy, or the applicable plan or award agreement or (b) the election to exercise such Sell-to-Cover right was made by the Insider in compliance with the Trading Procedures.</w:t>
      </w:r>
    </w:p>
    <w:p>
      <w:pPr>
        <w:spacing w:after="0" w:line="187"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does apply, however, to: the use of outstanding Company securities to pay part or all of the exercise price of an option, any sale of stock as part of a broker-assisted cashless exercise of an option or any other market sale for the purpose of generating the cash needed to pay the exercise price of an option or to cover tax withholding or other tax obligations resulting from vesting of restricted stock units or awards (except under the circumstances set forth in section (3) of the prior paragraph).</w:t>
      </w:r>
    </w:p>
    <w:p>
      <w:pPr>
        <w:spacing w:after="0" w:line="177"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spacing w:after="0" w:line="174" w:lineRule="exact"/>
        <w:rPr>
          <w:sz w:val="20"/>
          <w:szCs w:val="20"/>
          <w:color w:val="auto"/>
        </w:rPr>
      </w:pPr>
    </w:p>
    <w:p>
      <w:pPr>
        <w:ind w:left="760" w:hanging="752"/>
        <w:spacing w:after="0"/>
        <w:tabs>
          <w:tab w:leader="none" w:pos="760" w:val="left"/>
        </w:tabs>
        <w:numPr>
          <w:ilvl w:val="0"/>
          <w:numId w:val="10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212"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This Insider Trading Policy prohibits you from trading in the Company’s securities if you are in possession of information about the Company that is both “material” and “nonpublic.” If you have a question whether certain information you are aware of is material or has been made public, you are encouraged to consult with the Compliance Officer.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“Material”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81" w:lineRule="exact"/>
        <w:rPr>
          <w:sz w:val="20"/>
          <w:szCs w:val="20"/>
          <w:color w:val="auto"/>
        </w:rPr>
      </w:pPr>
    </w:p>
    <w:p>
      <w:pPr>
        <w:ind w:left="1140" w:hanging="383"/>
        <w:spacing w:after="0" w:line="282" w:lineRule="auto"/>
        <w:tabs>
          <w:tab w:leader="none" w:pos="114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developments regarding any programs in preclinical or clinical development, including recent regulatory interaction and/or data that have been recently generated from ongoing or recently completed preclinical or clinical trials;</w:t>
      </w:r>
    </w:p>
    <w:p>
      <w:pPr>
        <w:spacing w:after="0" w:line="134" w:lineRule="exact"/>
        <w:rPr>
          <w:rFonts w:ascii="Times New Roman" w:cs="Times New Roman" w:eastAsia="Times New Roman" w:hAnsi="Times New Roman"/>
          <w:sz w:val="21"/>
          <w:szCs w:val="21"/>
          <w:color w:val="auto"/>
        </w:rPr>
      </w:pPr>
    </w:p>
    <w:p>
      <w:pPr>
        <w:ind w:left="1140" w:right="540" w:hanging="383"/>
        <w:spacing w:after="0" w:line="258" w:lineRule="auto"/>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intellectual property and/or freedom to operate for any of the current programs or product candidates under development;</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revenue that are inconsistent with the consensus expectations of the investment community;</w:t>
      </w:r>
    </w:p>
    <w:p>
      <w:pPr>
        <w:spacing w:after="0" w:line="206" w:lineRule="exact"/>
        <w:rPr>
          <w:rFonts w:ascii="Times New Roman" w:cs="Times New Roman" w:eastAsia="Times New Roman" w:hAnsi="Times New Roman"/>
          <w:sz w:val="22"/>
          <w:szCs w:val="22"/>
          <w:color w:val="auto"/>
        </w:rPr>
      </w:pPr>
    </w:p>
    <w:p>
      <w:pPr>
        <w:ind w:left="1140" w:right="340" w:hanging="383"/>
        <w:spacing w:after="0" w:line="258" w:lineRule="auto"/>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158" w:lineRule="exact"/>
        <w:rPr>
          <w:rFonts w:ascii="Times New Roman" w:cs="Times New Roman" w:eastAsia="Times New Roman" w:hAnsi="Times New Roman"/>
          <w:sz w:val="22"/>
          <w:szCs w:val="22"/>
          <w:color w:val="auto"/>
        </w:rPr>
      </w:pPr>
    </w:p>
    <w:p>
      <w:pPr>
        <w:ind w:left="1140" w:right="480" w:hanging="383"/>
        <w:spacing w:after="0" w:line="258" w:lineRule="auto"/>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or dispositions of significant assets;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 or the Board of Directors;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actual or threatened litigation or governmental investigations or major developments in such matters;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w:t>
      </w:r>
    </w:p>
    <w:p>
      <w:pPr>
        <w:spacing w:after="0" w:line="206" w:lineRule="exact"/>
        <w:rPr>
          <w:rFonts w:ascii="Times New Roman" w:cs="Times New Roman" w:eastAsia="Times New Roman" w:hAnsi="Times New Roman"/>
          <w:sz w:val="22"/>
          <w:szCs w:val="22"/>
          <w:color w:val="auto"/>
        </w:rPr>
      </w:pPr>
    </w:p>
    <w:p>
      <w:pPr>
        <w:ind w:left="1140" w:right="160" w:hanging="383"/>
        <w:spacing w:after="0" w:line="258" w:lineRule="auto"/>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public or private sales of additional securities;</w:t>
      </w:r>
    </w:p>
    <w:p>
      <w:pPr>
        <w:spacing w:after="0" w:line="206" w:lineRule="exact"/>
        <w:rPr>
          <w:rFonts w:ascii="Times New Roman" w:cs="Times New Roman" w:eastAsia="Times New Roman" w:hAnsi="Times New Roman"/>
          <w:sz w:val="22"/>
          <w:szCs w:val="22"/>
          <w:color w:val="auto"/>
        </w:rPr>
      </w:pPr>
    </w:p>
    <w:p>
      <w:pPr>
        <w:ind w:left="1140" w:right="600" w:hanging="383"/>
        <w:spacing w:after="0" w:line="258" w:lineRule="auto"/>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the Company’s credit agreements or indentures, or the existence of material liquidity deficiencies; and</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20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 xml:space="preserve">By including the list above, the Company does not mean to imply that each of these items above is </w:t>
      </w:r>
      <w:r>
        <w:rPr>
          <w:rFonts w:ascii="Times New Roman" w:cs="Times New Roman" w:eastAsia="Times New Roman" w:hAnsi="Times New Roman"/>
          <w:sz w:val="22"/>
          <w:szCs w:val="22"/>
          <w:u w:val="single" w:color="auto"/>
          <w:color w:val="auto"/>
        </w:rPr>
        <w:t>per se</w:t>
      </w:r>
      <w:r>
        <w:rPr>
          <w:rFonts w:ascii="Times New Roman" w:cs="Times New Roman" w:eastAsia="Times New Roman" w:hAnsi="Times New Roman"/>
          <w:sz w:val="22"/>
          <w:szCs w:val="22"/>
          <w:color w:val="auto"/>
        </w:rPr>
        <w:t xml:space="preserve"> material. The information and events on this list still require determinations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57" w:name="page158"/>
    <w:bookmarkEnd w:id="157"/>
    <w:p>
      <w:pPr>
        <w:ind w:right="60"/>
        <w:spacing w:after="0" w:line="238" w:lineRule="auto"/>
        <w:rPr>
          <w:sz w:val="20"/>
          <w:szCs w:val="20"/>
          <w:color w:val="auto"/>
        </w:rPr>
      </w:pPr>
      <w:r>
        <w:rPr>
          <w:rFonts w:ascii="Times New Roman" w:cs="Times New Roman" w:eastAsia="Times New Roman" w:hAnsi="Times New Roman"/>
          <w:sz w:val="22"/>
          <w:szCs w:val="22"/>
          <w:color w:val="auto"/>
        </w:rPr>
        <w:t>their materiality (although some determinations will be reached more easily than others). For example, some new products or contracts may clearly be material to an issuer;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spacing w:after="0" w:line="177"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ind w:right="240" w:firstLine="749"/>
        <w:spacing w:after="0" w:line="248" w:lineRule="auto"/>
        <w:rPr>
          <w:sz w:val="20"/>
          <w:szCs w:val="20"/>
          <w:color w:val="auto"/>
        </w:rPr>
      </w:pPr>
      <w:r>
        <w:rPr>
          <w:rFonts w:ascii="Times New Roman" w:cs="Times New Roman" w:eastAsia="Times New Roman" w:hAnsi="Times New Roman"/>
          <w:sz w:val="21"/>
          <w:szCs w:val="21"/>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after the close of trading on the first full trading day following the Company’s public release of the information.</w:t>
      </w:r>
    </w:p>
    <w:p>
      <w:pPr>
        <w:spacing w:after="0" w:line="170"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announces material nonpublic information of which you are aware before 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w:t>
      </w:r>
    </w:p>
    <w:p>
      <w:pPr>
        <w:spacing w:after="0" w:line="174" w:lineRule="exact"/>
        <w:rPr>
          <w:sz w:val="20"/>
          <w:szCs w:val="20"/>
          <w:color w:val="auto"/>
        </w:rPr>
      </w:pPr>
    </w:p>
    <w:p>
      <w:pPr>
        <w:ind w:left="760" w:hanging="752"/>
        <w:spacing w:after="0"/>
        <w:tabs>
          <w:tab w:leader="none" w:pos="760" w:val="left"/>
        </w:tabs>
        <w:numPr>
          <w:ilvl w:val="0"/>
          <w:numId w:val="10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212" w:lineRule="exact"/>
        <w:rPr>
          <w:sz w:val="20"/>
          <w:szCs w:val="20"/>
          <w:color w:val="auto"/>
        </w:rPr>
      </w:pPr>
    </w:p>
    <w:p>
      <w:pPr>
        <w:jc w:val="both"/>
        <w:ind w:right="140" w:firstLine="749"/>
        <w:spacing w:after="0" w:line="239" w:lineRule="auto"/>
        <w:rPr>
          <w:sz w:val="20"/>
          <w:szCs w:val="20"/>
          <w:color w:val="auto"/>
        </w:rPr>
      </w:pPr>
      <w:r>
        <w:rPr>
          <w:rFonts w:ascii="Times New Roman" w:cs="Times New Roman" w:eastAsia="Times New Roman" w:hAnsi="Times New Roman"/>
          <w:sz w:val="22"/>
          <w:szCs w:val="22"/>
          <w:color w:val="auto"/>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penalties for violating insider trading or tipping rules can be severe and include:</w:t>
      </w:r>
    </w:p>
    <w:p>
      <w:pPr>
        <w:spacing w:after="0" w:line="206" w:lineRule="exact"/>
        <w:rPr>
          <w:sz w:val="20"/>
          <w:szCs w:val="20"/>
          <w:color w:val="auto"/>
        </w:rPr>
      </w:pPr>
    </w:p>
    <w:p>
      <w:pPr>
        <w:ind w:left="1140" w:hanging="383"/>
        <w:spacing w:after="0"/>
        <w:tabs>
          <w:tab w:leader="none" w:pos="11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the profit gained or loss avoided by the trading;</w:t>
      </w:r>
    </w:p>
    <w:p>
      <w:pPr>
        <w:spacing w:after="0" w:line="206" w:lineRule="exact"/>
        <w:rPr>
          <w:rFonts w:ascii="Times New Roman" w:cs="Times New Roman" w:eastAsia="Times New Roman" w:hAnsi="Times New Roman"/>
          <w:sz w:val="22"/>
          <w:szCs w:val="22"/>
          <w:color w:val="auto"/>
        </w:rPr>
      </w:pPr>
    </w:p>
    <w:p>
      <w:pPr>
        <w:ind w:left="1140" w:right="80" w:hanging="383"/>
        <w:spacing w:after="0" w:line="258" w:lineRule="auto"/>
        <w:tabs>
          <w:tab w:leader="none" w:pos="11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such violation, have purchased or sold, as applicable, securities of the same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58" w:name="page159"/>
    <w:bookmarkEnd w:id="158"/>
    <w:p>
      <w:pPr>
        <w:ind w:left="1140" w:hanging="383"/>
        <w:spacing w:after="0"/>
        <w:tabs>
          <w:tab w:leader="none" w:pos="11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civil penalties of up to three times the profit made or loss avoided; and imprisonment for up to 20 years.</w:t>
      </w:r>
    </w:p>
    <w:p>
      <w:pPr>
        <w:spacing w:after="0" w:line="21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21"/>
          <w:szCs w:val="21"/>
          <w:color w:val="auto"/>
        </w:rPr>
        <w:t>The Company and/or the supervisors of the person engaged in insider trading may also be required to pay civil penalties of up to the greater of $1,525,000 (subject to periodic inflation adjustments) or three times the profit made or loss avoided, as well as criminal penalties of up to $25,000,000, and could under certain circumstances be subject to private lawsuits.</w:t>
      </w:r>
    </w:p>
    <w:p>
      <w:pPr>
        <w:spacing w:after="0" w:line="157"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75" w:lineRule="exact"/>
        <w:rPr>
          <w:sz w:val="20"/>
          <w:szCs w:val="20"/>
          <w:color w:val="auto"/>
        </w:rPr>
      </w:pPr>
    </w:p>
    <w:p>
      <w:pPr>
        <w:ind w:left="760" w:hanging="752"/>
        <w:spacing w:after="0"/>
        <w:tabs>
          <w:tab w:leader="none" w:pos="760" w:val="left"/>
        </w:tabs>
        <w:numPr>
          <w:ilvl w:val="0"/>
          <w:numId w:val="10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12"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are encouraged to consult with the Compliance Officer. In addition, if you violate this Insider Trading Policy or any federal or state laws governing insider trading, or know of any such violation by any director, officer or employee of the Company, you should report the violation immediately to the Compliance Officer. However if the conduct in question involves the Compliance Officer, or if you have reported such conduct to the Compliance Officer and you do not believe the Compliance Officer has dealt with it properly, or if you do not feel that you can discuss the matter with the Compliance Officer, you may raise the matter with the Chief Executive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04" w:lineRule="exact"/>
        <w:rPr>
          <w:sz w:val="20"/>
          <w:szCs w:val="20"/>
          <w:color w:val="auto"/>
        </w:rPr>
      </w:pPr>
    </w:p>
    <w:p>
      <w:pPr>
        <w:ind w:left="760" w:hanging="752"/>
        <w:spacing w:after="0"/>
        <w:tabs>
          <w:tab w:leader="none" w:pos="760" w:val="left"/>
        </w:tabs>
        <w:numPr>
          <w:ilvl w:val="0"/>
          <w:numId w:val="10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1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In addition to the restrictions on trading in Company securities set forth above, Insiders and their Affiliated Persons are subject to the following special trading restrictions:</w:t>
      </w:r>
    </w:p>
    <w:p>
      <w:pPr>
        <w:spacing w:after="0" w:line="154" w:lineRule="exact"/>
        <w:rPr>
          <w:sz w:val="20"/>
          <w:szCs w:val="20"/>
          <w:color w:val="auto"/>
        </w:rPr>
      </w:pPr>
    </w:p>
    <w:p>
      <w:pPr>
        <w:ind w:left="1500" w:hanging="743"/>
        <w:spacing w:after="0"/>
        <w:tabs>
          <w:tab w:leader="none" w:pos="150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Policy Modification</w:t>
      </w:r>
    </w:p>
    <w:p>
      <w:pPr>
        <w:spacing w:after="0" w:line="210"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 option used by the Company) by the Company. You will be deemed to have received, be bound by and agree to revisions of this Insider Trading Policy when such revisions have been delivered to you, unless you object to any revision in a written statement received by the Compliance Officer within two (2) business days of such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59" w:name="page160"/>
    <w:bookmarkEnd w:id="159"/>
    <w:p>
      <w:pPr>
        <w:ind w:left="1500" w:hanging="743"/>
        <w:spacing w:after="0"/>
        <w:tabs>
          <w:tab w:leader="none" w:pos="150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Transactions</w:t>
      </w:r>
    </w:p>
    <w:p>
      <w:pPr>
        <w:spacing w:after="0" w:line="204" w:lineRule="exact"/>
        <w:rPr>
          <w:sz w:val="20"/>
          <w:szCs w:val="20"/>
          <w:color w:val="auto"/>
        </w:rPr>
      </w:pPr>
    </w:p>
    <w:p>
      <w:pPr>
        <w:ind w:left="1140" w:right="40" w:hanging="383"/>
        <w:spacing w:after="0" w:line="264" w:lineRule="auto"/>
        <w:tabs>
          <w:tab w:leader="none" w:pos="11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Short Sales</w:t>
      </w:r>
      <w:r>
        <w:rPr>
          <w:rFonts w:ascii="Times New Roman" w:cs="Times New Roman" w:eastAsia="Times New Roman" w:hAnsi="Times New Roman"/>
          <w:sz w:val="22"/>
          <w:szCs w:val="22"/>
          <w:color w:val="auto"/>
        </w:rPr>
        <w:t>. No Insider may at any time sell any securities of the Company that are not owned by such Insider 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time of the sale (a “short sale”).</w:t>
      </w:r>
    </w:p>
    <w:p>
      <w:pPr>
        <w:spacing w:after="0" w:line="145" w:lineRule="exact"/>
        <w:rPr>
          <w:rFonts w:ascii="Times New Roman" w:cs="Times New Roman" w:eastAsia="Times New Roman" w:hAnsi="Times New Roman"/>
          <w:sz w:val="22"/>
          <w:szCs w:val="22"/>
          <w:color w:val="auto"/>
        </w:rPr>
      </w:pPr>
    </w:p>
    <w:p>
      <w:pPr>
        <w:ind w:left="1140" w:right="180" w:hanging="383"/>
        <w:spacing w:after="0" w:line="239" w:lineRule="auto"/>
        <w:tabs>
          <w:tab w:leader="none" w:pos="11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Purchases or Sales of Derivative Securities or Hedging Transactions</w:t>
      </w:r>
      <w:r>
        <w:rPr>
          <w:rFonts w:ascii="Times New Roman" w:cs="Times New Roman" w:eastAsia="Times New Roman" w:hAnsi="Times New Roman"/>
          <w:sz w:val="22"/>
          <w:szCs w:val="22"/>
          <w:color w:val="auto"/>
        </w:rPr>
        <w:t>. No Insider may buy or sell puts, calls,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p>
    <w:p>
      <w:pPr>
        <w:spacing w:after="0" w:line="171" w:lineRule="exact"/>
        <w:rPr>
          <w:rFonts w:ascii="Times New Roman" w:cs="Times New Roman" w:eastAsia="Times New Roman" w:hAnsi="Times New Roman"/>
          <w:sz w:val="22"/>
          <w:szCs w:val="22"/>
          <w:color w:val="auto"/>
        </w:rPr>
      </w:pPr>
    </w:p>
    <w:p>
      <w:pPr>
        <w:ind w:left="1140" w:right="340" w:hanging="383"/>
        <w:spacing w:after="0" w:line="264" w:lineRule="auto"/>
        <w:tabs>
          <w:tab w:leader="none" w:pos="11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Company Securities Subject to Margin Calls</w:t>
      </w:r>
      <w:r>
        <w:rPr>
          <w:rFonts w:ascii="Times New Roman" w:cs="Times New Roman" w:eastAsia="Times New Roman" w:hAnsi="Times New Roman"/>
          <w:sz w:val="22"/>
          <w:szCs w:val="22"/>
          <w:color w:val="auto"/>
        </w:rPr>
        <w:t>. No Insider may use the Company’s securities as collateral in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margin account.</w:t>
      </w:r>
    </w:p>
    <w:p>
      <w:pPr>
        <w:spacing w:after="0" w:line="145"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Pledges</w:t>
      </w:r>
      <w:r>
        <w:rPr>
          <w:rFonts w:ascii="Times New Roman" w:cs="Times New Roman" w:eastAsia="Times New Roman" w:hAnsi="Times New Roman"/>
          <w:sz w:val="22"/>
          <w:szCs w:val="22"/>
          <w:color w:val="auto"/>
        </w:rPr>
        <w:t>. No Insider may pledge Company securities as collateral for a loan (or modify an existing pledge).</w:t>
      </w:r>
    </w:p>
    <w:p>
      <w:pPr>
        <w:spacing w:after="0" w:line="208" w:lineRule="exact"/>
        <w:rPr>
          <w:sz w:val="20"/>
          <w:szCs w:val="20"/>
          <w:color w:val="auto"/>
        </w:rPr>
      </w:pPr>
    </w:p>
    <w:p>
      <w:pPr>
        <w:ind w:left="1500" w:hanging="743"/>
        <w:spacing w:after="0"/>
        <w:tabs>
          <w:tab w:leader="none" w:pos="150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w:t>
      </w:r>
    </w:p>
    <w:p>
      <w:pPr>
        <w:spacing w:after="0" w:line="21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No Insider may give or make any other transfer of Company securities without consideration (e.g., a gift) during a period when the Insider is not permitted to trade unless the donee agrees not to sell the shares until such time as the Insider can sell. Bona fide gifts of securities are not transactions subject to this Policy.</w:t>
      </w:r>
    </w:p>
    <w:p>
      <w:pPr>
        <w:spacing w:after="0" w:line="169" w:lineRule="exact"/>
        <w:rPr>
          <w:sz w:val="20"/>
          <w:szCs w:val="20"/>
          <w:color w:val="auto"/>
        </w:rPr>
      </w:pPr>
    </w:p>
    <w:p>
      <w:pPr>
        <w:ind w:left="1500" w:hanging="743"/>
        <w:spacing w:after="0"/>
        <w:tabs>
          <w:tab w:leader="none" w:pos="150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During Retirement Plan Blackout Periods.</w:t>
      </w:r>
    </w:p>
    <w:p>
      <w:pPr>
        <w:spacing w:after="0" w:line="210"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If the Company adopts a policy to allow ownership of Company stock in the Company’s 401(k) or other retirement plan, then no Insider may trade in any Company securities, which were acquired in connection with such Insider’s service or employment with the Company, during a retirement plan “blackout period” except as specifically permitted below. A blackout period includes any period of more than three (3) consecutive business days during which at least fifty percent (50%) of all participants and beneficiaries under all of the individual account plans maintained by the Company and members of its controlled group are prohibited from trading in Company securities through their plan accounts. Insiders will receive advance notice of any such blackout period from the Compliance Officer or his or her designee.</w:t>
      </w:r>
    </w:p>
    <w:p>
      <w:pPr>
        <w:spacing w:after="0" w:line="177" w:lineRule="exact"/>
        <w:rPr>
          <w:sz w:val="20"/>
          <w:szCs w:val="20"/>
          <w:color w:val="auto"/>
        </w:rPr>
      </w:pPr>
    </w:p>
    <w:p>
      <w:pPr>
        <w:ind w:left="760" w:hanging="752"/>
        <w:spacing w:after="0"/>
        <w:tabs>
          <w:tab w:leader="none" w:pos="760" w:val="left"/>
        </w:tabs>
        <w:numPr>
          <w:ilvl w:val="0"/>
          <w:numId w:val="11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212"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21"/>
          <w:szCs w:val="21"/>
          <w:color w:val="auto"/>
        </w:rPr>
        <w:t>No Insider may trade in Company securities unless the trade has been approved by the Compliance Officer in accordance with the procedures set forth below. The Compliance Officer will review and either approve or prohibit all proposed trades by Insiders in accordance with the procedures set forth below. The Compliance Officer may consult with the Company’s other officers and/or outside legal counsel and will receive approval for his or her own trades from the Chief Executive Officer.</w:t>
      </w:r>
    </w:p>
    <w:p>
      <w:pPr>
        <w:spacing w:after="0" w:line="158" w:lineRule="exact"/>
        <w:rPr>
          <w:sz w:val="20"/>
          <w:szCs w:val="20"/>
          <w:color w:val="auto"/>
        </w:rPr>
      </w:pPr>
    </w:p>
    <w:p>
      <w:pPr>
        <w:ind w:left="1500" w:hanging="743"/>
        <w:spacing w:after="0"/>
        <w:tabs>
          <w:tab w:leader="none" w:pos="150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Procedures</w:t>
      </w:r>
      <w:r>
        <w:rPr>
          <w:rFonts w:ascii="Times New Roman" w:cs="Times New Roman" w:eastAsia="Times New Roman" w:hAnsi="Times New Roman"/>
          <w:sz w:val="22"/>
          <w:szCs w:val="22"/>
          <w:color w:val="auto"/>
        </w:rPr>
        <w:t>. No Insider may trade in Company securities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0" w:name="page161"/>
    <w:bookmarkEnd w:id="160"/>
    <w:p>
      <w:pPr>
        <w:ind w:left="1140" w:hanging="383"/>
        <w:spacing w:after="0" w:line="255" w:lineRule="auto"/>
        <w:tabs>
          <w:tab w:leader="none" w:pos="114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Insider has notified the Compliance Officer of the amount and nature of the proposed trade(s) using the Stock Transaction Request form attached to this Insider Trading Policy. In order to provide adequate time for the preparation of any required reports under Section 16 of the Exchange Act, a Stock Transaction Request form should, if practicable, be received by the Compliance Officer at least two (2) business days prior to the intended trade date;</w:t>
      </w:r>
    </w:p>
    <w:p>
      <w:pPr>
        <w:spacing w:after="0" w:line="161" w:lineRule="exact"/>
        <w:rPr>
          <w:rFonts w:ascii="Times New Roman" w:cs="Times New Roman" w:eastAsia="Times New Roman" w:hAnsi="Times New Roman"/>
          <w:sz w:val="21"/>
          <w:szCs w:val="21"/>
          <w:color w:val="auto"/>
        </w:rPr>
      </w:pPr>
    </w:p>
    <w:p>
      <w:pPr>
        <w:ind w:left="1140" w:right="100" w:hanging="383"/>
        <w:spacing w:after="0" w:line="258" w:lineRule="auto"/>
        <w:tabs>
          <w:tab w:leader="none" w:pos="11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 in writing prior to the proposed trade(s) that the Insider is not in possession of material, nonpublic information concerning the Company;</w:t>
      </w:r>
    </w:p>
    <w:p>
      <w:pPr>
        <w:spacing w:after="0" w:line="158" w:lineRule="exact"/>
        <w:rPr>
          <w:rFonts w:ascii="Times New Roman" w:cs="Times New Roman" w:eastAsia="Times New Roman" w:hAnsi="Times New Roman"/>
          <w:sz w:val="22"/>
          <w:szCs w:val="22"/>
          <w:color w:val="auto"/>
        </w:rPr>
      </w:pPr>
    </w:p>
    <w:p>
      <w:pPr>
        <w:ind w:left="1140" w:right="120" w:hanging="383"/>
        <w:spacing w:after="0" w:line="236" w:lineRule="auto"/>
        <w:tabs>
          <w:tab w:leader="none" w:pos="11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informed the Compliance Officer, using the Stock Transaction Request form attached hereto as Exhibit A,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81" w:lineRule="exact"/>
        <w:rPr>
          <w:rFonts w:ascii="Times New Roman" w:cs="Times New Roman" w:eastAsia="Times New Roman" w:hAnsi="Times New Roman"/>
          <w:sz w:val="22"/>
          <w:szCs w:val="22"/>
          <w:color w:val="auto"/>
        </w:rPr>
      </w:pPr>
    </w:p>
    <w:p>
      <w:pPr>
        <w:ind w:left="1140" w:right="140" w:hanging="383"/>
        <w:spacing w:after="0" w:line="258" w:lineRule="auto"/>
        <w:tabs>
          <w:tab w:leader="none" w:pos="11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or his or her designee has approved the trade(s) and has certified such approval in writing. Such certification may be made via digitally-signed electronic mail.</w:t>
      </w:r>
    </w:p>
    <w:p>
      <w:pPr>
        <w:spacing w:after="0" w:line="158"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 does not assume the responsibility for, and approval from the Compliance Officer does not protect the Insider from, the consequences of prohibited insider trading.</w:t>
      </w:r>
    </w:p>
    <w:p>
      <w:pPr>
        <w:spacing w:after="0" w:line="154" w:lineRule="exact"/>
        <w:rPr>
          <w:sz w:val="20"/>
          <w:szCs w:val="20"/>
          <w:color w:val="auto"/>
        </w:rPr>
      </w:pPr>
    </w:p>
    <w:p>
      <w:pPr>
        <w:ind w:left="1500" w:hanging="743"/>
        <w:spacing w:after="0"/>
        <w:tabs>
          <w:tab w:leader="none" w:pos="150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Compliance Officer any documentation reasonably requested by him or her in furtherance of the foregoing procedures. Any failure to provide such requested information will be grounds for denial of approval by the Compliance Officer.</w:t>
      </w:r>
    </w:p>
    <w:p>
      <w:pPr>
        <w:spacing w:after="0" w:line="169" w:lineRule="exact"/>
        <w:rPr>
          <w:sz w:val="20"/>
          <w:szCs w:val="20"/>
          <w:color w:val="auto"/>
        </w:rPr>
      </w:pPr>
    </w:p>
    <w:p>
      <w:pPr>
        <w:ind w:left="1500" w:hanging="743"/>
        <w:spacing w:after="0"/>
        <w:tabs>
          <w:tab w:leader="none" w:pos="150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1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The existence of the foregoing approval procedures does not in any way obligate the Compliance Officer to approve any trade requested by an Insider. The Compliance Officer may reject any trading request at his or her sole discretion.</w:t>
      </w:r>
    </w:p>
    <w:p>
      <w:pPr>
        <w:spacing w:after="0" w:line="158"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by only a few directors or executives. Insiders may not trade in Company securities if they are notified by the Compliance Officer that a proposed trade has not been cleared because of the existence of a material, nonpublic development.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1" w:name="page162"/>
    <w:bookmarkEnd w:id="161"/>
    <w:p>
      <w:pPr>
        <w:ind w:right="20"/>
        <w:spacing w:after="0" w:line="238" w:lineRule="auto"/>
        <w:rPr>
          <w:sz w:val="20"/>
          <w:szCs w:val="20"/>
          <w:color w:val="auto"/>
        </w:rPr>
      </w:pPr>
      <w:r>
        <w:rPr>
          <w:rFonts w:ascii="Times New Roman" w:cs="Times New Roman" w:eastAsia="Times New Roman" w:hAnsi="Times New Roman"/>
          <w:sz w:val="22"/>
          <w:szCs w:val="22"/>
          <w:color w:val="auto"/>
        </w:rPr>
        <w:t>refute even if the Insider was unaware of the development. So long as the event remains material and nonpublic, the Compliance Officer may determine not to approve any transactions in the Company’s securities. The Compliance Officer will subsequently notify the Insider once the material, nonpublic development is disclosed to the public or resolved. If an Insider requests clearance to trade in the Company’s securities during the pendency of such an event, the Compliance Officer may reject the trading request without disclosing the reason.</w:t>
      </w:r>
    </w:p>
    <w:p>
      <w:pPr>
        <w:spacing w:after="0" w:line="173" w:lineRule="exact"/>
        <w:rPr>
          <w:sz w:val="20"/>
          <w:szCs w:val="20"/>
          <w:color w:val="auto"/>
        </w:rPr>
      </w:pPr>
    </w:p>
    <w:p>
      <w:pPr>
        <w:ind w:left="1500" w:hanging="743"/>
        <w:spacing w:after="0"/>
        <w:tabs>
          <w:tab w:leader="none" w:pos="150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210"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22"/>
          <w:szCs w:val="22"/>
          <w:color w:val="auto"/>
        </w:rPr>
        <w:t>After receiving written clearance to engage in a trade signed by the Compliance Officer, an Insider must complete the proposed trade within two (2) business days or make a new trading request.</w:t>
      </w:r>
    </w:p>
    <w:p>
      <w:pPr>
        <w:spacing w:after="0" w:line="154" w:lineRule="exact"/>
        <w:rPr>
          <w:sz w:val="20"/>
          <w:szCs w:val="20"/>
          <w:color w:val="auto"/>
        </w:rPr>
      </w:pPr>
    </w:p>
    <w:p>
      <w:pPr>
        <w:ind w:left="1500" w:hanging="743"/>
        <w:spacing w:after="0"/>
        <w:tabs>
          <w:tab w:leader="none" w:pos="150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21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Any transactions in the Company’s securities by an Insider (including transactions effected pursuant to a Rule 10b5-1 Plan) must be reported to the Compliance Officer by completing the “Confirmation of Transaction” section of the Stock Transaction Request form attached to this Insider Trading Policy on the same day in which such a transaction occurs. Each report an Insider makes to the Compliance Officer should include the date of the transaction, quantity of shares, price and broker-dealer through which the transaction was effected. This reporting requirement may be satisfied by sending (or having such Insider’s broker send) duplicate confirmations of trades to the Compliance Officer if such information is received by the Compliance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81" w:lineRule="exact"/>
        <w:rPr>
          <w:sz w:val="20"/>
          <w:szCs w:val="20"/>
          <w:color w:val="auto"/>
        </w:rPr>
      </w:pPr>
    </w:p>
    <w:p>
      <w:pPr>
        <w:ind w:left="760" w:hanging="752"/>
        <w:spacing w:after="0"/>
        <w:tabs>
          <w:tab w:leader="none" w:pos="760" w:val="left"/>
        </w:tabs>
        <w:numPr>
          <w:ilvl w:val="0"/>
          <w:numId w:val="12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08" w:lineRule="exact"/>
        <w:rPr>
          <w:sz w:val="20"/>
          <w:szCs w:val="20"/>
          <w:color w:val="auto"/>
        </w:rPr>
      </w:pPr>
    </w:p>
    <w:p>
      <w:pPr>
        <w:ind w:left="1500" w:hanging="743"/>
        <w:spacing w:after="0"/>
        <w:tabs>
          <w:tab w:leader="none" w:pos="150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210"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Transactions effected pursuant to a Rule 10b5-1 Plan (as defined below) will not be subject to the Company’s trading windows, retirement plan blackout periods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Rule 10b5-1 (a “Rule 10b5-1 Plan”) enables Insiders to establish arrangements to trade in Company securities outside of the Company’s trading windows, even when in possession of material, nonpublic information.</w:t>
      </w:r>
    </w:p>
    <w:p>
      <w:pPr>
        <w:spacing w:after="0" w:line="183"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1134110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62" w:name="page163"/>
    <w:bookmarkEnd w:id="162"/>
    <w:p>
      <w:pPr>
        <w:ind w:left="1500" w:hanging="743"/>
        <w:spacing w:after="0"/>
        <w:tabs>
          <w:tab w:leader="none" w:pos="150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 Plans.</w:t>
      </w:r>
    </w:p>
    <w:p>
      <w:pPr>
        <w:spacing w:after="0" w:line="210" w:lineRule="exact"/>
        <w:rPr>
          <w:sz w:val="20"/>
          <w:szCs w:val="20"/>
          <w:color w:val="auto"/>
        </w:rPr>
      </w:pPr>
    </w:p>
    <w:p>
      <w:pPr>
        <w:ind w:right="100" w:firstLine="749"/>
        <w:spacing w:after="0" w:line="234" w:lineRule="auto"/>
        <w:rPr>
          <w:sz w:val="20"/>
          <w:szCs w:val="20"/>
          <w:color w:val="auto"/>
        </w:rPr>
      </w:pPr>
      <w:r>
        <w:rPr>
          <w:rFonts w:ascii="Times New Roman" w:cs="Times New Roman" w:eastAsia="Times New Roman" w:hAnsi="Times New Roman"/>
          <w:sz w:val="22"/>
          <w:szCs w:val="22"/>
          <w:color w:val="auto"/>
        </w:rPr>
        <w:t>Exercise of Stock Options. The trading prohibitions and restrictions set forth in the Trading Procedures do not apply to the 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pay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p>
    <w:p>
      <w:pPr>
        <w:spacing w:after="0" w:line="179"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Tax Withholding on Restricted Stock/Units. The trading prohibitions and restrictions set forth in the Trading Procedures do not apply to (1)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 or (2) the sale of shares of stock upon vesting of restricted stock or upon settlement of restricted stock units to satisfy applicable tax withholding requirements pursuant to a Sell-to-Cover if (a) such Sell-to-Cover is required by applicable Company policy, or the applicable plan or award agreement or (b) the election to exercise such Sell-to-Cover right was made by the Insider in compliance with the Trading Procedures.</w:t>
      </w:r>
    </w:p>
    <w:p>
      <w:pPr>
        <w:spacing w:after="0" w:line="178"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Employee Stock Purchase Plan. The trading prohibitions and restrictions set forth in the Trading Procedures do not apply to periodic wage withholding contributions by the Company or employees of the Company which are used to purchase the Company’s securities pursuant to the employees’ advance instructions under the Company’s 2021 Employee Stock Purchase Plan. 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 Trading Procedures. Any sale of securities acquired under such plan is subject to the prohibitions and restrictions of the Trading Procedures.</w:t>
      </w:r>
    </w:p>
    <w:p>
      <w:pPr>
        <w:spacing w:after="0" w:line="177" w:lineRule="exact"/>
        <w:rPr>
          <w:sz w:val="20"/>
          <w:szCs w:val="20"/>
          <w:color w:val="auto"/>
        </w:rPr>
      </w:pPr>
    </w:p>
    <w:p>
      <w:pPr>
        <w:ind w:left="760" w:hanging="752"/>
        <w:spacing w:after="0"/>
        <w:tabs>
          <w:tab w:leader="none" w:pos="760" w:val="left"/>
        </w:tabs>
        <w:numPr>
          <w:ilvl w:val="0"/>
          <w:numId w:val="12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12"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contained herein, in a specific instance may be authorized in writing by the Compliance Officer or Audit Committee of the Board of Directors, and any such waiver shall be reported to the Company’s Board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3" w:name="page164"/>
    <w:bookmarkEnd w:id="163"/>
    <w:p>
      <w:pPr>
        <w:ind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will be delivered to all current Insiders and to all directors, officers, employees and designated consultants at the start of their employment or relationship with the Company. Upon first receiving a copy of this Insider Trading Policy, each individual must acknowledge that he or she has received a copy and agrees to comply with the terms of this Insider Trading Policy, and, if applicable, the Trading Procedures contained herein. The acknowledgment attached hereto as Exhibit B must be returned within ten (10) days of receipt to the Compliance Officer:</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Charles Schoch</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Interim Chief Financial Officer</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Candel Therapeutics, Inc.</w:t>
      </w:r>
    </w:p>
    <w:p>
      <w:pPr>
        <w:jc w:val="center"/>
        <w:ind w:right="-39"/>
        <w:spacing w:after="0" w:line="231" w:lineRule="auto"/>
        <w:rPr>
          <w:sz w:val="20"/>
          <w:szCs w:val="20"/>
          <w:color w:val="auto"/>
        </w:rPr>
      </w:pPr>
      <w:r>
        <w:rPr>
          <w:rFonts w:ascii="Times New Roman" w:cs="Times New Roman" w:eastAsia="Times New Roman" w:hAnsi="Times New Roman"/>
          <w:sz w:val="22"/>
          <w:szCs w:val="22"/>
          <w:b w:val="1"/>
          <w:bCs w:val="1"/>
          <w:color w:val="auto"/>
        </w:rPr>
        <w:t>117 Kendrick St, Suite 450</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Needham, MA 02494</w:t>
      </w:r>
    </w:p>
    <w:p>
      <w:pPr>
        <w:spacing w:after="0" w:line="182"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2"/>
          <w:szCs w:val="22"/>
          <w:color w:val="auto"/>
        </w:rPr>
        <w:t>This acknowledgment will constitute consent for the Company to impose sanctions for violation of the Insider Trading Policy, including the Trading Procedures, and to issue any necessary stop-transfer orders to the Company’s transfer agent to ensure compliance.</w:t>
      </w:r>
    </w:p>
    <w:p>
      <w:pPr>
        <w:spacing w:after="0" w:line="173"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All directors, officers, employees and designated consultants will be required upon the Company’s request to re-acknowledge and agree to comply with the Insider Trading Policy (including any amendments or modifications). For such purpose, an individual will be deemed to have acknowledged and agreed to comply with the Insider Trading Policy, as amended from time to time, when copies of such items have been delivered by regular or electronic mail (or other delivery option used by the Company) by the Compliance Officer or his or her designee.</w:t>
      </w:r>
    </w:p>
    <w:p>
      <w:pPr>
        <w:spacing w:after="0" w:line="177" w:lineRule="exact"/>
        <w:rPr>
          <w:sz w:val="20"/>
          <w:szCs w:val="20"/>
          <w:color w:val="auto"/>
        </w:rPr>
      </w:pPr>
    </w:p>
    <w:p>
      <w:pPr>
        <w:ind w:left="5140"/>
        <w:spacing w:after="0"/>
        <w:tabs>
          <w:tab w:leader="none" w:pos="5560" w:val="left"/>
          <w:tab w:leader="none" w:pos="59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Questions regarding this Insider Trading Policy are encouraged and may be directed to the Compliance Officer.</w:t>
      </w:r>
    </w:p>
    <w:p>
      <w:pPr>
        <w:spacing w:after="0" w:line="20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As amended by the Board of Directors on May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TRANSACTION REQUEST</w:t>
      </w:r>
    </w:p>
    <w:p>
      <w:pPr>
        <w:spacing w:after="0" w:line="206" w:lineRule="exact"/>
        <w:rPr>
          <w:sz w:val="20"/>
          <w:szCs w:val="20"/>
          <w:color w:val="auto"/>
        </w:rPr>
      </w:pPr>
    </w:p>
    <w:p>
      <w:pPr>
        <w:ind w:right="860" w:firstLine="749"/>
        <w:spacing w:after="0" w:line="262"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b w:val="1"/>
          <w:bCs w:val="1"/>
          <w:color w:val="auto"/>
        </w:rPr>
        <w:t>Candel Therapeutics, Inc.’s</w:t>
      </w:r>
      <w:r>
        <w:rPr>
          <w:rFonts w:ascii="Times New Roman" w:cs="Times New Roman" w:eastAsia="Times New Roman" w:hAnsi="Times New Roman"/>
          <w:sz w:val="22"/>
          <w:szCs w:val="22"/>
          <w:color w:val="auto"/>
        </w:rPr>
        <w:t xml:space="preserve"> Insider Trading Policy, I hereby notify Candel Therapeutics, Inc. (the “Company”) of my intent to trade the securities of the Company as indicated below:</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u w:val="single" w:color="auto"/>
          <w:color w:val="auto"/>
        </w:rPr>
        <w:t>REQUESTER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36130" cy="61144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2">
                      <a:extLst>
                        <a:ext uri="{28A0092B-C50C-407E-A947-70E740481C1C}"/>
                      </a:extLst>
                    </a:blip>
                    <a:srcRect/>
                    <a:stretch>
                      <a:fillRect/>
                    </a:stretch>
                  </pic:blipFill>
                  <pic:spPr bwMode="auto">
                    <a:xfrm>
                      <a:off x="0" y="0"/>
                      <a:ext cx="7136130" cy="6114415"/>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Insider’s Name:</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u w:val="single" w:color="auto"/>
          <w:color w:val="auto"/>
        </w:rPr>
        <w:t>INTENT TO PURCHASE</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Number of shares: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Intended trade 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12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Means of acquiring shares:</w:t>
            </w:r>
          </w:p>
        </w:tc>
        <w:tc>
          <w:tcPr>
            <w:tcW w:w="880" w:type="dxa"/>
            <w:vAlign w:val="bottom"/>
          </w:tcPr>
          <w:p>
            <w:pPr>
              <w:spacing w:after="0"/>
              <w:rPr>
                <w:sz w:val="24"/>
                <w:szCs w:val="24"/>
                <w:color w:val="auto"/>
              </w:rPr>
            </w:pPr>
          </w:p>
        </w:tc>
        <w:tc>
          <w:tcPr>
            <w:tcW w:w="77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Acquisition through employee benefit plan (please specify):</w:t>
            </w:r>
          </w:p>
        </w:tc>
        <w:tc>
          <w:tcPr>
            <w:tcW w:w="0" w:type="dxa"/>
            <w:vAlign w:val="bottom"/>
          </w:tcPr>
          <w:p>
            <w:pPr>
              <w:spacing w:after="0"/>
              <w:rPr>
                <w:sz w:val="1"/>
                <w:szCs w:val="1"/>
                <w:color w:val="auto"/>
              </w:rPr>
            </w:pPr>
          </w:p>
        </w:tc>
      </w:tr>
      <w:tr>
        <w:trPr>
          <w:trHeight w:val="918"/>
        </w:trPr>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Purchase through a broker on the open market</w:t>
            </w: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Other (please specify):</w:t>
            </w:r>
          </w:p>
        </w:tc>
        <w:tc>
          <w:tcPr>
            <w:tcW w:w="0" w:type="dxa"/>
            <w:vAlign w:val="bottom"/>
          </w:tcPr>
          <w:p>
            <w:pPr>
              <w:spacing w:after="0"/>
              <w:rPr>
                <w:sz w:val="1"/>
                <w:szCs w:val="1"/>
                <w:color w:val="auto"/>
              </w:rPr>
            </w:pPr>
          </w:p>
        </w:tc>
      </w:tr>
      <w:tr>
        <w:trPr>
          <w:trHeight w:val="172"/>
        </w:trPr>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5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b w:val="1"/>
                <w:bCs w:val="1"/>
                <w:color w:val="auto"/>
                <w:w w:val="97"/>
              </w:rPr>
              <w:t>INTENT TO SELL</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12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Number of shares:</w:t>
            </w: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Intended trade date:</w:t>
            </w: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12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Means of selling shares:</w:t>
            </w:r>
          </w:p>
        </w:tc>
        <w:tc>
          <w:tcPr>
            <w:tcW w:w="880" w:type="dxa"/>
            <w:vAlign w:val="bottom"/>
          </w:tcPr>
          <w:p>
            <w:pPr>
              <w:spacing w:after="0"/>
              <w:rPr>
                <w:sz w:val="24"/>
                <w:szCs w:val="24"/>
                <w:color w:val="auto"/>
              </w:rPr>
            </w:pPr>
          </w:p>
        </w:tc>
        <w:tc>
          <w:tcPr>
            <w:tcW w:w="77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Sale through employee benefit plan (please specify):</w:t>
            </w:r>
          </w:p>
        </w:tc>
        <w:tc>
          <w:tcPr>
            <w:tcW w:w="0" w:type="dxa"/>
            <w:vAlign w:val="bottom"/>
          </w:tcPr>
          <w:p>
            <w:pPr>
              <w:spacing w:after="0"/>
              <w:rPr>
                <w:sz w:val="1"/>
                <w:szCs w:val="1"/>
                <w:color w:val="auto"/>
              </w:rPr>
            </w:pPr>
          </w:p>
        </w:tc>
      </w:tr>
      <w:tr>
        <w:trPr>
          <w:trHeight w:val="918"/>
        </w:trPr>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Sale through a broker on the open market</w:t>
            </w: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Other (please specify):</w:t>
            </w:r>
          </w:p>
        </w:tc>
        <w:tc>
          <w:tcPr>
            <w:tcW w:w="0" w:type="dxa"/>
            <w:vAlign w:val="bottom"/>
          </w:tcPr>
          <w:p>
            <w:pPr>
              <w:spacing w:after="0"/>
              <w:rPr>
                <w:sz w:val="1"/>
                <w:szCs w:val="1"/>
                <w:color w:val="auto"/>
              </w:rPr>
            </w:pPr>
          </w:p>
        </w:tc>
      </w:tr>
      <w:tr>
        <w:trPr>
          <w:trHeight w:val="172"/>
        </w:trPr>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5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900" w:type="dxa"/>
            <w:vAlign w:val="bottom"/>
          </w:tcPr>
          <w:p>
            <w:pPr>
              <w:jc w:val="center"/>
              <w:spacing w:after="0" w:line="205" w:lineRule="exact"/>
              <w:rPr>
                <w:sz w:val="20"/>
                <w:szCs w:val="20"/>
                <w:color w:val="auto"/>
              </w:rPr>
            </w:pPr>
            <w:r>
              <w:rPr>
                <w:rFonts w:ascii="Times New Roman" w:cs="Times New Roman" w:eastAsia="Times New Roman" w:hAnsi="Times New Roman"/>
                <w:sz w:val="22"/>
                <w:szCs w:val="22"/>
                <w:b w:val="1"/>
                <w:bCs w:val="1"/>
                <w:color w:val="auto"/>
                <w:w w:val="97"/>
              </w:rPr>
              <w:t>RULE 144 (Not applicable if transaction requested involves</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80" w:type="dxa"/>
            <w:vAlign w:val="bottom"/>
            <w:gridSpan w:val="2"/>
          </w:tcPr>
          <w:p>
            <w:pPr>
              <w:ind w:left="180"/>
              <w:spacing w:after="0" w:line="221" w:lineRule="exact"/>
              <w:rPr>
                <w:sz w:val="20"/>
                <w:szCs w:val="20"/>
                <w:color w:val="auto"/>
              </w:rPr>
            </w:pPr>
            <w:r>
              <w:rPr>
                <w:rFonts w:ascii="Times New Roman" w:cs="Times New Roman" w:eastAsia="Times New Roman" w:hAnsi="Times New Roman"/>
                <w:sz w:val="22"/>
                <w:szCs w:val="22"/>
                <w:b w:val="1"/>
                <w:bCs w:val="1"/>
                <w:color w:val="auto"/>
              </w:rPr>
              <w:t>SECTION 16</w:t>
            </w:r>
          </w:p>
        </w:tc>
        <w:tc>
          <w:tcPr>
            <w:tcW w:w="1840" w:type="dxa"/>
            <w:vAlign w:val="bottom"/>
          </w:tcPr>
          <w:p>
            <w:pPr>
              <w:spacing w:after="0"/>
              <w:rPr>
                <w:sz w:val="19"/>
                <w:szCs w:val="19"/>
                <w:color w:val="auto"/>
              </w:rPr>
            </w:pPr>
          </w:p>
        </w:tc>
        <w:tc>
          <w:tcPr>
            <w:tcW w:w="590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8"/>
              </w:rPr>
              <w:t>a purchase)</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 am not subject to Section 16.</w:t>
            </w:r>
          </w:p>
        </w:tc>
        <w:tc>
          <w:tcPr>
            <w:tcW w:w="184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 am not an “affiliate” of the Company and the transaction</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22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color w:val="auto"/>
              </w:rPr>
              <w:t>To the best of my knowledge, I have not (and am not</w:t>
            </w:r>
          </w:p>
        </w:tc>
        <w:tc>
          <w:tcPr>
            <w:tcW w:w="59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requested above does not involve the sale of “restricted</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5220" w:type="dxa"/>
            <w:vAlign w:val="bottom"/>
            <w:gridSpan w:val="4"/>
            <w:vMerge w:val="continue"/>
          </w:tcPr>
          <w:p>
            <w:pPr>
              <w:spacing w:after="0"/>
              <w:rPr>
                <w:sz w:val="19"/>
                <w:szCs w:val="19"/>
                <w:color w:val="auto"/>
              </w:rPr>
            </w:pPr>
          </w:p>
        </w:tc>
        <w:tc>
          <w:tcPr>
            <w:tcW w:w="5900" w:type="dxa"/>
            <w:vAlign w:val="bottom"/>
          </w:tcPr>
          <w:p>
            <w:pPr>
              <w:ind w:left="340"/>
              <w:spacing w:after="0" w:line="229" w:lineRule="exact"/>
              <w:rPr>
                <w:sz w:val="20"/>
                <w:szCs w:val="20"/>
                <w:color w:val="auto"/>
              </w:rPr>
            </w:pPr>
            <w:r>
              <w:rPr>
                <w:rFonts w:ascii="Times New Roman" w:cs="Times New Roman" w:eastAsia="Times New Roman" w:hAnsi="Times New Roman"/>
                <w:sz w:val="22"/>
                <w:szCs w:val="22"/>
                <w:color w:val="auto"/>
              </w:rPr>
              <w:t>securities” (as such terms are defined under Rule 144</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22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deemed to have) engaged in an opposite way transaction</w:t>
            </w:r>
          </w:p>
        </w:tc>
        <w:tc>
          <w:tcPr>
            <w:tcW w:w="5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20" w:type="dxa"/>
            <w:vAlign w:val="bottom"/>
          </w:tcPr>
          <w:p>
            <w:pPr>
              <w:spacing w:after="0"/>
              <w:rPr>
                <w:sz w:val="24"/>
                <w:szCs w:val="24"/>
                <w:color w:val="auto"/>
              </w:rPr>
            </w:pPr>
          </w:p>
        </w:tc>
        <w:tc>
          <w:tcPr>
            <w:tcW w:w="25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within the</w:t>
            </w: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2"/>
        </w:trPr>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5" w:name="page166"/>
    <w:bookmarkEnd w:id="165"/>
    <w:p>
      <w:pPr>
        <w:ind w:left="280" w:right="140"/>
        <w:spacing w:after="0" w:line="258" w:lineRule="auto"/>
        <w:rPr>
          <w:sz w:val="20"/>
          <w:szCs w:val="20"/>
          <w:color w:val="auto"/>
        </w:rPr>
      </w:pPr>
      <w:r>
        <w:rPr>
          <w:rFonts w:ascii="Times New Roman" w:cs="Times New Roman" w:eastAsia="Times New Roman" w:hAnsi="Times New Roman"/>
          <w:sz w:val="22"/>
          <w:szCs w:val="22"/>
          <w:color w:val="auto"/>
        </w:rPr>
        <w:t>previous 6 months that was not exempt from Section 16(b) of the Exchange Act.</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None of the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-142875</wp:posOffset>
            </wp:positionV>
            <wp:extent cx="7132320" cy="41833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5">
                      <a:extLst>
                        <a:ext uri="{28A0092B-C50C-407E-A947-70E740481C1C}"/>
                      </a:extLst>
                    </a:blip>
                    <a:srcRect/>
                    <a:stretch>
                      <a:fillRect/>
                    </a:stretch>
                  </pic:blipFill>
                  <pic:spPr bwMode="auto">
                    <a:xfrm>
                      <a:off x="0" y="0"/>
                      <a:ext cx="7132320" cy="4183380"/>
                    </a:xfrm>
                    <a:prstGeom prst="rect">
                      <a:avLst/>
                    </a:prstGeom>
                    <a:noFill/>
                  </pic:spPr>
                </pic:pic>
              </a:graphicData>
            </a:graphic>
          </wp:anchor>
        </w:drawing>
      </w:r>
    </w:p>
    <w:p>
      <w:pPr>
        <w:spacing w:after="0" w:line="152" w:lineRule="exact"/>
        <w:rPr>
          <w:sz w:val="20"/>
          <w:szCs w:val="20"/>
          <w:color w:val="auto"/>
        </w:rPr>
      </w:pPr>
    </w:p>
    <w:p>
      <w:pPr>
        <w:ind w:right="320" w:firstLine="256"/>
        <w:spacing w:after="0" w:line="282" w:lineRule="auto"/>
        <w:rPr>
          <w:sz w:val="20"/>
          <w:szCs w:val="20"/>
          <w:color w:val="auto"/>
        </w:rPr>
      </w:pPr>
      <w:r>
        <w:rPr>
          <w:rFonts w:ascii="Times New Roman" w:cs="Times New Roman" w:eastAsia="Times New Roman" w:hAnsi="Times New Roman"/>
          <w:sz w:val="21"/>
          <w:szCs w:val="21"/>
          <w:color w:val="auto"/>
        </w:rPr>
        <w:t>To the best of my knowledge, the transaction requested above will meet all of the applicable conditions of Rule 144.</w:t>
      </w:r>
    </w:p>
    <w:p>
      <w:pPr>
        <w:spacing w:after="0" w:line="148" w:lineRule="exact"/>
        <w:rPr>
          <w:sz w:val="20"/>
          <w:szCs w:val="20"/>
          <w:color w:val="auto"/>
        </w:rPr>
      </w:pPr>
    </w:p>
    <w:p>
      <w:pPr>
        <w:jc w:val="right"/>
        <w:ind w:right="540" w:firstLine="256"/>
        <w:spacing w:after="0" w:line="282" w:lineRule="auto"/>
        <w:rPr>
          <w:sz w:val="20"/>
          <w:szCs w:val="20"/>
          <w:color w:val="auto"/>
        </w:rPr>
      </w:pPr>
      <w:r>
        <w:rPr>
          <w:rFonts w:ascii="Times New Roman" w:cs="Times New Roman" w:eastAsia="Times New Roman" w:hAnsi="Times New Roman"/>
          <w:sz w:val="21"/>
          <w:szCs w:val="21"/>
          <w:color w:val="auto"/>
        </w:rPr>
        <w:t>The transaction requested is being made pursuant to an effective registration statement covering such transaction.</w:t>
      </w:r>
    </w:p>
    <w:p>
      <w:pPr>
        <w:spacing w:after="0" w:line="148" w:lineRule="exact"/>
        <w:rPr>
          <w:sz w:val="20"/>
          <w:szCs w:val="20"/>
          <w:color w:val="auto"/>
        </w:rPr>
      </w:pPr>
    </w:p>
    <w:p>
      <w:pPr>
        <w:sectPr>
          <w:pgSz w:w="11900" w:h="16838" w:orient="portrait"/>
          <w:cols w:equalWidth="0" w:num="2">
            <w:col w:w="4980" w:space="720"/>
            <w:col w:w="5540"/>
          </w:cols>
          <w:pgMar w:left="320" w:top="1408" w:right="339" w:bottom="1440" w:gutter="0" w:footer="0" w:header="0"/>
        </w:sectPr>
      </w:pPr>
    </w:p>
    <w:p>
      <w:pPr>
        <w:ind w:left="5520"/>
        <w:spacing w:after="0"/>
        <w:rPr>
          <w:sz w:val="20"/>
          <w:szCs w:val="20"/>
          <w:color w:val="auto"/>
        </w:rPr>
      </w:pPr>
      <w:r>
        <w:rPr>
          <w:rFonts w:ascii="Times New Roman" w:cs="Times New Roman" w:eastAsia="Times New Roman" w:hAnsi="Times New Roman"/>
          <w:sz w:val="22"/>
          <w:szCs w:val="22"/>
          <w:color w:val="auto"/>
        </w:rPr>
        <w:t>None of the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w:t>
      </w:r>
    </w:p>
    <w:p>
      <w:pPr>
        <w:spacing w:after="0" w:line="210" w:lineRule="exact"/>
        <w:rPr>
          <w:sz w:val="20"/>
          <w:szCs w:val="20"/>
          <w:color w:val="auto"/>
        </w:rPr>
      </w:pPr>
    </w:p>
    <w:p>
      <w:pPr>
        <w:ind w:left="120" w:right="320" w:firstLine="712"/>
        <w:spacing w:after="0" w:line="238" w:lineRule="auto"/>
        <w:rPr>
          <w:sz w:val="20"/>
          <w:szCs w:val="20"/>
          <w:color w:val="auto"/>
        </w:rPr>
      </w:pPr>
      <w:r>
        <w:rPr>
          <w:rFonts w:ascii="Times New Roman" w:cs="Times New Roman" w:eastAsia="Times New Roman" w:hAnsi="Times New Roman"/>
          <w:sz w:val="22"/>
          <w:szCs w:val="22"/>
          <w:color w:val="auto"/>
        </w:rPr>
        <w:t>I hereby certify that I am not (1) in possession of any material, nonpublic information concerning the Company, as defined in the Company’s Statement of Company Policy on Insider Trading and Disclosure and (2)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Insider’s Signature</w:t>
            </w:r>
          </w:p>
        </w:tc>
        <w:tc>
          <w:tcPr>
            <w:tcW w:w="5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w:t>
            </w:r>
          </w:p>
        </w:tc>
      </w:tr>
      <w:tr>
        <w:trPr>
          <w:trHeight w:val="204"/>
        </w:trPr>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540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b w:val="1"/>
                <w:bCs w:val="1"/>
                <w:color w:val="auto"/>
              </w:rPr>
              <w:t>AUTHORIZED APPROVAL</w:t>
            </w:r>
          </w:p>
        </w:tc>
        <w:tc>
          <w:tcPr>
            <w:tcW w:w="44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655"/>
        </w:trPr>
        <w:tc>
          <w:tcPr>
            <w:tcW w:w="12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80" w:type="dxa"/>
            <w:vAlign w:val="bottom"/>
          </w:tcPr>
          <w:p>
            <w:pPr>
              <w:spacing w:after="0"/>
              <w:rPr>
                <w:sz w:val="24"/>
                <w:szCs w:val="24"/>
                <w:color w:val="auto"/>
              </w:rPr>
            </w:pPr>
          </w:p>
        </w:tc>
      </w:tr>
      <w:tr>
        <w:trPr>
          <w:trHeight w:val="276"/>
        </w:trPr>
        <w:tc>
          <w:tcPr>
            <w:tcW w:w="120" w:type="dxa"/>
            <w:vAlign w:val="bottom"/>
          </w:tcPr>
          <w:p>
            <w:pPr>
              <w:spacing w:after="0"/>
              <w:rPr>
                <w:sz w:val="23"/>
                <w:szCs w:val="23"/>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Signature of Compliance Officer (or designee)</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5280" w:type="dxa"/>
            <w:vAlign w:val="bottom"/>
          </w:tcPr>
          <w:p>
            <w:pPr>
              <w:spacing w:after="0"/>
              <w:rPr>
                <w:sz w:val="23"/>
                <w:szCs w:val="23"/>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Multiple lots must be listed on separate forms or broken out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66" w:name="page167"/>
    <w:bookmarkEnd w:id="166"/>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I hereby acknowledge that I have read, that I understand, and that I agree to comply with, the Insider Trading Policy of Candel Therapeutics, Inc. (the “Company”). I further acknowledge and agree that I am responsible for ensuring compliance with the Insider Trading Policy and the Trading Procedures included therein by all of my “Affiliated Persons” [(including such persons listed below)].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against the transfer of any Company securities in a transaction that the Company considers to be in contravention of the Insider Trading Policy.</w:t>
      </w:r>
    </w:p>
    <w:p>
      <w:pPr>
        <w:spacing w:after="0" w:line="183" w:lineRule="exact"/>
        <w:rPr>
          <w:sz w:val="20"/>
          <w:szCs w:val="20"/>
          <w:color w:val="auto"/>
        </w:rPr>
      </w:pPr>
    </w:p>
    <w:p>
      <w:pPr>
        <w:ind w:left="10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1592580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4" w:right="459" w:bottom="1440" w:gutter="0" w:footer="0" w:header="0"/>
        </w:sectPr>
      </w:pPr>
    </w:p>
    <w:bookmarkStart w:id="167" w:name="page168"/>
    <w:bookmarkEnd w:id="167"/>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333-258279, 333-263961, 333-270967, and 333-278294) on Form S-8 and (No. 333-266605) on Form S-3 of our report dated March 13, 2025, with respect to the consolidated financial statements of Candel Therapeutics, Inc.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t>Exhibit 31.1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 Paul Peter Tak, certify that:</w:t>
      </w:r>
    </w:p>
    <w:p>
      <w:pPr>
        <w:spacing w:after="0" w:line="206" w:lineRule="exact"/>
        <w:rPr>
          <w:sz w:val="20"/>
          <w:szCs w:val="20"/>
          <w:color w:val="auto"/>
        </w:rPr>
      </w:pPr>
    </w:p>
    <w:p>
      <w:pPr>
        <w:ind w:left="480" w:hanging="472"/>
        <w:spacing w:after="0"/>
        <w:tabs>
          <w:tab w:leader="none" w:pos="4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Candel Therapeutics, Inc.;</w:t>
      </w:r>
    </w:p>
    <w:p>
      <w:pPr>
        <w:spacing w:after="0" w:line="206" w:lineRule="exact"/>
        <w:rPr>
          <w:rFonts w:ascii="Arial" w:cs="Arial" w:eastAsia="Arial" w:hAnsi="Arial"/>
          <w:sz w:val="22"/>
          <w:szCs w:val="22"/>
          <w:color w:val="auto"/>
        </w:rPr>
      </w:pPr>
    </w:p>
    <w:p>
      <w:pPr>
        <w:ind w:left="760" w:right="260" w:hanging="752"/>
        <w:spacing w:after="0" w:line="245" w:lineRule="auto"/>
        <w:tabs>
          <w:tab w:leader="none" w:pos="49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22"/>
          <w:szCs w:val="22"/>
          <w:color w:val="auto"/>
        </w:rPr>
      </w:pPr>
    </w:p>
    <w:p>
      <w:pPr>
        <w:ind w:left="760" w:right="20" w:hanging="752"/>
        <w:spacing w:after="0" w:line="245" w:lineRule="auto"/>
        <w:tabs>
          <w:tab w:leader="none" w:pos="49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22"/>
          <w:szCs w:val="22"/>
          <w:color w:val="auto"/>
        </w:rPr>
      </w:pPr>
    </w:p>
    <w:p>
      <w:pPr>
        <w:ind w:left="760" w:right="420" w:hanging="752"/>
        <w:spacing w:after="0"/>
        <w:tabs>
          <w:tab w:leader="none" w:pos="49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22"/>
          <w:szCs w:val="22"/>
          <w:color w:val="auto"/>
        </w:rPr>
      </w:pPr>
    </w:p>
    <w:p>
      <w:pPr>
        <w:ind w:left="1500" w:right="120" w:hanging="690"/>
        <w:spacing w:after="0"/>
        <w:tabs>
          <w:tab w:leader="none" w:pos="128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22"/>
          <w:szCs w:val="22"/>
          <w:color w:val="auto"/>
        </w:rPr>
      </w:pPr>
    </w:p>
    <w:p>
      <w:pPr>
        <w:ind w:left="1500" w:right="400" w:hanging="690"/>
        <w:spacing w:after="0"/>
        <w:tabs>
          <w:tab w:leader="none" w:pos="128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2"/>
          <w:szCs w:val="22"/>
          <w:color w:val="auto"/>
        </w:rPr>
      </w:pPr>
    </w:p>
    <w:p>
      <w:pPr>
        <w:ind w:left="1500" w:right="120" w:hanging="690"/>
        <w:spacing w:after="0" w:line="245" w:lineRule="auto"/>
        <w:tabs>
          <w:tab w:leader="none" w:pos="128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22"/>
          <w:szCs w:val="22"/>
          <w:color w:val="auto"/>
        </w:rPr>
      </w:pPr>
    </w:p>
    <w:p>
      <w:pPr>
        <w:ind w:left="1500" w:right="240" w:hanging="690"/>
        <w:spacing w:after="0" w:line="245" w:lineRule="auto"/>
        <w:tabs>
          <w:tab w:leader="none" w:pos="128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69" w:name="page170"/>
    <w:bookmarkEnd w:id="169"/>
    <w:p>
      <w:pPr>
        <w:ind w:left="1492" w:right="100"/>
        <w:spacing w:after="0" w:line="259" w:lineRule="auto"/>
        <w:rPr>
          <w:sz w:val="20"/>
          <w:szCs w:val="20"/>
          <w:color w:val="auto"/>
        </w:rPr>
      </w:pPr>
      <w:r>
        <w:rPr>
          <w:rFonts w:ascii="Arial" w:cs="Arial" w:eastAsia="Arial" w:hAnsi="Arial"/>
          <w:sz w:val="22"/>
          <w:szCs w:val="22"/>
          <w:color w:val="auto"/>
        </w:rPr>
        <w:t>report) that has materially affected, or is reasonably likely to materially affect, the registrant's internal control over financial reporting; and</w:t>
      </w:r>
    </w:p>
    <w:p>
      <w:pPr>
        <w:spacing w:after="0" w:line="156" w:lineRule="exact"/>
        <w:rPr>
          <w:sz w:val="20"/>
          <w:szCs w:val="20"/>
          <w:color w:val="auto"/>
        </w:rPr>
      </w:pPr>
    </w:p>
    <w:p>
      <w:pPr>
        <w:ind w:left="752" w:hanging="752"/>
        <w:spacing w:after="0" w:line="245" w:lineRule="auto"/>
        <w:tabs>
          <w:tab w:leader="none" w:pos="483"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22"/>
          <w:szCs w:val="22"/>
          <w:color w:val="auto"/>
        </w:rPr>
      </w:pPr>
    </w:p>
    <w:p>
      <w:pPr>
        <w:ind w:left="1492" w:right="240" w:hanging="690"/>
        <w:spacing w:after="0" w:line="245" w:lineRule="auto"/>
        <w:tabs>
          <w:tab w:leader="none" w:pos="1277" w:val="left"/>
        </w:tabs>
        <w:numPr>
          <w:ilvl w:val="1"/>
          <w:numId w:val="12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22"/>
          <w:szCs w:val="22"/>
          <w:color w:val="auto"/>
        </w:rPr>
      </w:pPr>
    </w:p>
    <w:p>
      <w:pPr>
        <w:ind w:left="1492" w:right="920" w:hanging="690"/>
        <w:spacing w:after="0" w:line="259" w:lineRule="auto"/>
        <w:tabs>
          <w:tab w:leader="none" w:pos="1277" w:val="left"/>
        </w:tabs>
        <w:numPr>
          <w:ilvl w:val="1"/>
          <w:numId w:val="12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ind w:left="12"/>
        <w:spacing w:after="0"/>
        <w:tabs>
          <w:tab w:leader="none" w:pos="5291" w:val="left"/>
          <w:tab w:leader="none" w:pos="7711" w:val="left"/>
        </w:tabs>
        <w:rPr>
          <w:sz w:val="20"/>
          <w:szCs w:val="20"/>
          <w:color w:val="auto"/>
        </w:rPr>
      </w:pPr>
      <w:r>
        <w:rPr>
          <w:rFonts w:ascii="Arial" w:cs="Arial" w:eastAsia="Arial" w:hAnsi="Arial"/>
          <w:sz w:val="22"/>
          <w:szCs w:val="22"/>
          <w:color w:val="auto"/>
        </w:rPr>
        <w:t>Date: March 13, 2025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10795</wp:posOffset>
            </wp:positionV>
            <wp:extent cx="335153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Arial" w:cs="Arial" w:eastAsia="Arial" w:hAnsi="Arial"/>
          <w:sz w:val="22"/>
          <w:szCs w:val="22"/>
          <w:b w:val="1"/>
          <w:bCs w:val="1"/>
          <w:color w:val="auto"/>
        </w:rPr>
        <w:t>Paul Peter Tak</w:t>
      </w:r>
    </w:p>
    <w:p>
      <w:pPr>
        <w:jc w:val="center"/>
        <w:ind w:left="5940"/>
        <w:spacing w:after="0" w:line="230" w:lineRule="auto"/>
        <w:rPr>
          <w:sz w:val="20"/>
          <w:szCs w:val="20"/>
          <w:color w:val="auto"/>
        </w:rPr>
      </w:pPr>
      <w:r>
        <w:rPr>
          <w:rFonts w:ascii="Arial" w:cs="Arial" w:eastAsia="Arial" w:hAnsi="Arial"/>
          <w:sz w:val="22"/>
          <w:szCs w:val="22"/>
          <w:b w:val="1"/>
          <w:bCs w:val="1"/>
          <w:color w:val="auto"/>
        </w:rPr>
        <w:t>President and Chief Executive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1014095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09" w:right="399"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I, Charles Schoch, certify that:</w:t>
      </w:r>
    </w:p>
    <w:p>
      <w:pPr>
        <w:spacing w:after="0" w:line="206" w:lineRule="exact"/>
        <w:rPr>
          <w:sz w:val="20"/>
          <w:szCs w:val="20"/>
          <w:color w:val="auto"/>
        </w:rPr>
      </w:pPr>
    </w:p>
    <w:p>
      <w:pPr>
        <w:ind w:left="480" w:hanging="472"/>
        <w:spacing w:after="0"/>
        <w:tabs>
          <w:tab w:leader="none" w:pos="4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Candel Therapeutics, Inc.;</w:t>
      </w:r>
    </w:p>
    <w:p>
      <w:pPr>
        <w:spacing w:after="0" w:line="206" w:lineRule="exact"/>
        <w:rPr>
          <w:rFonts w:ascii="Arial" w:cs="Arial" w:eastAsia="Arial" w:hAnsi="Arial"/>
          <w:sz w:val="22"/>
          <w:szCs w:val="22"/>
          <w:color w:val="auto"/>
        </w:rPr>
      </w:pPr>
    </w:p>
    <w:p>
      <w:pPr>
        <w:ind w:left="760" w:right="260" w:hanging="752"/>
        <w:spacing w:after="0" w:line="245" w:lineRule="auto"/>
        <w:tabs>
          <w:tab w:leader="none" w:pos="49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22"/>
          <w:szCs w:val="22"/>
          <w:color w:val="auto"/>
        </w:rPr>
      </w:pPr>
    </w:p>
    <w:p>
      <w:pPr>
        <w:ind w:left="760" w:right="20" w:hanging="752"/>
        <w:spacing w:after="0" w:line="245" w:lineRule="auto"/>
        <w:tabs>
          <w:tab w:leader="none" w:pos="49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22"/>
          <w:szCs w:val="22"/>
          <w:color w:val="auto"/>
        </w:rPr>
      </w:pPr>
    </w:p>
    <w:p>
      <w:pPr>
        <w:ind w:left="760" w:right="420" w:hanging="752"/>
        <w:spacing w:after="0"/>
        <w:tabs>
          <w:tab w:leader="none" w:pos="49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22"/>
          <w:szCs w:val="22"/>
          <w:color w:val="auto"/>
        </w:rPr>
      </w:pPr>
    </w:p>
    <w:p>
      <w:pPr>
        <w:ind w:left="1500" w:right="120" w:hanging="690"/>
        <w:spacing w:after="0"/>
        <w:tabs>
          <w:tab w:leader="none" w:pos="128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22"/>
          <w:szCs w:val="22"/>
          <w:color w:val="auto"/>
        </w:rPr>
      </w:pPr>
    </w:p>
    <w:p>
      <w:pPr>
        <w:ind w:left="1500" w:right="400" w:hanging="690"/>
        <w:spacing w:after="0"/>
        <w:tabs>
          <w:tab w:leader="none" w:pos="128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2"/>
          <w:szCs w:val="22"/>
          <w:color w:val="auto"/>
        </w:rPr>
      </w:pPr>
    </w:p>
    <w:p>
      <w:pPr>
        <w:ind w:left="1500" w:right="120" w:hanging="690"/>
        <w:spacing w:after="0" w:line="245" w:lineRule="auto"/>
        <w:tabs>
          <w:tab w:leader="none" w:pos="128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22"/>
          <w:szCs w:val="22"/>
          <w:color w:val="auto"/>
        </w:rPr>
      </w:pPr>
    </w:p>
    <w:p>
      <w:pPr>
        <w:ind w:left="1500" w:right="240" w:hanging="690"/>
        <w:spacing w:after="0" w:line="245" w:lineRule="auto"/>
        <w:tabs>
          <w:tab w:leader="none" w:pos="128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1" w:name="page172"/>
    <w:bookmarkEnd w:id="171"/>
    <w:p>
      <w:pPr>
        <w:ind w:left="1492" w:right="100"/>
        <w:spacing w:after="0" w:line="259" w:lineRule="auto"/>
        <w:rPr>
          <w:sz w:val="20"/>
          <w:szCs w:val="20"/>
          <w:color w:val="auto"/>
        </w:rPr>
      </w:pPr>
      <w:r>
        <w:rPr>
          <w:rFonts w:ascii="Arial" w:cs="Arial" w:eastAsia="Arial" w:hAnsi="Arial"/>
          <w:sz w:val="22"/>
          <w:szCs w:val="22"/>
          <w:color w:val="auto"/>
        </w:rPr>
        <w:t>report) that has materially affected, or is reasonably likely to materially affect, the registrant's internal control over financial reporting; and</w:t>
      </w:r>
    </w:p>
    <w:p>
      <w:pPr>
        <w:spacing w:after="0" w:line="156" w:lineRule="exact"/>
        <w:rPr>
          <w:sz w:val="20"/>
          <w:szCs w:val="20"/>
          <w:color w:val="auto"/>
        </w:rPr>
      </w:pPr>
    </w:p>
    <w:p>
      <w:pPr>
        <w:ind w:left="752" w:hanging="752"/>
        <w:spacing w:after="0" w:line="245" w:lineRule="auto"/>
        <w:tabs>
          <w:tab w:leader="none" w:pos="48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22"/>
          <w:szCs w:val="22"/>
          <w:color w:val="auto"/>
        </w:rPr>
      </w:pPr>
    </w:p>
    <w:p>
      <w:pPr>
        <w:ind w:left="1492" w:right="240" w:hanging="690"/>
        <w:spacing w:after="0" w:line="245" w:lineRule="auto"/>
        <w:tabs>
          <w:tab w:leader="none" w:pos="1277"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22"/>
          <w:szCs w:val="22"/>
          <w:color w:val="auto"/>
        </w:rPr>
      </w:pPr>
    </w:p>
    <w:p>
      <w:pPr>
        <w:ind w:left="1492" w:right="920" w:hanging="690"/>
        <w:spacing w:after="0" w:line="259" w:lineRule="auto"/>
        <w:tabs>
          <w:tab w:leader="none" w:pos="1277"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ind w:left="12"/>
        <w:spacing w:after="0"/>
        <w:tabs>
          <w:tab w:leader="none" w:pos="5051" w:val="left"/>
          <w:tab w:leader="none" w:pos="7491" w:val="left"/>
        </w:tabs>
        <w:rPr>
          <w:sz w:val="20"/>
          <w:szCs w:val="20"/>
          <w:color w:val="auto"/>
        </w:rPr>
      </w:pPr>
      <w:r>
        <w:rPr>
          <w:rFonts w:ascii="Arial" w:cs="Arial" w:eastAsia="Arial" w:hAnsi="Arial"/>
          <w:sz w:val="22"/>
          <w:szCs w:val="22"/>
          <w:color w:val="auto"/>
        </w:rPr>
        <w:t>Date: March 13, 2025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10795</wp:posOffset>
            </wp:positionV>
            <wp:extent cx="3566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color w:val="auto"/>
        </w:rPr>
        <w:t>Charles Schoch</w:t>
      </w:r>
    </w:p>
    <w:p>
      <w:pPr>
        <w:jc w:val="center"/>
        <w:ind w:left="5600"/>
        <w:spacing w:after="0" w:line="230" w:lineRule="auto"/>
        <w:rPr>
          <w:sz w:val="20"/>
          <w:szCs w:val="20"/>
          <w:color w:val="auto"/>
        </w:rPr>
      </w:pPr>
      <w:r>
        <w:rPr>
          <w:rFonts w:ascii="Arial" w:cs="Arial" w:eastAsia="Arial" w:hAnsi="Arial"/>
          <w:sz w:val="22"/>
          <w:szCs w:val="22"/>
          <w:b w:val="1"/>
          <w:bCs w:val="1"/>
          <w:color w:val="auto"/>
        </w:rPr>
        <w:t>Interim Chief Financial Officer</w:t>
      </w:r>
    </w:p>
    <w:p>
      <w:pPr>
        <w:jc w:val="center"/>
        <w:ind w:left="5540"/>
        <w:spacing w:after="0" w:line="231" w:lineRule="auto"/>
        <w:rPr>
          <w:sz w:val="20"/>
          <w:szCs w:val="20"/>
          <w:color w:val="auto"/>
        </w:rPr>
      </w:pPr>
      <w:r>
        <w:rPr>
          <w:rFonts w:ascii="Arial" w:cs="Arial" w:eastAsia="Arial" w:hAnsi="Arial"/>
          <w:sz w:val="22"/>
          <w:szCs w:val="22"/>
          <w:b w:val="1"/>
          <w:bCs w:val="1"/>
          <w:i w:val="1"/>
          <w:iCs w:val="1"/>
          <w:color w:val="auto"/>
        </w:rPr>
        <w:t>(principal financial officer and principal accounting</w:t>
      </w:r>
    </w:p>
    <w:p>
      <w:pPr>
        <w:ind w:left="8052"/>
        <w:spacing w:after="0"/>
        <w:rPr>
          <w:sz w:val="20"/>
          <w:szCs w:val="20"/>
          <w:color w:val="auto"/>
        </w:rPr>
      </w:pPr>
      <w:r>
        <w:rPr>
          <w:rFonts w:ascii="Arial" w:cs="Arial" w:eastAsia="Arial" w:hAnsi="Arial"/>
          <w:sz w:val="22"/>
          <w:szCs w:val="22"/>
          <w:b w:val="1"/>
          <w:bCs w:val="1"/>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1151255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09" w:right="39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CERTIFICATION PURSUANT TO 18 U.S.C. SECTION 1350, AS ADOPTED PURSUANT TO SECTION 906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1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In connection with the filing with the Securities and Exchange Commission of the Annual Report of Candel Therapeutics, Inc. (the “Company”) on Form 10-K for the period ended December 31, 2024 (the “Report”), the undersigned President and Chief Executive Officer of the Company hereby certifies, pursuant to 18 U.S.C. § 1350, as adopted pursuant to Section 906 of the Sarbanes-Oxley Act of 2002, that, to his knowledge:</w:t>
      </w:r>
    </w:p>
    <w:p>
      <w:pPr>
        <w:spacing w:after="0" w:line="176" w:lineRule="exact"/>
        <w:rPr>
          <w:sz w:val="20"/>
          <w:szCs w:val="20"/>
          <w:color w:val="auto"/>
        </w:rPr>
      </w:pPr>
    </w:p>
    <w:p>
      <w:pPr>
        <w:ind w:left="1500" w:right="360" w:hanging="690"/>
        <w:spacing w:after="0" w:line="259" w:lineRule="auto"/>
        <w:tabs>
          <w:tab w:leader="none" w:pos="128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56" w:lineRule="exact"/>
        <w:rPr>
          <w:rFonts w:ascii="Arial" w:cs="Arial" w:eastAsia="Arial" w:hAnsi="Arial"/>
          <w:sz w:val="22"/>
          <w:szCs w:val="22"/>
          <w:color w:val="auto"/>
        </w:rPr>
      </w:pPr>
    </w:p>
    <w:p>
      <w:pPr>
        <w:ind w:left="1500" w:right="280" w:hanging="690"/>
        <w:spacing w:after="0" w:line="259" w:lineRule="auto"/>
        <w:tabs>
          <w:tab w:leader="none" w:pos="128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20"/>
        <w:spacing w:after="0"/>
        <w:tabs>
          <w:tab w:leader="none" w:pos="5060" w:val="left"/>
          <w:tab w:leader="none" w:pos="7560" w:val="left"/>
        </w:tabs>
        <w:rPr>
          <w:sz w:val="20"/>
          <w:szCs w:val="20"/>
          <w:color w:val="auto"/>
        </w:rPr>
      </w:pPr>
      <w:r>
        <w:rPr>
          <w:rFonts w:ascii="Arial" w:cs="Arial" w:eastAsia="Arial" w:hAnsi="Arial"/>
          <w:sz w:val="22"/>
          <w:szCs w:val="22"/>
          <w:color w:val="auto"/>
        </w:rPr>
        <w:t>Date: March 13, 2025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22"/>
          <w:szCs w:val="22"/>
          <w:b w:val="1"/>
          <w:bCs w:val="1"/>
          <w:color w:val="auto"/>
        </w:rPr>
        <w:t>Paul Peter Tak</w:t>
      </w:r>
    </w:p>
    <w:p>
      <w:pPr>
        <w:jc w:val="center"/>
        <w:ind w:left="5600"/>
        <w:spacing w:after="0" w:line="230" w:lineRule="auto"/>
        <w:rPr>
          <w:sz w:val="20"/>
          <w:szCs w:val="20"/>
          <w:color w:val="auto"/>
        </w:rPr>
      </w:pPr>
      <w:r>
        <w:rPr>
          <w:rFonts w:ascii="Arial" w:cs="Arial" w:eastAsia="Arial" w:hAnsi="Arial"/>
          <w:sz w:val="22"/>
          <w:szCs w:val="22"/>
          <w:b w:val="1"/>
          <w:bCs w:val="1"/>
          <w:color w:val="auto"/>
        </w:rPr>
        <w:t>President and Chief Executive Officer</w:t>
      </w:r>
    </w:p>
    <w:p>
      <w:pPr>
        <w:spacing w:after="0" w:line="1"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0" w:lineRule="exact"/>
        <w:rPr>
          <w:sz w:val="20"/>
          <w:szCs w:val="20"/>
          <w:color w:val="auto"/>
        </w:rPr>
      </w:pPr>
    </w:p>
    <w:p>
      <w:pPr>
        <w:spacing w:after="0" w:line="202" w:lineRule="exact"/>
        <w:rPr>
          <w:sz w:val="20"/>
          <w:szCs w:val="20"/>
          <w:color w:val="auto"/>
        </w:rPr>
      </w:pPr>
    </w:p>
    <w:p>
      <w:pPr>
        <w:ind w:right="760"/>
        <w:spacing w:after="0"/>
        <w:rPr>
          <w:sz w:val="20"/>
          <w:szCs w:val="20"/>
          <w:color w:val="auto"/>
        </w:rPr>
      </w:pPr>
      <w:r>
        <w:rPr>
          <w:rFonts w:ascii="Arial" w:cs="Arial" w:eastAsia="Arial" w:hAnsi="Arial"/>
          <w:sz w:val="22"/>
          <w:szCs w:val="22"/>
          <w:color w:val="auto"/>
        </w:rPr>
        <w:t>In connection with the filing with the Securities and Exchange Commission of the Annual Report of Candel Therapeutics, Inc. (the “Company”) on Form 10-K for the period ended December 31, 2024 (the “Report”), the undersigned Interim Chief Financial Officer of the Company hereby certifies, pursuant to 18 U.S.C. § 1350, as adopted pursuant to Section 906 of the Sarbanes-Oxley Act of 2002, that, to his knowledge:</w:t>
      </w:r>
    </w:p>
    <w:p>
      <w:pPr>
        <w:spacing w:after="0" w:line="176" w:lineRule="exact"/>
        <w:rPr>
          <w:sz w:val="20"/>
          <w:szCs w:val="20"/>
          <w:color w:val="auto"/>
        </w:rPr>
      </w:pPr>
    </w:p>
    <w:p>
      <w:pPr>
        <w:ind w:left="1500" w:right="360" w:hanging="690"/>
        <w:spacing w:after="0" w:line="259" w:lineRule="auto"/>
        <w:tabs>
          <w:tab w:leader="none" w:pos="1285"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56" w:lineRule="exact"/>
        <w:rPr>
          <w:rFonts w:ascii="Arial" w:cs="Arial" w:eastAsia="Arial" w:hAnsi="Arial"/>
          <w:sz w:val="22"/>
          <w:szCs w:val="22"/>
          <w:color w:val="auto"/>
        </w:rPr>
      </w:pPr>
    </w:p>
    <w:p>
      <w:pPr>
        <w:ind w:left="1500" w:right="280" w:hanging="690"/>
        <w:spacing w:after="0" w:line="259" w:lineRule="auto"/>
        <w:tabs>
          <w:tab w:leader="none" w:pos="1285"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20"/>
        <w:spacing w:after="0"/>
        <w:tabs>
          <w:tab w:leader="none" w:pos="5060" w:val="left"/>
          <w:tab w:leader="none" w:pos="7500" w:val="left"/>
        </w:tabs>
        <w:rPr>
          <w:sz w:val="20"/>
          <w:szCs w:val="20"/>
          <w:color w:val="auto"/>
        </w:rPr>
      </w:pPr>
      <w:r>
        <w:rPr>
          <w:rFonts w:ascii="Arial" w:cs="Arial" w:eastAsia="Arial" w:hAnsi="Arial"/>
          <w:sz w:val="22"/>
          <w:szCs w:val="22"/>
          <w:color w:val="auto"/>
        </w:rPr>
        <w:t>Date: March 13, 2025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22"/>
          <w:szCs w:val="22"/>
          <w:b w:val="1"/>
          <w:bCs w:val="1"/>
          <w:color w:val="auto"/>
        </w:rPr>
        <w:t>Charles Schoch</w:t>
      </w:r>
    </w:p>
    <w:p>
      <w:pPr>
        <w:jc w:val="center"/>
        <w:ind w:left="5600"/>
        <w:spacing w:after="0" w:line="230" w:lineRule="auto"/>
        <w:rPr>
          <w:sz w:val="20"/>
          <w:szCs w:val="20"/>
          <w:color w:val="auto"/>
        </w:rPr>
      </w:pPr>
      <w:r>
        <w:rPr>
          <w:rFonts w:ascii="Arial" w:cs="Arial" w:eastAsia="Arial" w:hAnsi="Arial"/>
          <w:sz w:val="22"/>
          <w:szCs w:val="22"/>
          <w:b w:val="1"/>
          <w:bCs w:val="1"/>
          <w:color w:val="auto"/>
        </w:rPr>
        <w:t>Interim Chief Financial Officer</w:t>
      </w:r>
    </w:p>
    <w:p>
      <w:pPr>
        <w:jc w:val="center"/>
        <w:ind w:left="5540"/>
        <w:spacing w:after="0" w:line="231"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jc w:val="center"/>
        <w:ind w:left="560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3" w:name="page174"/>
    <w:bookmarkEnd w:id="1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7">
    <w:nsid w:val="5F5E7FD0"/>
    <w:multiLevelType w:val="hybridMultilevel"/>
    <w:lvl w:ilvl="0">
      <w:lvlJc w:val="left"/>
      <w:lvlText w:val="•"/>
      <w:numFmt w:val="bullet"/>
      <w:start w:val="1"/>
    </w:lvl>
    <w:lvl w:ilvl="1">
      <w:lvlJc w:val="left"/>
      <w:lvlText w:val="▪"/>
      <w:numFmt w:val="bullet"/>
      <w:start w:val="1"/>
    </w:lvl>
  </w:abstractNum>
  <w:abstractNum w:abstractNumId="8">
    <w:nsid w:val="98A3148"/>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9">
    <w:nsid w:val="799D0247"/>
    <w:multiLevelType w:val="hybridMultilevel"/>
    <w:lvl w:ilvl="0">
      <w:lvlJc w:val="left"/>
      <w:lvlText w:val="▪"/>
      <w:numFmt w:val="bullet"/>
      <w:start w:val="1"/>
    </w:lvl>
    <w:lvl w:ilvl="1">
      <w:lvlJc w:val="left"/>
      <w:lvlText w:val="•"/>
      <w:numFmt w:val="bullet"/>
      <w:start w:val="1"/>
    </w:lvl>
  </w:abstractNum>
  <w:abstractNum w:abstractNumId="10">
    <w:nsid w:val="6B94764"/>
    <w:multiLevelType w:val="hybridMultilevel"/>
    <w:lvl w:ilvl="0">
      <w:lvlJc w:val="left"/>
      <w:lvlText w:val="o"/>
      <w:numFmt w:val="bullet"/>
      <w:start w:val="1"/>
    </w:lvl>
  </w:abstractNum>
  <w:abstractNum w:abstractNumId="11">
    <w:nsid w:val="42C296BD"/>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o"/>
      <w:numFmt w:val="bullet"/>
      <w:start w:val="1"/>
    </w:lvl>
    <w:lvl w:ilvl="1">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lvl w:ilvl="1">
      <w:lvlJc w:val="left"/>
      <w:lvlText w:val="▪"/>
      <w:numFmt w:val="bullet"/>
      <w:start w:val="1"/>
    </w:lvl>
  </w:abstractNum>
  <w:abstractNum w:abstractNumId="22">
    <w:nsid w:val="42963E5A"/>
    <w:multiLevelType w:val="hybridMultilevel"/>
    <w:lvl w:ilvl="0">
      <w:lvlJc w:val="left"/>
      <w:lvlText w:val="&lt;"/>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69">
    <w:nsid w:val="5F3534A4"/>
    <w:multiLevelType w:val="hybridMultilevel"/>
    <w:lvl w:ilvl="0">
      <w:lvlJc w:val="left"/>
      <w:lvlText w:val="•"/>
      <w:numFmt w:val="bullet"/>
      <w:start w:val="1"/>
    </w:lvl>
    <w:lvl w:ilvl="1">
      <w:lvlJc w:val="left"/>
      <w:lvlText w:val="▪"/>
      <w:numFmt w:val="bullet"/>
      <w:start w:val="1"/>
    </w:lvl>
  </w:abstractNum>
  <w:abstractNum w:abstractNumId="70">
    <w:nsid w:val="73A1821B"/>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71">
    <w:nsid w:val="7DE67713"/>
    <w:multiLevelType w:val="hybridMultilevel"/>
    <w:lvl w:ilvl="0">
      <w:lvlJc w:val="left"/>
      <w:lvlText w:val="▪"/>
      <w:numFmt w:val="bullet"/>
      <w:start w:val="1"/>
    </w:lvl>
    <w:lvl w:ilvl="1">
      <w:lvlJc w:val="left"/>
      <w:lvlText w:val="•"/>
      <w:numFmt w:val="bullet"/>
      <w:start w:val="1"/>
    </w:lvl>
  </w:abstractNum>
  <w:abstractNum w:abstractNumId="72">
    <w:nsid w:val="555C55B5"/>
    <w:multiLevelType w:val="hybridMultilevel"/>
    <w:lvl w:ilvl="0">
      <w:lvlJc w:val="left"/>
      <w:lvlText w:val="o"/>
      <w:numFmt w:val="bullet"/>
      <w:start w:val="1"/>
    </w:lvl>
  </w:abstractNum>
  <w:abstractNum w:abstractNumId="73">
    <w:nsid w:val="3FA62ACA"/>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74">
    <w:nsid w:val="14FCE74E"/>
    <w:multiLevelType w:val="hybridMultilevel"/>
    <w:lvl w:ilvl="0">
      <w:lvlJc w:val="left"/>
      <w:lvlText w:val="▪"/>
      <w:numFmt w:val="bullet"/>
      <w:start w:val="1"/>
    </w:lvl>
    <w:lvl w:ilvl="1">
      <w:lvlJc w:val="left"/>
      <w:lvlText w:val="•"/>
      <w:numFmt w:val="bullet"/>
      <w:start w:val="1"/>
    </w:lvl>
  </w:abstractNum>
  <w:abstractNum w:abstractNumId="75">
    <w:nsid w:val="6A3DD3E8"/>
    <w:multiLevelType w:val="hybridMultilevel"/>
    <w:lvl w:ilvl="0">
      <w:lvlJc w:val="left"/>
      <w:lvlText w:val="o"/>
      <w:numFmt w:val="bullet"/>
      <w:start w:val="1"/>
    </w:lvl>
    <w:lvl w:ilvl="1">
      <w:lvlJc w:val="left"/>
      <w:lvlText w:val="▪"/>
      <w:numFmt w:val="bullet"/>
      <w:start w:val="1"/>
    </w:lvl>
  </w:abstractNum>
  <w:abstractNum w:abstractNumId="76">
    <w:nsid w:val="71C91298"/>
    <w:multiLevelType w:val="hybridMultilevel"/>
    <w:lvl w:ilvl="0">
      <w:lvlJc w:val="left"/>
      <w:lvlText w:val="•"/>
      <w:numFmt w:val="bullet"/>
      <w:start w:val="1"/>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
      <w:numFmt w:val="bullet"/>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
      <w:numFmt w:val="bullet"/>
      <w:start w:val="1"/>
    </w:lvl>
  </w:abstractNum>
  <w:abstractNum w:abstractNumId="83">
    <w:nsid w:val="288F1A34"/>
    <w:multiLevelType w:val="hybridMultilevel"/>
    <w:lvl w:ilvl="0">
      <w:lvlJc w:val="left"/>
      <w:lvlText w:val="(%1)"/>
      <w:numFmt w:val="decimal"/>
      <w:start w:val="3"/>
    </w:lvl>
  </w:abstractNum>
  <w:abstractNum w:abstractNumId="84">
    <w:nsid w:val="2A155DBC"/>
    <w:multiLevelType w:val="hybridMultilevel"/>
    <w:lvl w:ilvl="0">
      <w:lvlJc w:val="left"/>
      <w:lvlText w:val="•"/>
      <w:numFmt w:val="bullet"/>
      <w:start w:val="1"/>
    </w:lvl>
  </w:abstractNum>
  <w:abstractNum w:abstractNumId="85">
    <w:nsid w:val="1D9F6E5F"/>
    <w:multiLevelType w:val="hybridMultilevel"/>
    <w:lvl w:ilvl="0">
      <w:lvlJc w:val="left"/>
      <w:lvlText w:val="(%1)"/>
      <w:numFmt w:val="lowerLetter"/>
      <w:start w:val="1"/>
    </w:lvl>
  </w:abstractNum>
  <w:abstractNum w:abstractNumId="86">
    <w:nsid w:val="97E1B4E"/>
    <w:multiLevelType w:val="hybridMultilevel"/>
    <w:lvl w:ilvl="0">
      <w:lvlJc w:val="left"/>
      <w:lvlText w:val="*"/>
      <w:numFmt w:val="bullet"/>
      <w:start w:val="1"/>
    </w:lvl>
    <w:lvl w:ilvl="1">
      <w:lvlJc w:val="left"/>
      <w:lvlText w:val="%2"/>
      <w:numFmt w:val="decimal"/>
      <w:start w:val="104"/>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
      <w:numFmt w:val="bullet"/>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
      <w:numFmt w:val="bullet"/>
      <w:start w:val="1"/>
    </w:lvl>
  </w:abstractNum>
  <w:abstractNum w:abstractNumId="95">
    <w:nsid w:val="E7FFA2B"/>
    <w:multiLevelType w:val="hybridMultilevel"/>
    <w:lvl w:ilvl="0">
      <w:lvlJc w:val="left"/>
      <w:lvlText w:val="%1."/>
      <w:numFmt w:val="upperLetter"/>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
      <w:numFmt w:val="bullet"/>
      <w:start w:val="1"/>
    </w:lvl>
  </w:abstractNum>
  <w:abstractNum w:abstractNumId="98">
    <w:nsid w:val="78DF6A55"/>
    <w:multiLevelType w:val="hybridMultilevel"/>
    <w:lvl w:ilvl="0">
      <w:lvlJc w:val="left"/>
      <w:lvlText w:val="%1."/>
      <w:numFmt w:val="upperLetter"/>
      <w:start w:val="2"/>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1."/>
      <w:numFmt w:val="upperLetter"/>
      <w:start w:val="3"/>
    </w:lvl>
  </w:abstractNum>
  <w:abstractNum w:abstractNumId="102">
    <w:nsid w:val="379E21B5"/>
    <w:multiLevelType w:val="hybridMultilevel"/>
    <w:lvl w:ilvl="0">
      <w:lvlJc w:val="left"/>
      <w:lvlText w:val="•"/>
      <w:numFmt w:val="bullet"/>
      <w:start w:val="1"/>
    </w:lvl>
  </w:abstractNum>
  <w:abstractNum w:abstractNumId="103">
    <w:nsid w:val="69E373"/>
    <w:multiLevelType w:val="hybridMultilevel"/>
    <w:lvl w:ilvl="0">
      <w:lvlJc w:val="left"/>
      <w:lvlText w:val="%1."/>
      <w:numFmt w:val="upperLetter"/>
      <w:start w:val="4"/>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
      <w:numFmt w:val="bullet"/>
      <w:start w:val="1"/>
    </w:lvl>
  </w:abstractNum>
  <w:abstractNum w:abstractNumId="106">
    <w:nsid w:val="6AA7B75C"/>
    <w:multiLevelType w:val="hybridMultilevel"/>
    <w:lvl w:ilvl="0">
      <w:lvlJc w:val="left"/>
      <w:lvlText w:val="%1."/>
      <w:numFmt w:val="upperLetter"/>
      <w:start w:val="5"/>
    </w:lvl>
  </w:abstractNum>
  <w:abstractNum w:abstractNumId="107">
    <w:nsid w:val="1DF029D3"/>
    <w:multiLevelType w:val="hybridMultilevel"/>
    <w:lvl w:ilvl="0">
      <w:lvlJc w:val="left"/>
      <w:lvlText w:val="%1."/>
      <w:numFmt w:val="upperLetter"/>
      <w:start w:val="1"/>
    </w:lvl>
  </w:abstractNum>
  <w:abstractNum w:abstractNumId="108">
    <w:nsid w:val="5675FF36"/>
    <w:multiLevelType w:val="hybridMultilevel"/>
    <w:lvl w:ilvl="0">
      <w:lvlJc w:val="left"/>
      <w:lvlText w:val="%1."/>
      <w:numFmt w:val="decimal"/>
      <w:start w:val="1"/>
    </w:lvl>
  </w:abstractNum>
  <w:abstractNum w:abstractNumId="109">
    <w:nsid w:val="3DD15094"/>
    <w:multiLevelType w:val="hybridMultilevel"/>
    <w:lvl w:ilvl="0">
      <w:lvlJc w:val="left"/>
      <w:lvlText w:val="%1."/>
      <w:numFmt w:val="decimal"/>
      <w:start w:val="2"/>
    </w:lvl>
  </w:abstractNum>
  <w:abstractNum w:abstractNumId="110">
    <w:nsid w:val="3DB012B3"/>
    <w:multiLevelType w:val="hybridMultilevel"/>
    <w:lvl w:ilvl="0">
      <w:lvlJc w:val="left"/>
      <w:lvlText w:val="•"/>
      <w:numFmt w:val="bullet"/>
      <w:start w:val="1"/>
    </w:lvl>
  </w:abstractNum>
  <w:abstractNum w:abstractNumId="111">
    <w:nsid w:val="2708C9AF"/>
    <w:multiLevelType w:val="hybridMultilevel"/>
    <w:lvl w:ilvl="0">
      <w:lvlJc w:val="left"/>
      <w:lvlText w:val="%1."/>
      <w:numFmt w:val="decimal"/>
      <w:start w:val="3"/>
    </w:lvl>
  </w:abstractNum>
  <w:abstractNum w:abstractNumId="112">
    <w:nsid w:val="5B25ACE2"/>
    <w:multiLevelType w:val="hybridMultilevel"/>
    <w:lvl w:ilvl="0">
      <w:lvlJc w:val="left"/>
      <w:lvlText w:val="%1."/>
      <w:numFmt w:val="decimal"/>
      <w:start w:val="4"/>
    </w:lvl>
  </w:abstractNum>
  <w:abstractNum w:abstractNumId="113">
    <w:nsid w:val="175DFCF0"/>
    <w:multiLevelType w:val="hybridMultilevel"/>
    <w:lvl w:ilvl="0">
      <w:lvlJc w:val="left"/>
      <w:lvlText w:val="%1."/>
      <w:numFmt w:val="upperLetter"/>
      <w:start w:val="2"/>
    </w:lvl>
  </w:abstractNum>
  <w:abstractNum w:abstractNumId="114">
    <w:nsid w:val="4F97E3E4"/>
    <w:multiLevelType w:val="hybridMultilevel"/>
    <w:lvl w:ilvl="0">
      <w:lvlJc w:val="left"/>
      <w:lvlText w:val="%1."/>
      <w:numFmt w:val="decimal"/>
      <w:start w:val="1"/>
    </w:lvl>
  </w:abstractNum>
  <w:abstractNum w:abstractNumId="115">
    <w:nsid w:val="53B0A9E"/>
    <w:multiLevelType w:val="hybridMultilevel"/>
    <w:lvl w:ilvl="0">
      <w:lvlJc w:val="left"/>
      <w:lvlText w:val="•"/>
      <w:numFmt w:val="bullet"/>
      <w:start w:val="1"/>
    </w:lvl>
  </w:abstractNum>
  <w:abstractNum w:abstractNumId="116">
    <w:nsid w:val="34FD6B4F"/>
    <w:multiLevelType w:val="hybridMultilevel"/>
    <w:lvl w:ilvl="0">
      <w:lvlJc w:val="left"/>
      <w:lvlText w:val="%1."/>
      <w:numFmt w:val="decimal"/>
      <w:start w:val="2"/>
    </w:lvl>
  </w:abstractNum>
  <w:abstractNum w:abstractNumId="117">
    <w:nsid w:val="5915FF32"/>
    <w:multiLevelType w:val="hybridMultilevel"/>
    <w:lvl w:ilvl="0">
      <w:lvlJc w:val="left"/>
      <w:lvlText w:val="%1."/>
      <w:numFmt w:val="decimal"/>
      <w:start w:val="3"/>
    </w:lvl>
  </w:abstractNum>
  <w:abstractNum w:abstractNumId="118">
    <w:nsid w:val="56438D15"/>
    <w:multiLevelType w:val="hybridMultilevel"/>
    <w:lvl w:ilvl="0">
      <w:lvlJc w:val="left"/>
      <w:lvlText w:val="%1."/>
      <w:numFmt w:val="decimal"/>
      <w:start w:val="4"/>
    </w:lvl>
  </w:abstractNum>
  <w:abstractNum w:abstractNumId="119">
    <w:nsid w:val="519E3149"/>
    <w:multiLevelType w:val="hybridMultilevel"/>
    <w:lvl w:ilvl="0">
      <w:lvlJc w:val="left"/>
      <w:lvlText w:val="%1."/>
      <w:numFmt w:val="decimal"/>
      <w:start w:val="5"/>
    </w:lvl>
  </w:abstractNum>
  <w:abstractNum w:abstractNumId="120">
    <w:nsid w:val="2C6E4AFD"/>
    <w:multiLevelType w:val="hybridMultilevel"/>
    <w:lvl w:ilvl="0">
      <w:lvlJc w:val="left"/>
      <w:lvlText w:val="%1."/>
      <w:numFmt w:val="upperLetter"/>
      <w:start w:val="3"/>
    </w:lvl>
  </w:abstractNum>
  <w:abstractNum w:abstractNumId="121">
    <w:nsid w:val="17A1B582"/>
    <w:multiLevelType w:val="hybridMultilevel"/>
    <w:lvl w:ilvl="0">
      <w:lvlJc w:val="left"/>
      <w:lvlText w:val="%1."/>
      <w:numFmt w:val="decimal"/>
      <w:start w:val="1"/>
    </w:lvl>
  </w:abstractNum>
  <w:abstractNum w:abstractNumId="122">
    <w:nsid w:val="4DF72E4E"/>
    <w:multiLevelType w:val="hybridMultilevel"/>
    <w:lvl w:ilvl="0">
      <w:lvlJc w:val="left"/>
      <w:lvlText w:val="%1."/>
      <w:numFmt w:val="decimal"/>
      <w:start w:val="2"/>
    </w:lvl>
  </w:abstractNum>
  <w:abstractNum w:abstractNumId="123">
    <w:nsid w:val="5046B5A9"/>
    <w:multiLevelType w:val="hybridMultilevel"/>
    <w:lvl w:ilvl="0">
      <w:lvlJc w:val="left"/>
      <w:lvlText w:val="%1."/>
      <w:numFmt w:val="upperLetter"/>
      <w:start w:val="4"/>
    </w:lvl>
  </w:abstractNum>
  <w:abstractNum w:abstractNumId="124">
    <w:nsid w:val="5D888A08"/>
    <w:multiLevelType w:val="hybridMultilevel"/>
    <w:lvl w:ilvl="0">
      <w:lvlJc w:val="left"/>
      <w:lvlText w:val=" "/>
      <w:numFmt w:val="bullet"/>
      <w:start w:val="1"/>
    </w:lvl>
  </w:abstractNum>
  <w:abstractNum w:abstractNumId="125">
    <w:nsid w:val="2A082C70"/>
    <w:multiLevelType w:val="hybridMultilevel"/>
    <w:lvl w:ilvl="0">
      <w:lvlJc w:val="left"/>
      <w:lvlText w:val=" "/>
      <w:numFmt w:val="bullet"/>
      <w:start w:val="1"/>
    </w:lvl>
  </w:abstractNum>
  <w:abstractNum w:abstractNumId="126">
    <w:nsid w:val="5EC6AFD4"/>
    <w:multiLevelType w:val="hybridMultilevel"/>
    <w:lvl w:ilvl="0">
      <w:lvlJc w:val="left"/>
      <w:lvlText w:val="%1."/>
      <w:numFmt w:val="decimal"/>
      <w:start w:val="1"/>
    </w:lvl>
    <w:lvl w:ilvl="1">
      <w:lvlJc w:val="left"/>
      <w:lvlText w:val="(%2)"/>
      <w:numFmt w:val="lowerLetter"/>
      <w:start w:val="1"/>
    </w:lvl>
  </w:abstractNum>
  <w:abstractNum w:abstractNumId="127">
    <w:nsid w:val="19E21BB2"/>
    <w:multiLevelType w:val="hybridMultilevel"/>
    <w:lvl w:ilvl="0">
      <w:lvlJc w:val="left"/>
      <w:lvlText w:val="%1."/>
      <w:numFmt w:val="decimal"/>
      <w:start w:val="5"/>
    </w:lvl>
    <w:lvl w:ilvl="1">
      <w:lvlJc w:val="left"/>
      <w:lvlText w:val="(%2)"/>
      <w:numFmt w:val="lowerLetter"/>
      <w:start w:val="1"/>
    </w:lvl>
  </w:abstractNum>
  <w:abstractNum w:abstractNumId="128">
    <w:nsid w:val="75E0858A"/>
    <w:multiLevelType w:val="hybridMultilevel"/>
    <w:lvl w:ilvl="0">
      <w:lvlJc w:val="left"/>
      <w:lvlText w:val="%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decimal"/>
      <w:start w:val="5"/>
    </w:lvl>
    <w:lvl w:ilvl="1">
      <w:lvlJc w:val="left"/>
      <w:lvlText w:val="(%2)"/>
      <w:numFmt w:val="lowerLetter"/>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270" Type="http://schemas.openxmlformats.org/officeDocument/2006/relationships/image" Target="media/image233.png"/><Relationship Id="rId271" Type="http://schemas.openxmlformats.org/officeDocument/2006/relationships/image" Target="media/image234.png"/><Relationship Id="rId272" Type="http://schemas.openxmlformats.org/officeDocument/2006/relationships/image" Target="media/image235.png"/><Relationship Id="rId273"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png"/><Relationship Id="rId295" Type="http://schemas.openxmlformats.org/officeDocument/2006/relationships/image" Target="media/image258.png"/><Relationship Id="rId296" Type="http://schemas.openxmlformats.org/officeDocument/2006/relationships/image" Target="media/image259.png"/><Relationship Id="rId297" Type="http://schemas.openxmlformats.org/officeDocument/2006/relationships/image" Target="media/image260.png"/><Relationship Id="rId298" Type="http://schemas.openxmlformats.org/officeDocument/2006/relationships/image" Target="media/image261.png"/><Relationship Id="rId299" Type="http://schemas.openxmlformats.org/officeDocument/2006/relationships/image" Target="media/image262.png"/><Relationship Id="rId300" Type="http://schemas.openxmlformats.org/officeDocument/2006/relationships/image" Target="media/image263.png"/><Relationship Id="rId301" Type="http://schemas.openxmlformats.org/officeDocument/2006/relationships/image" Target="media/image264.png"/><Relationship Id="rId302" Type="http://schemas.openxmlformats.org/officeDocument/2006/relationships/image" Target="media/image265.png"/><Relationship Id="rId303" Type="http://schemas.openxmlformats.org/officeDocument/2006/relationships/image" Target="media/image266.png"/><Relationship Id="rId304" Type="http://schemas.openxmlformats.org/officeDocument/2006/relationships/image" Target="media/image267.png"/><Relationship Id="rId305" Type="http://schemas.openxmlformats.org/officeDocument/2006/relationships/image" Target="media/image268.png"/><Relationship Id="rId306" Type="http://schemas.openxmlformats.org/officeDocument/2006/relationships/image" Target="media/image269.png"/><Relationship Id="rId307" Type="http://schemas.openxmlformats.org/officeDocument/2006/relationships/image" Target="media/image270.png"/><Relationship Id="rId308" Type="http://schemas.openxmlformats.org/officeDocument/2006/relationships/image" Target="media/image271.png"/><Relationship Id="rId309" Type="http://schemas.openxmlformats.org/officeDocument/2006/relationships/image" Target="media/image272.png"/><Relationship Id="rId310" Type="http://schemas.openxmlformats.org/officeDocument/2006/relationships/image" Target="media/image273.png"/><Relationship Id="rId311" Type="http://schemas.openxmlformats.org/officeDocument/2006/relationships/image" Target="media/image274.png"/><Relationship Id="rId312" Type="http://schemas.openxmlformats.org/officeDocument/2006/relationships/image" Target="media/image275.png"/><Relationship Id="rId313" Type="http://schemas.openxmlformats.org/officeDocument/2006/relationships/image" Target="media/image276.png"/><Relationship Id="rId314" Type="http://schemas.openxmlformats.org/officeDocument/2006/relationships/image" Target="media/image277.png"/><Relationship Id="rId315" Type="http://schemas.openxmlformats.org/officeDocument/2006/relationships/image" Target="media/image278.png"/><Relationship Id="rId316" Type="http://schemas.openxmlformats.org/officeDocument/2006/relationships/image" Target="media/image279.png"/><Relationship Id="rId317" Type="http://schemas.openxmlformats.org/officeDocument/2006/relationships/image" Target="media/image280.png"/><Relationship Id="rId318" Type="http://schemas.openxmlformats.org/officeDocument/2006/relationships/image" Target="media/image281.png"/><Relationship Id="rId319" Type="http://schemas.openxmlformats.org/officeDocument/2006/relationships/image" Target="media/image282.png"/><Relationship Id="rId320" Type="http://schemas.openxmlformats.org/officeDocument/2006/relationships/image" Target="media/image283.png"/><Relationship Id="rId321" Type="http://schemas.openxmlformats.org/officeDocument/2006/relationships/image" Target="media/image284.png"/><Relationship Id="rId322" Type="http://schemas.openxmlformats.org/officeDocument/2006/relationships/image" Target="media/image285.png"/><Relationship Id="rId323" Type="http://schemas.openxmlformats.org/officeDocument/2006/relationships/image" Target="media/image286.png"/><Relationship Id="rId324" Type="http://schemas.openxmlformats.org/officeDocument/2006/relationships/image" Target="media/image287.png"/><Relationship Id="rId325" Type="http://schemas.openxmlformats.org/officeDocument/2006/relationships/image" Target="media/image288.png"/><Relationship Id="rId326" Type="http://schemas.openxmlformats.org/officeDocument/2006/relationships/image" Target="media/image289.png"/><Relationship Id="rId327" Type="http://schemas.openxmlformats.org/officeDocument/2006/relationships/image" Target="media/image290.png"/><Relationship Id="rId328" Type="http://schemas.openxmlformats.org/officeDocument/2006/relationships/image" Target="media/image291.png"/><Relationship Id="rId329" Type="http://schemas.openxmlformats.org/officeDocument/2006/relationships/image" Target="media/image292.png"/><Relationship Id="rId330" Type="http://schemas.openxmlformats.org/officeDocument/2006/relationships/image" Target="media/image293.png"/><Relationship Id="rId331" Type="http://schemas.openxmlformats.org/officeDocument/2006/relationships/image" Target="media/image294.png"/><Relationship Id="rId332" Type="http://schemas.openxmlformats.org/officeDocument/2006/relationships/image" Target="media/image295.png"/><Relationship Id="rId333" Type="http://schemas.openxmlformats.org/officeDocument/2006/relationships/image" Target="media/image296.png"/><Relationship Id="rId334" Type="http://schemas.openxmlformats.org/officeDocument/2006/relationships/image" Target="media/image297.png"/><Relationship Id="rId335" Type="http://schemas.openxmlformats.org/officeDocument/2006/relationships/image" Target="media/image298.png"/><Relationship Id="rId336" Type="http://schemas.openxmlformats.org/officeDocument/2006/relationships/image" Target="media/image299.png"/><Relationship Id="rId337" Type="http://schemas.openxmlformats.org/officeDocument/2006/relationships/image" Target="media/image300.png"/><Relationship Id="rId338"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41" Type="http://schemas.openxmlformats.org/officeDocument/2006/relationships/image" Target="media/image304.png"/><Relationship Id="rId342" Type="http://schemas.openxmlformats.org/officeDocument/2006/relationships/image" Target="media/image305.png"/><Relationship Id="rId343" Type="http://schemas.openxmlformats.org/officeDocument/2006/relationships/image" Target="media/image306.png"/><Relationship Id="rId344" Type="http://schemas.openxmlformats.org/officeDocument/2006/relationships/image" Target="media/image307.png"/><Relationship Id="rId345" Type="http://schemas.openxmlformats.org/officeDocument/2006/relationships/image" Target="media/image308.png"/><Relationship Id="rId346" Type="http://schemas.openxmlformats.org/officeDocument/2006/relationships/image" Target="media/image309.png"/><Relationship Id="rId347" Type="http://schemas.openxmlformats.org/officeDocument/2006/relationships/image" Target="media/image310.png"/><Relationship Id="rId348" Type="http://schemas.openxmlformats.org/officeDocument/2006/relationships/image" Target="media/image311.png"/><Relationship Id="rId349" Type="http://schemas.openxmlformats.org/officeDocument/2006/relationships/image" Target="media/image312.png"/><Relationship Id="rId350" Type="http://schemas.openxmlformats.org/officeDocument/2006/relationships/image" Target="media/image313.png"/><Relationship Id="rId351" Type="http://schemas.openxmlformats.org/officeDocument/2006/relationships/image" Target="media/image314.png"/><Relationship Id="rId352" Type="http://schemas.openxmlformats.org/officeDocument/2006/relationships/image" Target="media/image315.png"/><Relationship Id="rId353" Type="http://schemas.openxmlformats.org/officeDocument/2006/relationships/image" Target="media/image316.png"/><Relationship Id="rId354" Type="http://schemas.openxmlformats.org/officeDocument/2006/relationships/image" Target="media/image317.png"/><Relationship Id="rId355" Type="http://schemas.openxmlformats.org/officeDocument/2006/relationships/image" Target="media/image318.png"/><Relationship Id="rId356" Type="http://schemas.openxmlformats.org/officeDocument/2006/relationships/image" Target="media/image319.png"/><Relationship Id="rId357" Type="http://schemas.openxmlformats.org/officeDocument/2006/relationships/image" Target="media/image320.png"/><Relationship Id="rId358" Type="http://schemas.openxmlformats.org/officeDocument/2006/relationships/image" Target="media/image321.png"/><Relationship Id="rId359" Type="http://schemas.openxmlformats.org/officeDocument/2006/relationships/image" Target="media/image322.png"/><Relationship Id="rId360" Type="http://schemas.openxmlformats.org/officeDocument/2006/relationships/image" Target="media/image323.png"/><Relationship Id="rId361" Type="http://schemas.openxmlformats.org/officeDocument/2006/relationships/image" Target="media/image324.png"/><Relationship Id="rId362" Type="http://schemas.openxmlformats.org/officeDocument/2006/relationships/image" Target="media/image325.png"/><Relationship Id="rId363" Type="http://schemas.openxmlformats.org/officeDocument/2006/relationships/image" Target="media/image326.png"/><Relationship Id="rId364" Type="http://schemas.openxmlformats.org/officeDocument/2006/relationships/image" Target="media/image327.png"/><Relationship Id="rId365" Type="http://schemas.openxmlformats.org/officeDocument/2006/relationships/image" Target="media/image328.png"/><Relationship Id="rId366" Type="http://schemas.openxmlformats.org/officeDocument/2006/relationships/image" Target="media/image329.png"/><Relationship Id="rId367" Type="http://schemas.openxmlformats.org/officeDocument/2006/relationships/image" Target="media/image330.png"/><Relationship Id="rId368" Type="http://schemas.openxmlformats.org/officeDocument/2006/relationships/image" Target="media/image331.png"/><Relationship Id="rId369" Type="http://schemas.openxmlformats.org/officeDocument/2006/relationships/image" Target="media/image332.png"/><Relationship Id="rId370" Type="http://schemas.openxmlformats.org/officeDocument/2006/relationships/image" Target="media/image333.png"/><Relationship Id="rId371" Type="http://schemas.openxmlformats.org/officeDocument/2006/relationships/image" Target="media/image334.png"/><Relationship Id="rId372" Type="http://schemas.openxmlformats.org/officeDocument/2006/relationships/image" Target="media/image335.png"/><Relationship Id="rId373" Type="http://schemas.openxmlformats.org/officeDocument/2006/relationships/image" Target="media/image336.png"/><Relationship Id="rId374" Type="http://schemas.openxmlformats.org/officeDocument/2006/relationships/image" Target="media/image337.png"/><Relationship Id="rId375" Type="http://schemas.openxmlformats.org/officeDocument/2006/relationships/image" Target="media/image338.png"/><Relationship Id="rId376" Type="http://schemas.openxmlformats.org/officeDocument/2006/relationships/image" Target="media/image339.png"/><Relationship Id="rId377" Type="http://schemas.openxmlformats.org/officeDocument/2006/relationships/image" Target="media/image340.png"/><Relationship Id="rId378" Type="http://schemas.openxmlformats.org/officeDocument/2006/relationships/image" Target="media/image341.png"/><Relationship Id="rId379" Type="http://schemas.openxmlformats.org/officeDocument/2006/relationships/image" Target="media/image342.png"/><Relationship Id="rId380" Type="http://schemas.openxmlformats.org/officeDocument/2006/relationships/image" Target="media/image343.png"/><Relationship Id="rId381" Type="http://schemas.openxmlformats.org/officeDocument/2006/relationships/image" Target="media/image344.png"/><Relationship Id="rId382" Type="http://schemas.openxmlformats.org/officeDocument/2006/relationships/image" Target="media/image345.png"/><Relationship Id="rId383" Type="http://schemas.openxmlformats.org/officeDocument/2006/relationships/image" Target="media/image346.png"/><Relationship Id="rId384" Type="http://schemas.openxmlformats.org/officeDocument/2006/relationships/image" Target="media/image347.png"/><Relationship Id="rId385" Type="http://schemas.openxmlformats.org/officeDocument/2006/relationships/image" Target="media/image348.png"/><Relationship Id="rId386" Type="http://schemas.openxmlformats.org/officeDocument/2006/relationships/image" Target="media/image349.png"/><Relationship Id="rId387" Type="http://schemas.openxmlformats.org/officeDocument/2006/relationships/image" Target="media/image350.png"/><Relationship Id="rId388" Type="http://schemas.openxmlformats.org/officeDocument/2006/relationships/image" Target="media/image351.png"/><Relationship Id="rId389" Type="http://schemas.openxmlformats.org/officeDocument/2006/relationships/image" Target="media/image352.png"/><Relationship Id="rId390" Type="http://schemas.openxmlformats.org/officeDocument/2006/relationships/image" Target="media/image353.png"/><Relationship Id="rId391" Type="http://schemas.openxmlformats.org/officeDocument/2006/relationships/image" Target="media/image354.png"/><Relationship Id="rId392" Type="http://schemas.openxmlformats.org/officeDocument/2006/relationships/image" Target="media/image355.png"/><Relationship Id="rId393" Type="http://schemas.openxmlformats.org/officeDocument/2006/relationships/image" Target="media/image356.png"/><Relationship Id="rId394" Type="http://schemas.openxmlformats.org/officeDocument/2006/relationships/image" Target="media/image357.png"/><Relationship Id="rId395" Type="http://schemas.openxmlformats.org/officeDocument/2006/relationships/image" Target="media/image358.png"/><Relationship Id="rId396" Type="http://schemas.openxmlformats.org/officeDocument/2006/relationships/image" Target="media/image359.png"/><Relationship Id="rId397" Type="http://schemas.openxmlformats.org/officeDocument/2006/relationships/image" Target="media/image360.png"/><Relationship Id="rId398" Type="http://schemas.openxmlformats.org/officeDocument/2006/relationships/image" Target="media/image361.png"/><Relationship Id="rId399" Type="http://schemas.openxmlformats.org/officeDocument/2006/relationships/image" Target="media/image362.png"/><Relationship Id="rId400" Type="http://schemas.openxmlformats.org/officeDocument/2006/relationships/image" Target="media/image363.png"/><Relationship Id="rId401" Type="http://schemas.openxmlformats.org/officeDocument/2006/relationships/image" Target="media/image364.png"/><Relationship Id="rId402" Type="http://schemas.openxmlformats.org/officeDocument/2006/relationships/image" Target="media/image365.png"/><Relationship Id="rId403" Type="http://schemas.openxmlformats.org/officeDocument/2006/relationships/image" Target="media/image366.png"/><Relationship Id="rId404" Type="http://schemas.openxmlformats.org/officeDocument/2006/relationships/image" Target="media/image367.png"/><Relationship Id="rId405" Type="http://schemas.openxmlformats.org/officeDocument/2006/relationships/image" Target="media/image368.png"/><Relationship Id="rId406"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png"/><Relationship Id="rId409" Type="http://schemas.openxmlformats.org/officeDocument/2006/relationships/image" Target="media/image372.png"/><Relationship Id="rId410" Type="http://schemas.openxmlformats.org/officeDocument/2006/relationships/image" Target="media/image373.png"/><Relationship Id="rId411" Type="http://schemas.openxmlformats.org/officeDocument/2006/relationships/image" Target="media/image374.png"/><Relationship Id="rId412" Type="http://schemas.openxmlformats.org/officeDocument/2006/relationships/image" Target="media/image375.png"/><Relationship Id="rId413"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7" Type="http://schemas.openxmlformats.org/officeDocument/2006/relationships/image" Target="media/image380.png"/><Relationship Id="rId169" Type="http://schemas.openxmlformats.org/officeDocument/2006/relationships/hyperlink" Target="https://www.sec.gov/Archives/edgar/data/0001841387/000119312521229437/d203496dex31.htm" TargetMode="External"/><Relationship Id="rId170" Type="http://schemas.openxmlformats.org/officeDocument/2006/relationships/hyperlink" Target="https://www.sec.gov/Archives/edgar/data/1841387/000119312521229437/d203496dex32.htm" TargetMode="External"/><Relationship Id="rId171" Type="http://schemas.openxmlformats.org/officeDocument/2006/relationships/hyperlink" Target="https://www.sec.gov/Archives/edgar/data/1841387/000095017024066608/cadl-ex3_1.htm" TargetMode="External"/><Relationship Id="rId172" Type="http://schemas.openxmlformats.org/officeDocument/2006/relationships/hyperlink" Target="https://www.sec.gov/Archives/edgar/data/1841387/000119312521216891/d120909dex41.htm" TargetMode="External"/><Relationship Id="rId173" Type="http://schemas.openxmlformats.org/officeDocument/2006/relationships/hyperlink" Target="https://www.sec.gov/Archives/edgar/data/1841387/000119312521200639/d120909dex42.htm" TargetMode="External"/><Relationship Id="rId174" Type="http://schemas.openxmlformats.org/officeDocument/2006/relationships/hyperlink" Target="https://www.sec.gov/Archives/edgar/data/1841387/000119312521216891/d120909dex43.htm" TargetMode="External"/><Relationship Id="rId175" Type="http://schemas.openxmlformats.org/officeDocument/2006/relationships/hyperlink" Target="https://www.sec.gov/Archives/edgar/data/1841387/000119312521216891/d120909dex44.htm" TargetMode="External"/><Relationship Id="rId176" Type="http://schemas.openxmlformats.org/officeDocument/2006/relationships/hyperlink" Target="https://www.sec.gov/Archives/edgar/data/1841387/000119312521200639/d120909dex45.htm" TargetMode="External"/><Relationship Id="rId177" Type="http://schemas.openxmlformats.org/officeDocument/2006/relationships/hyperlink" Target="https://www.sec.gov/Archives/edgar/data/1841387/000119312524278717/d859956dex41.htm" TargetMode="External"/><Relationship Id="rId178" Type="http://schemas.openxmlformats.org/officeDocument/2006/relationships/hyperlink" Target="https://www.sec.gov/Archives/edgar/data/1841387/000119312521216891/d120909dex101.htm" TargetMode="External"/><Relationship Id="rId179" Type="http://schemas.openxmlformats.org/officeDocument/2006/relationships/hyperlink" Target="https://www.sec.gov/Archives/edgar/data/1841387/000119312521216891/d120909dex102.htm" TargetMode="External"/><Relationship Id="rId180" Type="http://schemas.openxmlformats.org/officeDocument/2006/relationships/hyperlink" Target="https://www.sec.gov/Archives/edgar/data/1841387/000119312521216891/d120909dex103.htm" TargetMode="External"/><Relationship Id="rId181" Type="http://schemas.openxmlformats.org/officeDocument/2006/relationships/hyperlink" Target="https://www.sec.gov/Archives/edgar/data/1841387/000119312521216891/d120909dex104.htm" TargetMode="External"/><Relationship Id="rId182" Type="http://schemas.openxmlformats.org/officeDocument/2006/relationships/hyperlink" Target="https://www.sec.gov/Archives/edgar/data/1841387/000119312521216891/d120909dex1051.htm" TargetMode="External"/><Relationship Id="rId183" Type="http://schemas.openxmlformats.org/officeDocument/2006/relationships/hyperlink" Target="https://www.sec.gov/Archives/edgar/data/1841387/000119312521216891/d120909dex106.htm" TargetMode="External"/><Relationship Id="rId184" Type="http://schemas.openxmlformats.org/officeDocument/2006/relationships/hyperlink" Target="https://www.sec.gov/Archives/edgar/data/1841387/000119312521216891/d120909dex107.htm" TargetMode="External"/><Relationship Id="rId187" Type="http://schemas.openxmlformats.org/officeDocument/2006/relationships/hyperlink" Target="https://www.sec.gov/Archives/edgar/data/1841387/000119312521200639/d120909dex108.htm" TargetMode="External"/><Relationship Id="rId188" Type="http://schemas.openxmlformats.org/officeDocument/2006/relationships/hyperlink" Target="https://www.sec.gov/Archives/edgar/data/1841387/000119312521216891/d120909dex109.htm" TargetMode="External"/><Relationship Id="rId189" Type="http://schemas.openxmlformats.org/officeDocument/2006/relationships/hyperlink" Target="https://www.sec.gov/Archives/edgar/data/1841387/000119312521216891/d120909dex1010.htm" TargetMode="External"/><Relationship Id="rId190" Type="http://schemas.openxmlformats.org/officeDocument/2006/relationships/hyperlink" Target="https://www.sec.gov/Archives/edgar/data/1841387/000095017022004857/cadl-ex10_11.htm" TargetMode="External"/><Relationship Id="rId191" Type="http://schemas.openxmlformats.org/officeDocument/2006/relationships/hyperlink" Target="https://www.sec.gov/Archives/edgar/data/1841387/000095017022004857/cadl-ex10_12.htm" TargetMode="External"/><Relationship Id="rId192" Type="http://schemas.openxmlformats.org/officeDocument/2006/relationships/hyperlink" Target="https://www.sec.gov/Archives/edgar/data/1841387/000095017022004857/cadl-ex10_13.htm" TargetMode="External"/><Relationship Id="rId193" Type="http://schemas.openxmlformats.org/officeDocument/2006/relationships/hyperlink" Target="https://www.sec.gov/Archives/edgar/data/1841387/000095017022009479/cadl-ex10_8.htm" TargetMode="External"/><Relationship Id="rId194" Type="http://schemas.openxmlformats.org/officeDocument/2006/relationships/hyperlink" Target="https://www.sec.gov/Archives/edgar/data/1841387/000095017022024197/cadl-ex10_1.htm" TargetMode="External"/><Relationship Id="rId195" Type="http://schemas.openxmlformats.org/officeDocument/2006/relationships/hyperlink" Target="https://www.sec.gov/Archives/edgar/data/1841387/000095017023010760/cadl-ex10_16.htm" TargetMode="External"/><Relationship Id="rId196" Type="http://schemas.openxmlformats.org/officeDocument/2006/relationships/hyperlink" Target="https://www.sec.gov/Archives/edgar/data/1841387/000095017023040984/cadl-ex10_1.htm" TargetMode="External"/><Relationship Id="rId197" Type="http://schemas.openxmlformats.org/officeDocument/2006/relationships/hyperlink" Target="https://www.sec.gov/Archives/edgar/data/1841387/000095017023040984/cadl-ex10_2.htm" TargetMode="External"/><Relationship Id="rId198" Type="http://schemas.openxmlformats.org/officeDocument/2006/relationships/hyperlink" Target="https://www.sec.gov/Archives/edgar/data/1841387/000095017024037637/cadl-ex10_19.htm" TargetMode="External"/><Relationship Id="rId199" Type="http://schemas.openxmlformats.org/officeDocument/2006/relationships/hyperlink" Target="https://www.sec.gov/Archives/edgar/data/1841387/000095017022004857/cadl-ex21_1.htm" TargetMode="External"/><Relationship Id="rId200" Type="http://schemas.openxmlformats.org/officeDocument/2006/relationships/hyperlink" Target="https://www.sec.gov/Archives/edgar/data/1841387/000095017024037637/cadl-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2025-03-13T16:06:56Z</dcterms:created>
  <dcterms:modified xsi:type="dcterms:W3CDTF">2025-03-13T16:06:56Z</dcterms:modified>
</cp:coreProperties>
</file>