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3" w:lineRule="exact"/>
        <w:rPr>
          <w:sz w:val="24"/>
          <w:szCs w:val="24"/>
          <w:color w:val="auto"/>
        </w:rPr>
      </w:pPr>
    </w:p>
    <w:p>
      <w:pPr>
        <w:ind w:left="3460" w:right="1540" w:hanging="3439"/>
        <w:spacing w:after="0" w:line="318"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01" w:lineRule="exact"/>
        <w:rPr>
          <w:rFonts w:ascii="MS PGothic" w:cs="MS PGothic" w:eastAsia="MS PGothic" w:hAnsi="MS PGothic"/>
          <w:sz w:val="17"/>
          <w:szCs w:val="17"/>
          <w:color w:val="auto"/>
          <w:highlight w:val="black"/>
        </w:rPr>
      </w:pPr>
    </w:p>
    <w:p>
      <w:pPr>
        <w:ind w:left="278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transition period from ______________ to ______________</w:t>
      </w:r>
    </w:p>
    <w:p>
      <w:pPr>
        <w:spacing w:after="0" w:line="63" w:lineRule="exact"/>
        <w:rPr>
          <w:rFonts w:ascii="MS PGothic" w:cs="MS PGothic" w:eastAsia="MS PGothic" w:hAnsi="MS PGothic"/>
          <w:sz w:val="17"/>
          <w:szCs w:val="17"/>
          <w:color w:val="auto"/>
          <w:highlight w:val="black"/>
        </w:rPr>
      </w:pPr>
    </w:p>
    <w:p>
      <w:pPr>
        <w:ind w:left="406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Commission File Number: 001-40629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CANDEL THERAPEUTICS,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p>
      <w:pPr>
        <w:spacing w:after="0" w:line="181"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Delaware</w:t>
      </w:r>
    </w:p>
    <w:p>
      <w:pPr>
        <w:spacing w:after="0" w:line="41"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52-2214851</w:t>
      </w:r>
    </w:p>
    <w:p>
      <w:pPr>
        <w:spacing w:after="0" w:line="43"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spacing w:after="0" w:line="1"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66" w:lineRule="exact"/>
        <w:rPr>
          <w:sz w:val="24"/>
          <w:szCs w:val="24"/>
          <w:color w:val="auto"/>
        </w:rPr>
      </w:pPr>
    </w:p>
    <w:p>
      <w:pPr>
        <w:sectPr>
          <w:pgSz w:w="11900" w:h="16838" w:orient="portrait"/>
          <w:cols w:equalWidth="0" w:num="2">
            <w:col w:w="7180" w:space="720"/>
            <w:col w:w="3340"/>
          </w:cols>
          <w:pgMar w:left="320" w:top="589" w:right="3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117 Kendrick St, Suite 450</w:t>
      </w:r>
    </w:p>
    <w:p>
      <w:pPr>
        <w:spacing w:after="0" w:line="25" w:lineRule="exact"/>
        <w:rPr>
          <w:sz w:val="24"/>
          <w:szCs w:val="24"/>
          <w:color w:val="auto"/>
        </w:rPr>
      </w:pPr>
    </w:p>
    <w:p>
      <w:pPr>
        <w:ind w:left="2280"/>
        <w:spacing w:after="0"/>
        <w:tabs>
          <w:tab w:leader="none" w:pos="8180" w:val="left"/>
        </w:tabs>
        <w:rPr>
          <w:sz w:val="20"/>
          <w:szCs w:val="20"/>
          <w:color w:val="auto"/>
        </w:rPr>
      </w:pPr>
      <w:r>
        <w:rPr>
          <w:rFonts w:ascii="Arial" w:cs="Arial" w:eastAsia="Arial" w:hAnsi="Arial"/>
          <w:sz w:val="16"/>
          <w:szCs w:val="16"/>
          <w:b w:val="1"/>
          <w:bCs w:val="1"/>
          <w:color w:val="auto"/>
        </w:rPr>
        <w:t>Needham, MA</w:t>
      </w:r>
      <w:r>
        <w:rPr>
          <w:sz w:val="20"/>
          <w:szCs w:val="20"/>
          <w:color w:val="auto"/>
        </w:rPr>
        <w:tab/>
      </w:r>
      <w:r>
        <w:rPr>
          <w:rFonts w:ascii="Arial" w:cs="Arial" w:eastAsia="Arial" w:hAnsi="Arial"/>
          <w:sz w:val="16"/>
          <w:szCs w:val="16"/>
          <w:b w:val="1"/>
          <w:bCs w:val="1"/>
          <w:color w:val="auto"/>
        </w:rPr>
        <w:t>02494</w:t>
      </w:r>
    </w:p>
    <w:p>
      <w:pPr>
        <w:spacing w:after="0" w:line="23" w:lineRule="exact"/>
        <w:rPr>
          <w:sz w:val="24"/>
          <w:szCs w:val="24"/>
          <w:color w:val="auto"/>
        </w:r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56"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(617) 916-5445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8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3"/>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CADL</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bl>
    <w:p>
      <w:pPr>
        <w:spacing w:after="0" w:line="63" w:lineRule="exact"/>
        <w:rPr>
          <w:sz w:val="24"/>
          <w:szCs w:val="24"/>
          <w:color w:val="auto"/>
        </w:rPr>
      </w:pPr>
    </w:p>
    <w:p>
      <w:pPr>
        <w:ind w:right="120" w:firstLine="599"/>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jc w:val="both"/>
        <w:ind w:right="40" w:firstLine="599"/>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ind w:right="120" w:firstLine="59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40" w:type="dxa"/>
            <w:vAlign w:val="bottom"/>
          </w:tcPr>
          <w:p>
            <w:pPr>
              <w:ind w:left="290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4" w:lineRule="exact"/>
        <w:rPr>
          <w:sz w:val="24"/>
          <w:szCs w:val="24"/>
          <w:color w:val="auto"/>
        </w:rPr>
      </w:pPr>
    </w:p>
    <w:p>
      <w:pPr>
        <w:jc w:val="both"/>
        <w:ind w:right="60" w:firstLine="599"/>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1200"/>
        <w:spacing w:after="0" w:line="26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 2023, the registrant had 28,919,810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222885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5"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This Quarterly Report on Form 10-Q (Form 10-Q),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10-Q may include, but are not limited to, statements about:</w:t>
      </w:r>
    </w:p>
    <w:p>
      <w:pPr>
        <w:spacing w:after="0" w:line="85"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the success of preclinical studies and clinical trials of CAN-2409 and CAN-3110 and any other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of any clinical trials of CAN-2409 and CAN-3110 and any other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need to raise additional funding before we can expect to generate any revenues from product sales;</w:t>
      </w:r>
    </w:p>
    <w:p>
      <w:pPr>
        <w:spacing w:after="0" w:line="115" w:lineRule="exact"/>
        <w:rPr>
          <w:rFonts w:ascii="Arial" w:cs="Arial" w:eastAsia="Arial" w:hAnsi="Arial"/>
          <w:sz w:val="17"/>
          <w:szCs w:val="17"/>
          <w:color w:val="auto"/>
        </w:rPr>
      </w:pPr>
    </w:p>
    <w:p>
      <w:pPr>
        <w:ind w:left="1020" w:right="740" w:hanging="503"/>
        <w:spacing w:after="0" w:line="25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conduct successful clinical trials or obtain regulatory approval for CAN-2409 and CAN-3110 or any other product candidates that we may identify or develop;</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research to generate and advance additional product candidates;</w:t>
      </w:r>
    </w:p>
    <w:p>
      <w:pPr>
        <w:spacing w:after="0" w:line="115" w:lineRule="exact"/>
        <w:rPr>
          <w:rFonts w:ascii="Arial" w:cs="Arial" w:eastAsia="Arial" w:hAnsi="Arial"/>
          <w:sz w:val="17"/>
          <w:szCs w:val="17"/>
          <w:color w:val="auto"/>
        </w:rPr>
      </w:pPr>
    </w:p>
    <w:p>
      <w:pPr>
        <w:ind w:left="1020" w:right="100" w:hanging="503"/>
        <w:spacing w:after="0" w:line="25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any future public health crisis, including mitigation efforts and economic effects, on any of the foregoing or other aspects of our business operations;</w:t>
      </w:r>
    </w:p>
    <w:p>
      <w:pPr>
        <w:spacing w:after="0" w:line="65" w:lineRule="exact"/>
        <w:rPr>
          <w:rFonts w:ascii="Arial" w:cs="Arial" w:eastAsia="Arial" w:hAnsi="Arial"/>
          <w:sz w:val="17"/>
          <w:szCs w:val="17"/>
          <w:color w:val="auto"/>
        </w:rPr>
      </w:pPr>
    </w:p>
    <w:p>
      <w:pPr>
        <w:ind w:left="1020" w:right="300" w:hanging="503"/>
        <w:spacing w:after="0" w:line="25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 adequate safety or efficacy profile for CAN-2409, CAN-3110 or any other product candidates that we may pursue;</w:t>
      </w:r>
    </w:p>
    <w:p>
      <w:pPr>
        <w:spacing w:after="0" w:line="65" w:lineRule="exact"/>
        <w:rPr>
          <w:rFonts w:ascii="Arial" w:cs="Arial" w:eastAsia="Arial" w:hAnsi="Arial"/>
          <w:sz w:val="17"/>
          <w:szCs w:val="17"/>
          <w:color w:val="auto"/>
        </w:rPr>
      </w:pPr>
    </w:p>
    <w:p>
      <w:pPr>
        <w:ind w:left="1020" w:hanging="503"/>
        <w:spacing w:after="0" w:line="245"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manufacture CAN-2409, CAN-3110 or any other product candidate in conformity with our specifications and the U.S. Food and Drug Administration’s (FDA) requirements and to scale up manufacturing of our product candidates to commercial scale, if approved;</w:t>
      </w:r>
    </w:p>
    <w:p>
      <w:pPr>
        <w:spacing w:after="0" w:line="76"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implementation of our strategic plans for our business, any product candidates we may develop and any companion diagnostics;</w:t>
      </w:r>
    </w:p>
    <w:p>
      <w:pPr>
        <w:spacing w:after="0" w:line="115" w:lineRule="exact"/>
        <w:rPr>
          <w:rFonts w:ascii="Arial" w:cs="Arial" w:eastAsia="Arial" w:hAnsi="Arial"/>
          <w:sz w:val="17"/>
          <w:szCs w:val="17"/>
          <w:color w:val="auto"/>
        </w:rPr>
      </w:pPr>
    </w:p>
    <w:p>
      <w:pPr>
        <w:ind w:left="1020" w:right="100" w:hanging="503"/>
        <w:spacing w:after="0" w:line="25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our product candidates any companion diagnostics;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for any product candidates we may develop;</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period we estimate to be funded by our existing financial resources;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with the continued existence of our license agreement with Mass General Brigham (MGB);</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our anticipated growth;</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the impact of government regulation;</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risks and uncertainties, including those discussed in Part II, Item 1A - Risk Factors in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8" w:right="379" w:bottom="1440" w:gutter="0" w:footer="0" w:header="0"/>
        </w:sectPr>
      </w:pPr>
    </w:p>
    <w:bookmarkStart w:id="2" w:name="page3"/>
    <w:bookmarkEnd w:id="2"/>
    <w:p>
      <w:pPr>
        <w:ind w:right="40"/>
        <w:spacing w:after="0" w:line="236" w:lineRule="auto"/>
        <w:rPr>
          <w:sz w:val="20"/>
          <w:szCs w:val="20"/>
          <w:color w:val="auto"/>
        </w:rPr>
      </w:pPr>
      <w:r>
        <w:rPr>
          <w:rFonts w:ascii="Arial" w:cs="Arial" w:eastAsia="Arial" w:hAnsi="Arial"/>
          <w:sz w:val="17"/>
          <w:szCs w:val="17"/>
          <w:color w:val="auto"/>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Form 10-Q.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spacing w:after="0" w:line="8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forward-looking statements in this Form 10-Q represent our views as of the date of this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10-Q.</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This Form 10-Q may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have not independently verified the information contained in such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2" w:right="4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14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business is subject to numerous risks and uncertainties, including those described more fully in Part II, Item 1A - Risk Factors in this Form 10-Q. You should carefully consider these risks and uncertainties when investing in our common stock. The principal risks and uncertainties affecting our business include the following:</w:t>
      </w:r>
    </w:p>
    <w:p>
      <w:pPr>
        <w:spacing w:after="0" w:line="76" w:lineRule="exact"/>
        <w:rPr>
          <w:sz w:val="20"/>
          <w:szCs w:val="20"/>
          <w:color w:val="auto"/>
        </w:rPr>
      </w:pPr>
    </w:p>
    <w:p>
      <w:pPr>
        <w:ind w:left="1020" w:right="80" w:hanging="503"/>
        <w:spacing w:after="0" w:line="245"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a biopharmaceutical company with a limited operating history and we have not generated any revenue from product sales. We expect to continue to incur significant expenses and increasing operating losses for at least the next several years and may never achieve or maintain profitability.</w:t>
      </w:r>
    </w:p>
    <w:p>
      <w:pPr>
        <w:spacing w:after="0" w:line="76" w:lineRule="exact"/>
        <w:rPr>
          <w:rFonts w:ascii="Arial" w:cs="Arial" w:eastAsia="Arial" w:hAnsi="Arial"/>
          <w:sz w:val="17"/>
          <w:szCs w:val="17"/>
          <w:color w:val="auto"/>
        </w:rPr>
      </w:pPr>
    </w:p>
    <w:p>
      <w:pPr>
        <w:ind w:left="1020" w:right="260" w:hanging="503"/>
        <w:spacing w:after="0" w:line="245"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Substantial doubt exists about our ability to continue as a going concern. Our ability to continue as a going concern requires that we obtain sufficient additional funding to finance our operations. If we are unable to raise capital when needed, we would be forced to delay, reduce or eliminate some of our research, clinical trials, product development, or future commercialization efforts.</w:t>
      </w:r>
    </w:p>
    <w:p>
      <w:pPr>
        <w:spacing w:after="0" w:line="76"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indebtedness, and we may incur additional indebtedness, which could adversely affect our financial condition.</w:t>
      </w:r>
    </w:p>
    <w:p>
      <w:pPr>
        <w:spacing w:after="0" w:line="115" w:lineRule="exact"/>
        <w:rPr>
          <w:rFonts w:ascii="Arial" w:cs="Arial" w:eastAsia="Arial" w:hAnsi="Arial"/>
          <w:sz w:val="17"/>
          <w:szCs w:val="17"/>
          <w:color w:val="auto"/>
        </w:rPr>
      </w:pPr>
    </w:p>
    <w:p>
      <w:pPr>
        <w:ind w:left="1020" w:right="140" w:hanging="503"/>
        <w:spacing w:after="0" w:line="245"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is dependent on the success of our lead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76" w:lineRule="exact"/>
        <w:rPr>
          <w:rFonts w:ascii="Arial" w:cs="Arial" w:eastAsia="Arial" w:hAnsi="Arial"/>
          <w:sz w:val="17"/>
          <w:szCs w:val="17"/>
          <w:color w:val="auto"/>
        </w:rPr>
      </w:pPr>
    </w:p>
    <w:p>
      <w:pPr>
        <w:ind w:left="1020" w:right="220" w:hanging="503"/>
        <w:spacing w:after="0" w:line="258"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65" w:lineRule="exact"/>
        <w:rPr>
          <w:rFonts w:ascii="Arial" w:cs="Arial" w:eastAsia="Arial" w:hAnsi="Arial"/>
          <w:sz w:val="17"/>
          <w:szCs w:val="17"/>
          <w:color w:val="auto"/>
        </w:rPr>
      </w:pPr>
    </w:p>
    <w:p>
      <w:pPr>
        <w:ind w:left="1020" w:right="140" w:hanging="503"/>
        <w:spacing w:after="0" w:line="258"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65" w:lineRule="exact"/>
        <w:rPr>
          <w:rFonts w:ascii="Arial" w:cs="Arial" w:eastAsia="Arial" w:hAnsi="Arial"/>
          <w:sz w:val="17"/>
          <w:szCs w:val="17"/>
          <w:color w:val="auto"/>
        </w:rPr>
      </w:pPr>
    </w:p>
    <w:p>
      <w:pPr>
        <w:ind w:left="1020" w:right="260" w:hanging="503"/>
        <w:spacing w:after="0" w:line="258"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65" w:lineRule="exact"/>
        <w:rPr>
          <w:rFonts w:ascii="Arial" w:cs="Arial" w:eastAsia="Arial" w:hAnsi="Arial"/>
          <w:sz w:val="17"/>
          <w:szCs w:val="17"/>
          <w:color w:val="auto"/>
        </w:rPr>
      </w:pPr>
    </w:p>
    <w:p>
      <w:pPr>
        <w:ind w:left="1020" w:right="20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82" w:lineRule="exact"/>
        <w:rPr>
          <w:rFonts w:ascii="Arial" w:cs="Arial" w:eastAsia="Arial" w:hAnsi="Arial"/>
          <w:sz w:val="17"/>
          <w:szCs w:val="17"/>
          <w:color w:val="auto"/>
        </w:rPr>
      </w:pPr>
    </w:p>
    <w:p>
      <w:pPr>
        <w:ind w:left="1020" w:right="260" w:hanging="503"/>
        <w:spacing w:after="0" w:line="245"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FDA’s agreement to a Special Protocol Assessment with respect to the study design of our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76" w:lineRule="exact"/>
        <w:rPr>
          <w:rFonts w:ascii="Arial" w:cs="Arial" w:eastAsia="Arial" w:hAnsi="Arial"/>
          <w:sz w:val="17"/>
          <w:szCs w:val="17"/>
          <w:color w:val="auto"/>
        </w:rPr>
      </w:pPr>
    </w:p>
    <w:p>
      <w:pPr>
        <w:ind w:left="1020" w:right="34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82"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product candidate manufacturing or formulation may result in additional costs or delay.</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future public health crisis may have adverse effects on our business and operations.</w:t>
      </w:r>
    </w:p>
    <w:p>
      <w:pPr>
        <w:spacing w:after="0" w:line="115" w:lineRule="exact"/>
        <w:rPr>
          <w:rFonts w:ascii="Arial" w:cs="Arial" w:eastAsia="Arial" w:hAnsi="Arial"/>
          <w:sz w:val="17"/>
          <w:szCs w:val="17"/>
          <w:color w:val="auto"/>
        </w:rPr>
      </w:pPr>
    </w:p>
    <w:p>
      <w:pPr>
        <w:ind w:left="1020" w:right="520" w:hanging="503"/>
        <w:spacing w:after="0" w:line="245"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76" w:lineRule="exact"/>
        <w:rPr>
          <w:rFonts w:ascii="Arial" w:cs="Arial" w:eastAsia="Arial" w:hAnsi="Arial"/>
          <w:sz w:val="17"/>
          <w:szCs w:val="17"/>
          <w:color w:val="auto"/>
        </w:rPr>
      </w:pPr>
    </w:p>
    <w:p>
      <w:pPr>
        <w:ind w:left="1020" w:hanging="503"/>
        <w:spacing w:after="0" w:line="245"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76" w:lineRule="exact"/>
        <w:rPr>
          <w:rFonts w:ascii="Arial" w:cs="Arial" w:eastAsia="Arial" w:hAnsi="Arial"/>
          <w:sz w:val="17"/>
          <w:szCs w:val="17"/>
          <w:color w:val="auto"/>
        </w:rPr>
      </w:pPr>
    </w:p>
    <w:p>
      <w:pPr>
        <w:ind w:left="1020" w:right="120" w:hanging="503"/>
        <w:spacing w:after="0" w:line="258"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transition of our manufacturing operations to a third-party contract manufacturer may result in further delays or expenses, and we may not experience the anticipated operating efficiencies.</w:t>
      </w:r>
    </w:p>
    <w:p>
      <w:pPr>
        <w:spacing w:after="0" w:line="65" w:lineRule="exact"/>
        <w:rPr>
          <w:rFonts w:ascii="Arial" w:cs="Arial" w:eastAsia="Arial" w:hAnsi="Arial"/>
          <w:sz w:val="17"/>
          <w:szCs w:val="17"/>
          <w:color w:val="auto"/>
        </w:rPr>
      </w:pPr>
    </w:p>
    <w:p>
      <w:pPr>
        <w:ind w:left="1020" w:right="140" w:hanging="503"/>
        <w:spacing w:after="0" w:line="245"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 w:name="page5"/>
    <w:bookmarkEnd w:id="4"/>
    <w:p>
      <w:pPr>
        <w:spacing w:after="0" w:line="258" w:lineRule="auto"/>
        <w:rPr>
          <w:sz w:val="20"/>
          <w:szCs w:val="20"/>
          <w:color w:val="auto"/>
        </w:rPr>
      </w:pPr>
      <w:r>
        <w:rPr>
          <w:rFonts w:ascii="Arial" w:cs="Arial" w:eastAsia="Arial" w:hAnsi="Arial"/>
          <w:sz w:val="17"/>
          <w:szCs w:val="17"/>
          <w:color w:val="auto"/>
        </w:rPr>
        <w:t>to our business relationships with our current or any future licensors, we could lose intellectual property rights that are important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177800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340" w:top="472" w:right="43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NOTE REGARDING COMPANY REFERENCES</w:t>
      </w:r>
    </w:p>
    <w:p>
      <w:pPr>
        <w:spacing w:after="0" w:line="203"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Unless the context otherwise requires, the terms “Candel Therapeutics,” “the Company,” “we,” “us,” and “our” in this Form 10-Q refer to Candel Therapeutics, Inc. and its consolidated subsidiary.</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 REGARDING TRADEMARKS</w:t>
      </w:r>
    </w:p>
    <w:p>
      <w:pPr>
        <w:spacing w:after="0" w:line="21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own or have rights to various trademarks, service marks and trade names that are used in connection with the operation of our business, including our company name, Candel Therapeutics, our logo, and the names of our CAN-2409™ and CAN-3110™ product candidates. This Form 10-Q may also contain trademarks, service marks and trade names of third parties, which are the property of their respective owners. Our use or display of third parties’ trademarks, service marks, trade names or products in this Form 10-Q is not intended to and does not imply a relationship with, or endorsement or sponsorship by, us. Solely for convenience, the trademarks, service marks and trade names referred to in this Form 10-Q may appear without the ®, TM or SM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1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19" w:right="4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2"/>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22"/>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17"/>
                <w:szCs w:val="17"/>
                <w:color w:val="auto"/>
              </w:rPr>
            </w:pPr>
          </w:p>
        </w:tc>
        <w:tc>
          <w:tcPr>
            <w:tcW w:w="660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17"/>
                <w:szCs w:val="17"/>
                <w:color w:val="auto"/>
              </w:rPr>
            </w:pPr>
          </w:p>
        </w:tc>
        <w:tc>
          <w:tcPr>
            <w:tcW w:w="594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2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9"/>
              </w:rPr>
              <w:t>Condensed Consolidated Statements of Operations</w:t>
            </w:r>
          </w:p>
        </w:tc>
        <w:tc>
          <w:tcPr>
            <w:tcW w:w="20" w:type="dxa"/>
            <w:vAlign w:val="bottom"/>
            <w:tcBorders>
              <w:bottom w:val="single" w:sz="8" w:color="0000EE"/>
            </w:tcBorders>
          </w:tcPr>
          <w:p>
            <w:pPr>
              <w:spacing w:after="0"/>
              <w:rPr>
                <w:sz w:val="17"/>
                <w:szCs w:val="17"/>
                <w:color w:val="auto"/>
              </w:rPr>
            </w:pPr>
          </w:p>
        </w:tc>
        <w:tc>
          <w:tcPr>
            <w:tcW w:w="516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80" w:type="dxa"/>
            <w:vAlign w:val="bottom"/>
            <w:tcBorders>
              <w:bottom w:val="single" w:sz="8" w:color="0000FF"/>
            </w:tcBorders>
            <w:gridSpan w:val="19"/>
          </w:tcPr>
          <w:p>
            <w:pPr>
              <w:spacing w:after="0" w:line="196" w:lineRule="exact"/>
              <w:rPr>
                <w:sz w:val="20"/>
                <w:szCs w:val="20"/>
                <w:color w:val="auto"/>
              </w:rPr>
            </w:pPr>
            <w:r>
              <w:rPr>
                <w:rFonts w:ascii="Arial" w:cs="Arial" w:eastAsia="Arial" w:hAnsi="Arial"/>
                <w:sz w:val="18"/>
                <w:szCs w:val="18"/>
                <w:color w:val="0000FF"/>
                <w:w w:val="99"/>
              </w:rPr>
              <w:t>Condensed Consolidated Statements of Stockholders’ Equity</w:t>
            </w:r>
          </w:p>
        </w:tc>
        <w:tc>
          <w:tcPr>
            <w:tcW w:w="44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8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bottom w:val="single" w:sz="8" w:color="0000EE"/>
            </w:tcBorders>
          </w:tcPr>
          <w:p>
            <w:pPr>
              <w:spacing w:after="0"/>
              <w:rPr>
                <w:sz w:val="17"/>
                <w:szCs w:val="17"/>
                <w:color w:val="auto"/>
              </w:rPr>
            </w:pPr>
          </w:p>
        </w:tc>
        <w:tc>
          <w:tcPr>
            <w:tcW w:w="510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Arial" w:cs="Arial" w:eastAsia="Arial" w:hAnsi="Arial"/>
                <w:sz w:val="18"/>
                <w:szCs w:val="18"/>
                <w:color w:val="0000FF"/>
              </w:rPr>
              <w:t>Notes to Condensed Consolidated Financial Statements (Unaudited)</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9"/>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22"/>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7"/>
          </w:tcPr>
          <w:p>
            <w:pPr>
              <w:spacing w:after="0" w:line="196"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4"/>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9"/>
              </w:rPr>
              <w:t>Controls and Procedures</w:t>
            </w:r>
          </w:p>
        </w:tc>
        <w:tc>
          <w:tcPr>
            <w:tcW w:w="730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8"/>
              </w:rPr>
              <w:t>OTHER INFORMATION</w:t>
            </w:r>
          </w:p>
        </w:tc>
        <w:tc>
          <w:tcPr>
            <w:tcW w:w="736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9"/>
              </w:rPr>
              <w:t>Legal Proceedings</w:t>
            </w:r>
          </w:p>
        </w:tc>
        <w:tc>
          <w:tcPr>
            <w:tcW w:w="780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300" w:type="dxa"/>
            <w:vAlign w:val="bottom"/>
            <w:gridSpan w:val="22"/>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10"/>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8"/>
          </w:tcPr>
          <w:p>
            <w:pPr>
              <w:spacing w:after="0" w:line="196"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4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9"/>
              </w:rPr>
              <w:t>Defaults Upon Senior Securities</w:t>
            </w:r>
          </w:p>
        </w:tc>
        <w:tc>
          <w:tcPr>
            <w:tcW w:w="674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9"/>
              </w:rPr>
              <w:t>Mine Safety Disclosures</w:t>
            </w:r>
          </w:p>
        </w:tc>
        <w:tc>
          <w:tcPr>
            <w:tcW w:w="736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300" w:type="dxa"/>
            <w:vAlign w:val="bottom"/>
            <w:gridSpan w:val="22"/>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rPr>
              <w:t>Exhibits</w:t>
            </w:r>
          </w:p>
        </w:tc>
        <w:tc>
          <w:tcPr>
            <w:tcW w:w="790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8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192"/>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7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172"/>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631"/>
              <w:spacing w:after="0"/>
              <w:rPr>
                <w:sz w:val="20"/>
                <w:szCs w:val="20"/>
                <w:color w:val="auto"/>
              </w:rPr>
            </w:pPr>
            <w:r>
              <w:rPr>
                <w:rFonts w:ascii="Arial" w:cs="Arial" w:eastAsia="Arial" w:hAnsi="Arial"/>
                <w:sz w:val="14"/>
                <w:szCs w:val="14"/>
                <w:b w:val="1"/>
                <w:bCs w:val="1"/>
                <w:color w:val="auto"/>
              </w:rPr>
              <w:t>2022</w:t>
            </w:r>
          </w:p>
        </w:tc>
      </w:tr>
      <w:tr>
        <w:trPr>
          <w:trHeight w:val="189"/>
        </w:trPr>
        <w:tc>
          <w:tcPr>
            <w:tcW w:w="7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42,983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70,058</w:t>
            </w:r>
          </w:p>
        </w:tc>
      </w:tr>
      <w:tr>
        <w:trPr>
          <w:trHeight w:val="229"/>
        </w:trPr>
        <w:tc>
          <w:tcPr>
            <w:tcW w:w="776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2,118</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1,887</w:t>
            </w:r>
          </w:p>
        </w:tc>
      </w:tr>
      <w:tr>
        <w:trPr>
          <w:trHeight w:val="223"/>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45,101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71,945</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Fixed assets, net</w:t>
            </w:r>
          </w:p>
        </w:tc>
        <w:tc>
          <w:tcPr>
            <w:tcW w:w="1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3,676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4,424</w:t>
            </w:r>
          </w:p>
        </w:tc>
      </w:tr>
      <w:tr>
        <w:trPr>
          <w:trHeight w:val="230"/>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Lease right of use assets</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1,056</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266</w:t>
            </w:r>
          </w:p>
        </w:tc>
      </w:tr>
      <w:tr>
        <w:trPr>
          <w:trHeight w:val="229"/>
        </w:trPr>
        <w:tc>
          <w:tcPr>
            <w:tcW w:w="77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139</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Pr>
          <w:p>
            <w:pPr>
              <w:ind w:left="7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50,061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77,691</w:t>
            </w:r>
          </w:p>
        </w:tc>
      </w:tr>
      <w:tr>
        <w:trPr>
          <w:trHeight w:val="20"/>
        </w:trPr>
        <w:tc>
          <w:tcPr>
            <w:tcW w:w="7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380</w:t>
            </w:r>
          </w:p>
        </w:tc>
      </w:tr>
      <w:tr>
        <w:trPr>
          <w:trHeight w:val="229"/>
        </w:trPr>
        <w:tc>
          <w:tcPr>
            <w:tcW w:w="776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3,429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4,723</w:t>
            </w:r>
          </w:p>
        </w:tc>
      </w:tr>
      <w:tr>
        <w:trPr>
          <w:trHeight w:val="229"/>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Current portion of term loan payable to a bank</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6,100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Current portion of lease liability</w:t>
            </w:r>
          </w:p>
        </w:tc>
        <w:tc>
          <w:tcPr>
            <w:tcW w:w="1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464</w:t>
            </w:r>
          </w:p>
        </w:tc>
      </w:tr>
      <w:tr>
        <w:trPr>
          <w:trHeight w:val="229"/>
        </w:trPr>
        <w:tc>
          <w:tcPr>
            <w:tcW w:w="77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48</w:t>
            </w:r>
          </w:p>
        </w:tc>
      </w:tr>
      <w:tr>
        <w:trPr>
          <w:trHeight w:val="223"/>
        </w:trPr>
        <w:tc>
          <w:tcPr>
            <w:tcW w:w="7760" w:type="dxa"/>
            <w:vAlign w:val="bottom"/>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10,327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5,615</w:t>
            </w:r>
          </w:p>
        </w:tc>
      </w:tr>
      <w:tr>
        <w:trPr>
          <w:trHeight w:val="230"/>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144</w:t>
            </w: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Term loan payable to a bank</w:t>
            </w:r>
          </w:p>
        </w:tc>
        <w:tc>
          <w:tcPr>
            <w:tcW w:w="1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14,339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20,202</w:t>
            </w:r>
          </w:p>
        </w:tc>
      </w:tr>
      <w:tr>
        <w:trPr>
          <w:trHeight w:val="230"/>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long-term debt</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648</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Lease liability, net of current portion</w:t>
            </w:r>
          </w:p>
        </w:tc>
        <w:tc>
          <w:tcPr>
            <w:tcW w:w="1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1,107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1,486</w:t>
            </w:r>
          </w:p>
        </w:tc>
      </w:tr>
      <w:tr>
        <w:trPr>
          <w:trHeight w:val="230"/>
        </w:trPr>
        <w:tc>
          <w:tcPr>
            <w:tcW w:w="77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Warrant liability</w:t>
            </w: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433</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1,882</w:t>
            </w:r>
          </w:p>
        </w:tc>
      </w:tr>
      <w:tr>
        <w:trPr>
          <w:trHeight w:val="223"/>
        </w:trPr>
        <w:tc>
          <w:tcPr>
            <w:tcW w:w="7760" w:type="dxa"/>
            <w:vAlign w:val="bottom"/>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27,039</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29,977</w:t>
            </w:r>
          </w:p>
        </w:tc>
      </w:tr>
      <w:tr>
        <w:trPr>
          <w:trHeight w:val="223"/>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Commitments and contingencies (Note 15)</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3"/>
        </w:trPr>
        <w:tc>
          <w:tcPr>
            <w:tcW w:w="776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Preferred stock, $0.01 par value; 10,000,000 shares authorized at September 30, 2023</w:t>
            </w: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7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and December 31, 2022; no shares issued or outstanding at September 30, 2023 and</w:t>
            </w: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29"/>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December 31, 2022, respectively.</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03"/>
        </w:trPr>
        <w:tc>
          <w:tcPr>
            <w:tcW w:w="7760" w:type="dxa"/>
            <w:vAlign w:val="bottom"/>
          </w:tcPr>
          <w:p>
            <w:pPr>
              <w:ind w:left="520"/>
              <w:spacing w:after="0" w:line="203" w:lineRule="exact"/>
              <w:rPr>
                <w:sz w:val="20"/>
                <w:szCs w:val="20"/>
                <w:color w:val="auto"/>
              </w:rPr>
            </w:pPr>
            <w:r>
              <w:rPr>
                <w:rFonts w:ascii="Arial" w:cs="Arial" w:eastAsia="Arial" w:hAnsi="Arial"/>
                <w:sz w:val="18"/>
                <w:szCs w:val="18"/>
                <w:color w:val="auto"/>
              </w:rPr>
              <w:t>Common stock, $0.01 par value; 150,000,000 shares authorized at September 30, 2023</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7760" w:type="dxa"/>
            <w:vAlign w:val="bottom"/>
          </w:tcPr>
          <w:p>
            <w:pPr>
              <w:ind w:left="520"/>
              <w:spacing w:after="0" w:line="202" w:lineRule="exact"/>
              <w:rPr>
                <w:sz w:val="20"/>
                <w:szCs w:val="20"/>
                <w:color w:val="auto"/>
              </w:rPr>
            </w:pPr>
            <w:r>
              <w:rPr>
                <w:rFonts w:ascii="Arial" w:cs="Arial" w:eastAsia="Arial" w:hAnsi="Arial"/>
                <w:sz w:val="18"/>
                <w:szCs w:val="18"/>
                <w:color w:val="auto"/>
              </w:rPr>
              <w:t>and December 31, 2022; 29,042,418 shares issued at September 30, 2023 and</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60" w:type="dxa"/>
            <w:vAlign w:val="bottom"/>
          </w:tcPr>
          <w:p>
            <w:pPr>
              <w:ind w:left="520"/>
              <w:spacing w:after="0" w:line="202" w:lineRule="exact"/>
              <w:rPr>
                <w:sz w:val="20"/>
                <w:szCs w:val="20"/>
                <w:color w:val="auto"/>
              </w:rPr>
            </w:pPr>
            <w:r>
              <w:rPr>
                <w:rFonts w:ascii="Arial" w:cs="Arial" w:eastAsia="Arial" w:hAnsi="Arial"/>
                <w:sz w:val="18"/>
                <w:szCs w:val="18"/>
                <w:color w:val="auto"/>
              </w:rPr>
              <w:t>December 31, 2022; 28,919,810 shares outstanding at September 30, 2023 and</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9"/>
        </w:trPr>
        <w:tc>
          <w:tcPr>
            <w:tcW w:w="7760" w:type="dxa"/>
            <w:vAlign w:val="bottom"/>
          </w:tcPr>
          <w:p>
            <w:pPr>
              <w:ind w:left="520"/>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290</w:t>
            </w:r>
          </w:p>
        </w:tc>
      </w:tr>
      <w:tr>
        <w:trPr>
          <w:trHeight w:val="229"/>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Treasury stock (at cost)</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(448 )</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(448 )</w:t>
            </w: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149,113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146,961</w:t>
            </w:r>
          </w:p>
        </w:tc>
      </w:tr>
      <w:tr>
        <w:trPr>
          <w:trHeight w:val="230"/>
        </w:trPr>
        <w:tc>
          <w:tcPr>
            <w:tcW w:w="77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(125,933 )</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(99,089 )</w:t>
            </w:r>
          </w:p>
        </w:tc>
      </w:tr>
      <w:tr>
        <w:trPr>
          <w:trHeight w:val="223"/>
        </w:trPr>
        <w:tc>
          <w:tcPr>
            <w:tcW w:w="7760" w:type="dxa"/>
            <w:vAlign w:val="bottom"/>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23,022</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47,714</w:t>
            </w:r>
          </w:p>
        </w:tc>
      </w:tr>
      <w:tr>
        <w:trPr>
          <w:trHeight w:val="263"/>
        </w:trPr>
        <w:tc>
          <w:tcPr>
            <w:tcW w:w="77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50,061</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77,691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-4242435</wp:posOffset>
            </wp:positionV>
            <wp:extent cx="111125"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-3042285</wp:posOffset>
            </wp:positionV>
            <wp:extent cx="11112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-2159635</wp:posOffset>
            </wp:positionV>
            <wp:extent cx="11112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-333375</wp:posOffset>
            </wp:positionV>
            <wp:extent cx="11112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w:t>
            </w:r>
          </w:p>
        </w:tc>
      </w:tr>
      <w:tr>
        <w:trPr>
          <w:trHeight w:val="221"/>
        </w:trPr>
        <w:tc>
          <w:tcPr>
            <w:tcW w:w="5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5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Research and development service revenue, related party</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w:t>
            </w:r>
          </w:p>
        </w:tc>
        <w:tc>
          <w:tcPr>
            <w:tcW w:w="3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w:t>
            </w:r>
          </w:p>
        </w:tc>
      </w:tr>
      <w:tr>
        <w:trPr>
          <w:trHeight w:val="210"/>
        </w:trPr>
        <w:tc>
          <w:tcPr>
            <w:tcW w:w="584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5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5,845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5,376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17,248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15,815</w:t>
            </w:r>
          </w:p>
        </w:tc>
      </w:tr>
      <w:tr>
        <w:trPr>
          <w:trHeight w:val="213"/>
        </w:trPr>
        <w:tc>
          <w:tcPr>
            <w:tcW w:w="584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3,016</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3,536</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10,825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10,900</w:t>
            </w:r>
          </w:p>
        </w:tc>
      </w:tr>
      <w:tr>
        <w:trPr>
          <w:trHeight w:val="212"/>
        </w:trPr>
        <w:tc>
          <w:tcPr>
            <w:tcW w:w="584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6"/>
                <w:szCs w:val="16"/>
                <w:b w:val="1"/>
                <w:bCs w:val="1"/>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8,861</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8,912</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28,073</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26,715</w:t>
            </w:r>
          </w:p>
        </w:tc>
      </w:tr>
      <w:tr>
        <w:trPr>
          <w:trHeight w:val="210"/>
        </w:trPr>
        <w:tc>
          <w:tcPr>
            <w:tcW w:w="5840" w:type="dxa"/>
            <w:vAlign w:val="bottom"/>
          </w:tcPr>
          <w:p>
            <w:pPr>
              <w:ind w:left="780"/>
              <w:spacing w:after="0"/>
              <w:rPr>
                <w:sz w:val="20"/>
                <w:szCs w:val="20"/>
                <w:color w:val="auto"/>
              </w:rPr>
            </w:pPr>
            <w:r>
              <w:rPr>
                <w:rFonts w:ascii="Arial" w:cs="Arial" w:eastAsia="Arial" w:hAnsi="Arial"/>
                <w:sz w:val="16"/>
                <w:szCs w:val="16"/>
                <w:b w:val="1"/>
                <w:bCs w:val="1"/>
                <w:color w:val="auto"/>
              </w:rPr>
              <w:t>Loss from operations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(8,861 )</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(8,881 )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(28,073 )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(26,621 )</w:t>
            </w: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3"/>
        </w:trPr>
        <w:tc>
          <w:tcPr>
            <w:tcW w:w="5840" w:type="dxa"/>
            <w:vAlign w:val="bottom"/>
          </w:tcPr>
          <w:p>
            <w:pPr>
              <w:ind w:left="280"/>
              <w:spacing w:after="0"/>
              <w:rPr>
                <w:sz w:val="20"/>
                <w:szCs w:val="20"/>
                <w:color w:val="auto"/>
              </w:rPr>
            </w:pPr>
            <w:r>
              <w:rPr>
                <w:rFonts w:ascii="Arial" w:cs="Arial" w:eastAsia="Arial" w:hAnsi="Arial"/>
                <w:sz w:val="16"/>
                <w:szCs w:val="16"/>
                <w:color w:val="auto"/>
              </w:rPr>
              <w:t>Grant income</w:t>
            </w:r>
          </w:p>
        </w:tc>
        <w:tc>
          <w:tcPr>
            <w:tcW w:w="2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58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1,666</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414</w:t>
            </w:r>
          </w:p>
        </w:tc>
      </w:tr>
      <w:tr>
        <w:trPr>
          <w:trHeight w:val="213"/>
        </w:trPr>
        <w:tc>
          <w:tcPr>
            <w:tcW w:w="58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(669 )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(519 )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(1,922 )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(1,130 )</w:t>
            </w:r>
          </w:p>
        </w:tc>
      </w:tr>
      <w:tr>
        <w:trPr>
          <w:trHeight w:val="216"/>
        </w:trPr>
        <w:tc>
          <w:tcPr>
            <w:tcW w:w="5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Change in fair value of warrant liability</w:t>
            </w: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581</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369</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1,449</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13,626</w:t>
            </w:r>
          </w:p>
        </w:tc>
      </w:tr>
      <w:tr>
        <w:trPr>
          <w:trHeight w:val="212"/>
        </w:trPr>
        <w:tc>
          <w:tcPr>
            <w:tcW w:w="5840" w:type="dxa"/>
            <w:vAlign w:val="bottom"/>
          </w:tcPr>
          <w:p>
            <w:pPr>
              <w:ind w:left="780"/>
              <w:spacing w:after="0"/>
              <w:rPr>
                <w:sz w:val="20"/>
                <w:szCs w:val="20"/>
                <w:color w:val="auto"/>
              </w:rPr>
            </w:pPr>
            <w:r>
              <w:rPr>
                <w:rFonts w:ascii="Arial" w:cs="Arial" w:eastAsia="Arial" w:hAnsi="Arial"/>
                <w:sz w:val="16"/>
                <w:szCs w:val="16"/>
                <w:b w:val="1"/>
                <w:bCs w:val="1"/>
                <w:color w:val="auto"/>
              </w:rPr>
              <w:t>Total other income (expense), net</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426</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1,229</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12,910</w:t>
            </w:r>
          </w:p>
        </w:tc>
      </w:tr>
      <w:tr>
        <w:trPr>
          <w:trHeight w:val="250"/>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loss and comprehensive loss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(8,435 )</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(8,688 )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(26,844 )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(13,711 )</w:t>
            </w:r>
          </w:p>
        </w:tc>
      </w:tr>
      <w:tr>
        <w:trPr>
          <w:trHeight w:val="196"/>
        </w:trPr>
        <w:tc>
          <w:tcPr>
            <w:tcW w:w="5840" w:type="dxa"/>
            <w:vAlign w:val="bottom"/>
          </w:tcPr>
          <w:p>
            <w:pPr>
              <w:ind w:left="20"/>
              <w:spacing w:after="0"/>
              <w:rPr>
                <w:sz w:val="20"/>
                <w:szCs w:val="20"/>
                <w:color w:val="auto"/>
              </w:rPr>
            </w:pPr>
            <w:r>
              <w:rPr>
                <w:rFonts w:ascii="Arial" w:cs="Arial" w:eastAsia="Arial" w:hAnsi="Arial"/>
                <w:sz w:val="16"/>
                <w:szCs w:val="16"/>
                <w:b w:val="1"/>
                <w:bCs w:val="1"/>
                <w:color w:val="auto"/>
              </w:rPr>
              <w:t>Net loss per share, basic and 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(0.29 )</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(0.30 )</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(0.93 )</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(0.48 )</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Weighted-average common shares outstanding,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28,919,810</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28,891,909</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28,919,810</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28,798,284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-2048510</wp:posOffset>
            </wp:positionV>
            <wp:extent cx="8572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-2048510</wp:posOffset>
            </wp:positionV>
            <wp:extent cx="8572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-2048510</wp:posOffset>
            </wp:positionV>
            <wp:extent cx="8572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-1482725</wp:posOffset>
            </wp:positionV>
            <wp:extent cx="8572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-1482725</wp:posOffset>
            </wp:positionV>
            <wp:extent cx="8572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-1482725</wp:posOffset>
            </wp:positionV>
            <wp:extent cx="8572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-642620</wp:posOffset>
            </wp:positionV>
            <wp:extent cx="8572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-642620</wp:posOffset>
            </wp:positionV>
            <wp:extent cx="8572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-642620</wp:posOffset>
            </wp:positionV>
            <wp:extent cx="8572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-350520</wp:posOffset>
            </wp:positionV>
            <wp:extent cx="183451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4515" cy="1885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620" w:type="dxa"/>
            <w:vAlign w:val="bottom"/>
          </w:tcPr>
          <w:p>
            <w:pPr>
              <w:spacing w:after="0"/>
              <w:rPr>
                <w:sz w:val="10"/>
                <w:szCs w:val="10"/>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80" w:type="dxa"/>
            <w:vAlign w:val="bottom"/>
            <w:gridSpan w:val="3"/>
            <w:vMerge w:val="restart"/>
          </w:tcPr>
          <w:p>
            <w:pPr>
              <w:jc w:val="right"/>
              <w:ind w:right="346"/>
              <w:spacing w:after="0"/>
              <w:rPr>
                <w:sz w:val="20"/>
                <w:szCs w:val="20"/>
                <w:color w:val="auto"/>
              </w:rPr>
            </w:pPr>
            <w:r>
              <w:rPr>
                <w:rFonts w:ascii="Arial" w:cs="Arial" w:eastAsia="Arial" w:hAnsi="Arial"/>
                <w:sz w:val="10"/>
                <w:szCs w:val="10"/>
                <w:b w:val="1"/>
                <w:bCs w:val="1"/>
                <w:color w:val="auto"/>
              </w:rPr>
              <w:t>TREASURY STOCK</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85"/>
              <w:spacing w:after="0"/>
              <w:rPr>
                <w:sz w:val="20"/>
                <w:szCs w:val="20"/>
                <w:color w:val="auto"/>
              </w:rPr>
            </w:pPr>
            <w:r>
              <w:rPr>
                <w:rFonts w:ascii="Arial" w:cs="Arial" w:eastAsia="Arial" w:hAnsi="Arial"/>
                <w:sz w:val="10"/>
                <w:szCs w:val="10"/>
                <w:b w:val="1"/>
                <w:bCs w:val="1"/>
                <w:color w:val="auto"/>
                <w:w w:val="97"/>
              </w:rPr>
              <w:t>ADDITIONAL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1560" w:type="dxa"/>
            <w:vAlign w:val="bottom"/>
            <w:tcBorders>
              <w:bottom w:val="single" w:sz="8" w:color="auto"/>
            </w:tcBorders>
            <w:gridSpan w:val="3"/>
            <w:vMerge w:val="continue"/>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Borders>
              <w:bottom w:val="single" w:sz="8" w:color="auto"/>
            </w:tcBorders>
            <w:gridSpan w:val="3"/>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185"/>
              <w:spacing w:after="0"/>
              <w:rPr>
                <w:sz w:val="20"/>
                <w:szCs w:val="20"/>
                <w:color w:val="auto"/>
              </w:rPr>
            </w:pPr>
            <w:r>
              <w:rPr>
                <w:rFonts w:ascii="Arial" w:cs="Arial" w:eastAsia="Arial" w:hAnsi="Arial"/>
                <w:sz w:val="10"/>
                <w:szCs w:val="10"/>
                <w:b w:val="1"/>
                <w:bCs w:val="1"/>
                <w:color w:val="auto"/>
                <w:w w:val="96"/>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144"/>
              <w:spacing w:after="0"/>
              <w:rPr>
                <w:sz w:val="20"/>
                <w:szCs w:val="20"/>
                <w:color w:val="auto"/>
              </w:rPr>
            </w:pPr>
            <w:r>
              <w:rPr>
                <w:rFonts w:ascii="Arial" w:cs="Arial" w:eastAsia="Arial" w:hAnsi="Arial"/>
                <w:sz w:val="10"/>
                <w:szCs w:val="10"/>
                <w:b w:val="1"/>
                <w:bCs w:val="1"/>
                <w:color w:val="auto"/>
                <w:w w:val="97"/>
              </w:rPr>
              <w:t>ACCUMULATED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44"/>
              <w:spacing w:after="0"/>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118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12"/>
                <w:szCs w:val="12"/>
                <w:color w:val="auto"/>
              </w:rPr>
            </w:pPr>
          </w:p>
        </w:tc>
        <w:tc>
          <w:tcPr>
            <w:tcW w:w="1140" w:type="dxa"/>
            <w:vAlign w:val="bottom"/>
            <w:tcBorders>
              <w:bottom w:val="single" w:sz="8" w:color="auto"/>
            </w:tcBorders>
          </w:tcPr>
          <w:p>
            <w:pPr>
              <w:jc w:val="right"/>
              <w:ind w:right="365"/>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65"/>
              <w:spacing w:after="0"/>
              <w:rPr>
                <w:sz w:val="20"/>
                <w:szCs w:val="20"/>
                <w:color w:val="auto"/>
              </w:rPr>
            </w:pPr>
            <w:r>
              <w:rPr>
                <w:rFonts w:ascii="Arial" w:cs="Arial" w:eastAsia="Arial" w:hAnsi="Arial"/>
                <w:sz w:val="10"/>
                <w:szCs w:val="10"/>
                <w:b w:val="1"/>
                <w:bCs w:val="1"/>
                <w:color w:val="auto"/>
                <w:w w:val="96"/>
              </w:rPr>
              <w:t>CAPITAL</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64"/>
              <w:spacing w:after="0"/>
              <w:rPr>
                <w:sz w:val="20"/>
                <w:szCs w:val="20"/>
                <w:color w:val="auto"/>
              </w:rPr>
            </w:pPr>
            <w:r>
              <w:rPr>
                <w:rFonts w:ascii="Arial" w:cs="Arial" w:eastAsia="Arial" w:hAnsi="Arial"/>
                <w:sz w:val="10"/>
                <w:szCs w:val="10"/>
                <w:b w:val="1"/>
                <w:bCs w:val="1"/>
                <w:color w:val="auto"/>
                <w:w w:val="97"/>
              </w:rPr>
              <w:t>DEFICIT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58"/>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b w:val="1"/>
                <w:bCs w:val="1"/>
                <w:color w:val="auto"/>
              </w:rPr>
              <w:t>Balance, December 31, 2022</w:t>
            </w:r>
          </w:p>
        </w:tc>
        <w:tc>
          <w:tcPr>
            <w:tcW w:w="1180" w:type="dxa"/>
            <w:vAlign w:val="bottom"/>
            <w:shd w:val="clear" w:color="auto" w:fill="CFF0FC"/>
          </w:tcPr>
          <w:p>
            <w:pPr>
              <w:jc w:val="right"/>
              <w:ind w:right="84"/>
              <w:spacing w:after="0"/>
              <w:rPr>
                <w:sz w:val="20"/>
                <w:szCs w:val="20"/>
                <w:color w:val="auto"/>
              </w:rPr>
            </w:pPr>
            <w:r>
              <w:rPr>
                <w:rFonts w:ascii="Arial" w:cs="Arial" w:eastAsia="Arial" w:hAnsi="Arial"/>
                <w:sz w:val="12"/>
                <w:szCs w:val="12"/>
                <w:color w:val="auto"/>
              </w:rPr>
              <w:t>29,042,418</w:t>
            </w:r>
          </w:p>
        </w:tc>
        <w:tc>
          <w:tcPr>
            <w:tcW w:w="380" w:type="dxa"/>
            <w:vAlign w:val="bottom"/>
            <w:gridSpan w:val="2"/>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290</w:t>
            </w:r>
          </w:p>
        </w:tc>
        <w:tc>
          <w:tcPr>
            <w:tcW w:w="1280" w:type="dxa"/>
            <w:vAlign w:val="bottom"/>
            <w:gridSpan w:val="2"/>
            <w:shd w:val="clear" w:color="auto" w:fill="CFF0FC"/>
          </w:tcPr>
          <w:p>
            <w:pPr>
              <w:jc w:val="right"/>
              <w:ind w:right="5"/>
              <w:spacing w:after="0"/>
              <w:rPr>
                <w:sz w:val="20"/>
                <w:szCs w:val="20"/>
                <w:color w:val="auto"/>
              </w:rPr>
            </w:pPr>
            <w:r>
              <w:rPr>
                <w:rFonts w:ascii="Arial" w:cs="Arial" w:eastAsia="Arial" w:hAnsi="Arial"/>
                <w:sz w:val="12"/>
                <w:szCs w:val="12"/>
                <w:color w:val="auto"/>
              </w:rPr>
              <w:t>(122,608 )</w:t>
            </w:r>
          </w:p>
        </w:tc>
        <w:tc>
          <w:tcPr>
            <w:tcW w:w="840" w:type="dxa"/>
            <w:vAlign w:val="bottom"/>
            <w:gridSpan w:val="2"/>
            <w:shd w:val="clear" w:color="auto" w:fill="CFF0FC"/>
          </w:tcPr>
          <w:p>
            <w:pPr>
              <w:jc w:val="right"/>
              <w:ind w:right="606"/>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w w:val="95"/>
              </w:rPr>
              <w:t>(448 )</w:t>
            </w:r>
          </w:p>
        </w:tc>
        <w:tc>
          <w:tcPr>
            <w:tcW w:w="240" w:type="dxa"/>
            <w:vAlign w:val="bottom"/>
            <w:gridSpan w:val="2"/>
            <w:shd w:val="clear" w:color="auto" w:fill="CFF0FC"/>
          </w:tcPr>
          <w:p>
            <w:pPr>
              <w:jc w:val="right"/>
              <w:ind w:right="2"/>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65"/>
              <w:spacing w:after="0"/>
              <w:rPr>
                <w:sz w:val="20"/>
                <w:szCs w:val="20"/>
                <w:color w:val="auto"/>
              </w:rPr>
            </w:pPr>
            <w:r>
              <w:rPr>
                <w:rFonts w:ascii="Arial" w:cs="Arial" w:eastAsia="Arial" w:hAnsi="Arial"/>
                <w:sz w:val="12"/>
                <w:szCs w:val="12"/>
                <w:color w:val="auto"/>
              </w:rPr>
              <w:t>146,961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(99,089 )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47,714</w:t>
            </w:r>
          </w:p>
        </w:tc>
        <w:tc>
          <w:tcPr>
            <w:tcW w:w="0" w:type="dxa"/>
            <w:vAlign w:val="bottom"/>
          </w:tcPr>
          <w:p>
            <w:pPr>
              <w:spacing w:after="0"/>
              <w:rPr>
                <w:sz w:val="1"/>
                <w:szCs w:val="1"/>
                <w:color w:val="auto"/>
              </w:rPr>
            </w:pPr>
          </w:p>
        </w:tc>
      </w:tr>
      <w:tr>
        <w:trPr>
          <w:trHeight w:val="159"/>
        </w:trPr>
        <w:tc>
          <w:tcPr>
            <w:tcW w:w="262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18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40" w:type="dxa"/>
            <w:vAlign w:val="bottom"/>
          </w:tcPr>
          <w:p>
            <w:pPr>
              <w:jc w:val="right"/>
              <w:ind w:right="65"/>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65"/>
              <w:spacing w:after="0"/>
              <w:rPr>
                <w:sz w:val="20"/>
                <w:szCs w:val="20"/>
                <w:color w:val="auto"/>
              </w:rPr>
            </w:pPr>
            <w:r>
              <w:rPr>
                <w:rFonts w:ascii="Arial" w:cs="Arial" w:eastAsia="Arial" w:hAnsi="Arial"/>
                <w:sz w:val="12"/>
                <w:szCs w:val="12"/>
                <w:color w:val="auto"/>
              </w:rPr>
              <w:t>2,278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2,278</w:t>
            </w:r>
          </w:p>
        </w:tc>
        <w:tc>
          <w:tcPr>
            <w:tcW w:w="0" w:type="dxa"/>
            <w:vAlign w:val="bottom"/>
          </w:tcPr>
          <w:p>
            <w:pPr>
              <w:spacing w:after="0"/>
              <w:rPr>
                <w:sz w:val="1"/>
                <w:szCs w:val="1"/>
                <w:color w:val="auto"/>
              </w:rPr>
            </w:pPr>
          </w:p>
        </w:tc>
      </w:tr>
      <w:tr>
        <w:trPr>
          <w:trHeight w:val="146"/>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Change in fair value of</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20" w:type="dxa"/>
            <w:vAlign w:val="bottom"/>
            <w:shd w:val="clear" w:color="auto" w:fill="CFF0FC"/>
          </w:tcPr>
          <w:p>
            <w:pPr>
              <w:ind w:left="120"/>
              <w:spacing w:after="0"/>
              <w:rPr>
                <w:sz w:val="20"/>
                <w:szCs w:val="20"/>
                <w:color w:val="auto"/>
              </w:rPr>
            </w:pPr>
            <w:r>
              <w:rPr>
                <w:rFonts w:ascii="Arial" w:cs="Arial" w:eastAsia="Arial" w:hAnsi="Arial"/>
                <w:sz w:val="12"/>
                <w:szCs w:val="12"/>
                <w:color w:val="auto"/>
              </w:rPr>
              <w:t>NC Ohio Trust Warrants</w:t>
            </w:r>
          </w:p>
        </w:tc>
        <w:tc>
          <w:tcPr>
            <w:tcW w:w="1180" w:type="dxa"/>
            <w:vAlign w:val="bottom"/>
            <w:shd w:val="clear" w:color="auto" w:fill="CFF0FC"/>
          </w:tcPr>
          <w:p>
            <w:pPr>
              <w:jc w:val="right"/>
              <w:ind w:right="84"/>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65"/>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(126 )</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(126 )</w:t>
            </w:r>
          </w:p>
        </w:tc>
        <w:tc>
          <w:tcPr>
            <w:tcW w:w="0" w:type="dxa"/>
            <w:vAlign w:val="bottom"/>
          </w:tcPr>
          <w:p>
            <w:pPr>
              <w:spacing w:after="0"/>
              <w:rPr>
                <w:sz w:val="1"/>
                <w:szCs w:val="1"/>
                <w:color w:val="auto"/>
              </w:rPr>
            </w:pPr>
          </w:p>
        </w:tc>
      </w:tr>
      <w:tr>
        <w:trPr>
          <w:trHeight w:val="159"/>
        </w:trPr>
        <w:tc>
          <w:tcPr>
            <w:tcW w:w="26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18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4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(26,844 )</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(26,844 )</w:t>
            </w:r>
          </w:p>
        </w:tc>
        <w:tc>
          <w:tcPr>
            <w:tcW w:w="0" w:type="dxa"/>
            <w:vAlign w:val="bottom"/>
          </w:tcPr>
          <w:p>
            <w:pPr>
              <w:spacing w:after="0"/>
              <w:rPr>
                <w:sz w:val="1"/>
                <w:szCs w:val="1"/>
                <w:color w:val="auto"/>
              </w:rPr>
            </w:pPr>
          </w:p>
        </w:tc>
      </w:tr>
      <w:tr>
        <w:trPr>
          <w:trHeight w:val="199"/>
        </w:trPr>
        <w:tc>
          <w:tcPr>
            <w:tcW w:w="2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Balance, September 30, 2023</w:t>
            </w:r>
          </w:p>
        </w:tc>
        <w:tc>
          <w:tcPr>
            <w:tcW w:w="118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2"/>
                <w:szCs w:val="12"/>
                <w:color w:val="auto"/>
              </w:rPr>
              <w:t>29,042,418</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22"/>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2"/>
                <w:szCs w:val="12"/>
                <w:color w:val="auto"/>
              </w:rPr>
              <w:t>290</w:t>
            </w:r>
          </w:p>
        </w:tc>
        <w:tc>
          <w:tcPr>
            <w:tcW w:w="1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2"/>
                <w:szCs w:val="12"/>
                <w:color w:val="auto"/>
              </w:rPr>
              <w:t>(122,608 )</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606"/>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2"/>
                <w:szCs w:val="12"/>
                <w:color w:val="auto"/>
                <w:w w:val="95"/>
              </w:rPr>
              <w:t>(448 )</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2"/>
                <w:szCs w:val="12"/>
                <w:color w:val="auto"/>
              </w:rPr>
              <w:t>149,113</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(125,933 )</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23,022</w:t>
            </w:r>
          </w:p>
        </w:tc>
        <w:tc>
          <w:tcPr>
            <w:tcW w:w="0" w:type="dxa"/>
            <w:vAlign w:val="bottom"/>
          </w:tcPr>
          <w:p>
            <w:pPr>
              <w:spacing w:after="0"/>
              <w:rPr>
                <w:sz w:val="1"/>
                <w:szCs w:val="1"/>
                <w:color w:val="auto"/>
              </w:rPr>
            </w:pPr>
          </w:p>
        </w:tc>
      </w:tr>
      <w:tr>
        <w:trPr>
          <w:trHeight w:val="405"/>
        </w:trPr>
        <w:tc>
          <w:tcPr>
            <w:tcW w:w="2620" w:type="dxa"/>
            <w:vAlign w:val="bottom"/>
          </w:tcPr>
          <w:p>
            <w:pPr>
              <w:spacing w:after="0"/>
              <w:rPr>
                <w:sz w:val="24"/>
                <w:szCs w:val="24"/>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3"/>
            <w:vMerge w:val="restart"/>
          </w:tcPr>
          <w:p>
            <w:pPr>
              <w:jc w:val="right"/>
              <w:ind w:right="346"/>
              <w:spacing w:after="0"/>
              <w:rPr>
                <w:sz w:val="20"/>
                <w:szCs w:val="20"/>
                <w:color w:val="auto"/>
              </w:rPr>
            </w:pPr>
            <w:r>
              <w:rPr>
                <w:rFonts w:ascii="Arial" w:cs="Arial" w:eastAsia="Arial" w:hAnsi="Arial"/>
                <w:sz w:val="10"/>
                <w:szCs w:val="10"/>
                <w:b w:val="1"/>
                <w:bCs w:val="1"/>
                <w:color w:val="auto"/>
              </w:rPr>
              <w:t>TREASURY STOCK</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185"/>
              <w:spacing w:after="0"/>
              <w:rPr>
                <w:sz w:val="20"/>
                <w:szCs w:val="20"/>
                <w:color w:val="auto"/>
              </w:rPr>
            </w:pPr>
            <w:r>
              <w:rPr>
                <w:rFonts w:ascii="Arial" w:cs="Arial" w:eastAsia="Arial" w:hAnsi="Arial"/>
                <w:sz w:val="10"/>
                <w:szCs w:val="10"/>
                <w:b w:val="1"/>
                <w:bCs w:val="1"/>
                <w:color w:val="auto"/>
                <w:w w:val="97"/>
              </w:rPr>
              <w:t>ADDITIONAL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1560" w:type="dxa"/>
            <w:vAlign w:val="bottom"/>
            <w:tcBorders>
              <w:bottom w:val="single" w:sz="8" w:color="auto"/>
            </w:tcBorders>
            <w:gridSpan w:val="3"/>
            <w:vMerge w:val="continue"/>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Borders>
              <w:bottom w:val="single" w:sz="8" w:color="auto"/>
            </w:tcBorders>
            <w:gridSpan w:val="3"/>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185"/>
              <w:spacing w:after="0"/>
              <w:rPr>
                <w:sz w:val="20"/>
                <w:szCs w:val="20"/>
                <w:color w:val="auto"/>
              </w:rPr>
            </w:pPr>
            <w:r>
              <w:rPr>
                <w:rFonts w:ascii="Arial" w:cs="Arial" w:eastAsia="Arial" w:hAnsi="Arial"/>
                <w:sz w:val="10"/>
                <w:szCs w:val="10"/>
                <w:b w:val="1"/>
                <w:bCs w:val="1"/>
                <w:color w:val="auto"/>
                <w:w w:val="96"/>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144"/>
              <w:spacing w:after="0"/>
              <w:rPr>
                <w:sz w:val="20"/>
                <w:szCs w:val="20"/>
                <w:color w:val="auto"/>
              </w:rPr>
            </w:pPr>
            <w:r>
              <w:rPr>
                <w:rFonts w:ascii="Arial" w:cs="Arial" w:eastAsia="Arial" w:hAnsi="Arial"/>
                <w:sz w:val="10"/>
                <w:szCs w:val="10"/>
                <w:b w:val="1"/>
                <w:bCs w:val="1"/>
                <w:color w:val="auto"/>
                <w:w w:val="97"/>
              </w:rPr>
              <w:t>ACCUMULATED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44"/>
              <w:spacing w:after="0"/>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118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12"/>
                <w:szCs w:val="12"/>
                <w:color w:val="auto"/>
              </w:rPr>
            </w:pPr>
          </w:p>
        </w:tc>
        <w:tc>
          <w:tcPr>
            <w:tcW w:w="1140" w:type="dxa"/>
            <w:vAlign w:val="bottom"/>
            <w:tcBorders>
              <w:bottom w:val="single" w:sz="8" w:color="auto"/>
            </w:tcBorders>
          </w:tcPr>
          <w:p>
            <w:pPr>
              <w:jc w:val="right"/>
              <w:ind w:right="365"/>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65"/>
              <w:spacing w:after="0"/>
              <w:rPr>
                <w:sz w:val="20"/>
                <w:szCs w:val="20"/>
                <w:color w:val="auto"/>
              </w:rPr>
            </w:pPr>
            <w:r>
              <w:rPr>
                <w:rFonts w:ascii="Arial" w:cs="Arial" w:eastAsia="Arial" w:hAnsi="Arial"/>
                <w:sz w:val="10"/>
                <w:szCs w:val="10"/>
                <w:b w:val="1"/>
                <w:bCs w:val="1"/>
                <w:color w:val="auto"/>
                <w:w w:val="96"/>
              </w:rPr>
              <w:t>CAPITAL</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64"/>
              <w:spacing w:after="0"/>
              <w:rPr>
                <w:sz w:val="20"/>
                <w:szCs w:val="20"/>
                <w:color w:val="auto"/>
              </w:rPr>
            </w:pPr>
            <w:r>
              <w:rPr>
                <w:rFonts w:ascii="Arial" w:cs="Arial" w:eastAsia="Arial" w:hAnsi="Arial"/>
                <w:sz w:val="10"/>
                <w:szCs w:val="10"/>
                <w:b w:val="1"/>
                <w:bCs w:val="1"/>
                <w:color w:val="auto"/>
                <w:w w:val="97"/>
              </w:rPr>
              <w:t>DEFICIT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58"/>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b w:val="1"/>
                <w:bCs w:val="1"/>
                <w:color w:val="auto"/>
              </w:rPr>
              <w:t>Balance, June 30, 2023</w:t>
            </w:r>
          </w:p>
        </w:tc>
        <w:tc>
          <w:tcPr>
            <w:tcW w:w="1180" w:type="dxa"/>
            <w:vAlign w:val="bottom"/>
            <w:shd w:val="clear" w:color="auto" w:fill="CFF0FC"/>
          </w:tcPr>
          <w:p>
            <w:pPr>
              <w:jc w:val="right"/>
              <w:ind w:right="84"/>
              <w:spacing w:after="0"/>
              <w:rPr>
                <w:sz w:val="20"/>
                <w:szCs w:val="20"/>
                <w:color w:val="auto"/>
              </w:rPr>
            </w:pPr>
            <w:r>
              <w:rPr>
                <w:rFonts w:ascii="Arial" w:cs="Arial" w:eastAsia="Arial" w:hAnsi="Arial"/>
                <w:sz w:val="12"/>
                <w:szCs w:val="12"/>
                <w:color w:val="auto"/>
              </w:rPr>
              <w:t>29,042,418</w:t>
            </w:r>
          </w:p>
        </w:tc>
        <w:tc>
          <w:tcPr>
            <w:tcW w:w="380" w:type="dxa"/>
            <w:vAlign w:val="bottom"/>
            <w:gridSpan w:val="2"/>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290</w:t>
            </w:r>
          </w:p>
        </w:tc>
        <w:tc>
          <w:tcPr>
            <w:tcW w:w="1280" w:type="dxa"/>
            <w:vAlign w:val="bottom"/>
            <w:gridSpan w:val="2"/>
            <w:shd w:val="clear" w:color="auto" w:fill="CFF0FC"/>
          </w:tcPr>
          <w:p>
            <w:pPr>
              <w:jc w:val="right"/>
              <w:ind w:right="5"/>
              <w:spacing w:after="0"/>
              <w:rPr>
                <w:sz w:val="20"/>
                <w:szCs w:val="20"/>
                <w:color w:val="auto"/>
              </w:rPr>
            </w:pPr>
            <w:r>
              <w:rPr>
                <w:rFonts w:ascii="Arial" w:cs="Arial" w:eastAsia="Arial" w:hAnsi="Arial"/>
                <w:sz w:val="12"/>
                <w:szCs w:val="12"/>
                <w:color w:val="auto"/>
              </w:rPr>
              <w:t>(122,608 )</w:t>
            </w:r>
          </w:p>
        </w:tc>
        <w:tc>
          <w:tcPr>
            <w:tcW w:w="840" w:type="dxa"/>
            <w:vAlign w:val="bottom"/>
            <w:gridSpan w:val="2"/>
            <w:shd w:val="clear" w:color="auto" w:fill="CFF0FC"/>
          </w:tcPr>
          <w:p>
            <w:pPr>
              <w:jc w:val="right"/>
              <w:ind w:right="606"/>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w w:val="95"/>
              </w:rPr>
              <w:t>(448 )</w:t>
            </w:r>
          </w:p>
        </w:tc>
        <w:tc>
          <w:tcPr>
            <w:tcW w:w="240" w:type="dxa"/>
            <w:vAlign w:val="bottom"/>
            <w:gridSpan w:val="2"/>
            <w:shd w:val="clear" w:color="auto" w:fill="CFF0FC"/>
          </w:tcPr>
          <w:p>
            <w:pPr>
              <w:jc w:val="right"/>
              <w:ind w:right="2"/>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65"/>
              <w:spacing w:after="0"/>
              <w:rPr>
                <w:sz w:val="20"/>
                <w:szCs w:val="20"/>
                <w:color w:val="auto"/>
              </w:rPr>
            </w:pPr>
            <w:r>
              <w:rPr>
                <w:rFonts w:ascii="Arial" w:cs="Arial" w:eastAsia="Arial" w:hAnsi="Arial"/>
                <w:sz w:val="12"/>
                <w:szCs w:val="12"/>
                <w:color w:val="auto"/>
              </w:rPr>
              <w:t>148,427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(117,498 )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30,771</w:t>
            </w:r>
          </w:p>
        </w:tc>
        <w:tc>
          <w:tcPr>
            <w:tcW w:w="0" w:type="dxa"/>
            <w:vAlign w:val="bottom"/>
          </w:tcPr>
          <w:p>
            <w:pPr>
              <w:spacing w:after="0"/>
              <w:rPr>
                <w:sz w:val="1"/>
                <w:szCs w:val="1"/>
                <w:color w:val="auto"/>
              </w:rPr>
            </w:pPr>
          </w:p>
        </w:tc>
      </w:tr>
      <w:tr>
        <w:trPr>
          <w:trHeight w:val="159"/>
        </w:trPr>
        <w:tc>
          <w:tcPr>
            <w:tcW w:w="262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18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40" w:type="dxa"/>
            <w:vAlign w:val="bottom"/>
          </w:tcPr>
          <w:p>
            <w:pPr>
              <w:jc w:val="right"/>
              <w:ind w:right="65"/>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65"/>
              <w:spacing w:after="0"/>
              <w:rPr>
                <w:sz w:val="20"/>
                <w:szCs w:val="20"/>
                <w:color w:val="auto"/>
              </w:rPr>
            </w:pPr>
            <w:r>
              <w:rPr>
                <w:rFonts w:ascii="Arial" w:cs="Arial" w:eastAsia="Arial" w:hAnsi="Arial"/>
                <w:sz w:val="12"/>
                <w:szCs w:val="12"/>
                <w:color w:val="auto"/>
              </w:rPr>
              <w:t>735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735</w:t>
            </w:r>
          </w:p>
        </w:tc>
        <w:tc>
          <w:tcPr>
            <w:tcW w:w="0" w:type="dxa"/>
            <w:vAlign w:val="bottom"/>
          </w:tcPr>
          <w:p>
            <w:pPr>
              <w:spacing w:after="0"/>
              <w:rPr>
                <w:sz w:val="1"/>
                <w:szCs w:val="1"/>
                <w:color w:val="auto"/>
              </w:rPr>
            </w:pPr>
          </w:p>
        </w:tc>
      </w:tr>
      <w:tr>
        <w:trPr>
          <w:trHeight w:val="146"/>
        </w:trPr>
        <w:tc>
          <w:tcPr>
            <w:tcW w:w="2620" w:type="dxa"/>
            <w:vAlign w:val="bottom"/>
            <w:shd w:val="clear" w:color="auto" w:fill="CFF0FC"/>
          </w:tcPr>
          <w:p>
            <w:pPr>
              <w:ind w:left="20"/>
              <w:spacing w:after="0"/>
              <w:rPr>
                <w:sz w:val="20"/>
                <w:szCs w:val="20"/>
                <w:color w:val="auto"/>
              </w:rPr>
            </w:pPr>
            <w:r>
              <w:rPr>
                <w:rFonts w:ascii="Arial" w:cs="Arial" w:eastAsia="Arial" w:hAnsi="Arial"/>
                <w:sz w:val="12"/>
                <w:szCs w:val="12"/>
                <w:color w:val="auto"/>
              </w:rPr>
              <w:t>Change in fair value of</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20" w:type="dxa"/>
            <w:vAlign w:val="bottom"/>
            <w:shd w:val="clear" w:color="auto" w:fill="CFF0FC"/>
          </w:tcPr>
          <w:p>
            <w:pPr>
              <w:ind w:left="120"/>
              <w:spacing w:after="0"/>
              <w:rPr>
                <w:sz w:val="20"/>
                <w:szCs w:val="20"/>
                <w:color w:val="auto"/>
              </w:rPr>
            </w:pPr>
            <w:r>
              <w:rPr>
                <w:rFonts w:ascii="Arial" w:cs="Arial" w:eastAsia="Arial" w:hAnsi="Arial"/>
                <w:sz w:val="12"/>
                <w:szCs w:val="12"/>
                <w:color w:val="auto"/>
              </w:rPr>
              <w:t>NC Ohio Trust Warrants</w:t>
            </w:r>
          </w:p>
        </w:tc>
        <w:tc>
          <w:tcPr>
            <w:tcW w:w="1180" w:type="dxa"/>
            <w:vAlign w:val="bottom"/>
            <w:shd w:val="clear" w:color="auto" w:fill="CFF0FC"/>
          </w:tcPr>
          <w:p>
            <w:pPr>
              <w:jc w:val="right"/>
              <w:ind w:right="84"/>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65"/>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(49 )</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(49 )</w:t>
            </w:r>
          </w:p>
        </w:tc>
        <w:tc>
          <w:tcPr>
            <w:tcW w:w="0" w:type="dxa"/>
            <w:vAlign w:val="bottom"/>
          </w:tcPr>
          <w:p>
            <w:pPr>
              <w:spacing w:after="0"/>
              <w:rPr>
                <w:sz w:val="1"/>
                <w:szCs w:val="1"/>
                <w:color w:val="auto"/>
              </w:rPr>
            </w:pPr>
          </w:p>
        </w:tc>
      </w:tr>
      <w:tr>
        <w:trPr>
          <w:trHeight w:val="159"/>
        </w:trPr>
        <w:tc>
          <w:tcPr>
            <w:tcW w:w="26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18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4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(8,435 )</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(8,435 )</w:t>
            </w:r>
          </w:p>
        </w:tc>
        <w:tc>
          <w:tcPr>
            <w:tcW w:w="0" w:type="dxa"/>
            <w:vAlign w:val="bottom"/>
          </w:tcPr>
          <w:p>
            <w:pPr>
              <w:spacing w:after="0"/>
              <w:rPr>
                <w:sz w:val="1"/>
                <w:szCs w:val="1"/>
                <w:color w:val="auto"/>
              </w:rPr>
            </w:pPr>
          </w:p>
        </w:tc>
      </w:tr>
      <w:tr>
        <w:trPr>
          <w:trHeight w:val="199"/>
        </w:trPr>
        <w:tc>
          <w:tcPr>
            <w:tcW w:w="2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Balance, September 30, 2023</w:t>
            </w:r>
          </w:p>
        </w:tc>
        <w:tc>
          <w:tcPr>
            <w:tcW w:w="118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2"/>
                <w:szCs w:val="12"/>
                <w:color w:val="auto"/>
              </w:rPr>
              <w:t>29,042,418</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22"/>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2"/>
                <w:szCs w:val="12"/>
                <w:color w:val="auto"/>
              </w:rPr>
              <w:t>290</w:t>
            </w:r>
          </w:p>
        </w:tc>
        <w:tc>
          <w:tcPr>
            <w:tcW w:w="1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2"/>
                <w:szCs w:val="12"/>
                <w:color w:val="auto"/>
              </w:rPr>
              <w:t>(122,608 )</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606"/>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2"/>
                <w:szCs w:val="12"/>
                <w:color w:val="auto"/>
                <w:w w:val="95"/>
              </w:rPr>
              <w:t>(448 )</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2"/>
                <w:szCs w:val="12"/>
                <w:color w:val="auto"/>
              </w:rPr>
              <w:t>149,113</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(125,933 )</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23,022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-1122045</wp:posOffset>
            </wp:positionV>
            <wp:extent cx="3968750" cy="488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68750" cy="48831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-24765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-7620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500" w:type="dxa"/>
            <w:vAlign w:val="bottom"/>
          </w:tcPr>
          <w:p>
            <w:pPr>
              <w:spacing w:after="0"/>
              <w:rPr>
                <w:sz w:val="10"/>
                <w:szCs w:val="10"/>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3"/>
            <w:vMerge w:val="restart"/>
          </w:tcPr>
          <w:p>
            <w:pPr>
              <w:jc w:val="right"/>
              <w:ind w:right="386"/>
              <w:spacing w:after="0"/>
              <w:rPr>
                <w:sz w:val="20"/>
                <w:szCs w:val="20"/>
                <w:color w:val="auto"/>
              </w:rPr>
            </w:pPr>
            <w:r>
              <w:rPr>
                <w:rFonts w:ascii="Arial" w:cs="Arial" w:eastAsia="Arial" w:hAnsi="Arial"/>
                <w:sz w:val="10"/>
                <w:szCs w:val="10"/>
                <w:b w:val="1"/>
                <w:bCs w:val="1"/>
                <w:color w:val="auto"/>
              </w:rPr>
              <w:t>TREASURY STOCK</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205"/>
              <w:spacing w:after="0"/>
              <w:rPr>
                <w:sz w:val="20"/>
                <w:szCs w:val="20"/>
                <w:color w:val="auto"/>
              </w:rPr>
            </w:pPr>
            <w:r>
              <w:rPr>
                <w:rFonts w:ascii="Arial" w:cs="Arial" w:eastAsia="Arial" w:hAnsi="Arial"/>
                <w:sz w:val="10"/>
                <w:szCs w:val="10"/>
                <w:b w:val="1"/>
                <w:bCs w:val="1"/>
                <w:color w:val="auto"/>
                <w:w w:val="97"/>
              </w:rPr>
              <w:t>ADDITIONAL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600" w:type="dxa"/>
            <w:vAlign w:val="bottom"/>
            <w:tcBorders>
              <w:bottom w:val="single" w:sz="8" w:color="auto"/>
            </w:tcBorders>
            <w:gridSpan w:val="3"/>
            <w:vMerge w:val="continue"/>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tcBorders>
              <w:bottom w:val="single" w:sz="8" w:color="auto"/>
            </w:tcBorders>
            <w:gridSpan w:val="3"/>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205"/>
              <w:spacing w:after="0"/>
              <w:rPr>
                <w:sz w:val="20"/>
                <w:szCs w:val="20"/>
                <w:color w:val="auto"/>
              </w:rPr>
            </w:pPr>
            <w:r>
              <w:rPr>
                <w:rFonts w:ascii="Arial" w:cs="Arial" w:eastAsia="Arial" w:hAnsi="Arial"/>
                <w:sz w:val="10"/>
                <w:szCs w:val="10"/>
                <w:b w:val="1"/>
                <w:bCs w:val="1"/>
                <w:color w:val="auto"/>
                <w:w w:val="96"/>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144"/>
              <w:spacing w:after="0"/>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44"/>
              <w:spacing w:after="0"/>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120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w w:val="95"/>
              </w:rPr>
              <w:t>AMOUNT</w:t>
            </w:r>
          </w:p>
        </w:tc>
        <w:tc>
          <w:tcPr>
            <w:tcW w:w="140" w:type="dxa"/>
            <w:vAlign w:val="bottom"/>
          </w:tcPr>
          <w:p>
            <w:pPr>
              <w:spacing w:after="0"/>
              <w:rPr>
                <w:sz w:val="12"/>
                <w:szCs w:val="12"/>
                <w:color w:val="auto"/>
              </w:rPr>
            </w:pPr>
          </w:p>
        </w:tc>
        <w:tc>
          <w:tcPr>
            <w:tcW w:w="118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85"/>
              <w:spacing w:after="0"/>
              <w:rPr>
                <w:sz w:val="20"/>
                <w:szCs w:val="20"/>
                <w:color w:val="auto"/>
              </w:rPr>
            </w:pPr>
            <w:r>
              <w:rPr>
                <w:rFonts w:ascii="Arial" w:cs="Arial" w:eastAsia="Arial" w:hAnsi="Arial"/>
                <w:sz w:val="10"/>
                <w:szCs w:val="10"/>
                <w:b w:val="1"/>
                <w:bCs w:val="1"/>
                <w:color w:val="auto"/>
                <w:w w:val="96"/>
              </w:rPr>
              <w:t>CAPITAL</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97"/>
              </w:rPr>
              <w:t>DEFICIT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58"/>
        </w:trPr>
        <w:tc>
          <w:tcPr>
            <w:tcW w:w="2500" w:type="dxa"/>
            <w:vAlign w:val="bottom"/>
            <w:shd w:val="clear" w:color="auto" w:fill="CFF0FC"/>
          </w:tcPr>
          <w:p>
            <w:pPr>
              <w:ind w:left="20"/>
              <w:spacing w:after="0"/>
              <w:rPr>
                <w:sz w:val="20"/>
                <w:szCs w:val="20"/>
                <w:color w:val="auto"/>
              </w:rPr>
            </w:pPr>
            <w:r>
              <w:rPr>
                <w:rFonts w:ascii="Arial" w:cs="Arial" w:eastAsia="Arial" w:hAnsi="Arial"/>
                <w:sz w:val="12"/>
                <w:szCs w:val="12"/>
                <w:b w:val="1"/>
                <w:bCs w:val="1"/>
                <w:color w:val="auto"/>
              </w:rPr>
              <w:t>Balance, December 31, 2021</w:t>
            </w:r>
          </w:p>
        </w:tc>
        <w:tc>
          <w:tcPr>
            <w:tcW w:w="12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28,689,842</w:t>
            </w:r>
          </w:p>
        </w:tc>
        <w:tc>
          <w:tcPr>
            <w:tcW w:w="400" w:type="dxa"/>
            <w:vAlign w:val="bottom"/>
            <w:gridSpan w:val="2"/>
            <w:shd w:val="clear" w:color="auto" w:fill="CFF0FC"/>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286</w:t>
            </w: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626"/>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FF0FC"/>
          </w:tcPr>
          <w:p>
            <w:pPr>
              <w:jc w:val="right"/>
              <w:ind w:right="2"/>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ind w:right="65"/>
              <w:spacing w:after="0"/>
              <w:rPr>
                <w:sz w:val="20"/>
                <w:szCs w:val="20"/>
                <w:color w:val="auto"/>
              </w:rPr>
            </w:pPr>
            <w:r>
              <w:rPr>
                <w:rFonts w:ascii="Arial" w:cs="Arial" w:eastAsia="Arial" w:hAnsi="Arial"/>
                <w:sz w:val="12"/>
                <w:szCs w:val="12"/>
                <w:color w:val="auto"/>
              </w:rPr>
              <w:t>144,146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(80,295 )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64,137</w:t>
            </w:r>
          </w:p>
        </w:tc>
        <w:tc>
          <w:tcPr>
            <w:tcW w:w="0" w:type="dxa"/>
            <w:vAlign w:val="bottom"/>
          </w:tcPr>
          <w:p>
            <w:pPr>
              <w:spacing w:after="0"/>
              <w:rPr>
                <w:sz w:val="1"/>
                <w:szCs w:val="1"/>
                <w:color w:val="auto"/>
              </w:rPr>
            </w:pPr>
          </w:p>
        </w:tc>
      </w:tr>
      <w:tr>
        <w:trPr>
          <w:trHeight w:val="159"/>
        </w:trPr>
        <w:tc>
          <w:tcPr>
            <w:tcW w:w="2500" w:type="dxa"/>
            <w:vAlign w:val="bottom"/>
          </w:tcPr>
          <w:p>
            <w:pPr>
              <w:ind w:left="20"/>
              <w:spacing w:after="0"/>
              <w:rPr>
                <w:sz w:val="20"/>
                <w:szCs w:val="20"/>
                <w:color w:val="auto"/>
              </w:rPr>
            </w:pPr>
            <w:r>
              <w:rPr>
                <w:rFonts w:ascii="Arial" w:cs="Arial" w:eastAsia="Arial" w:hAnsi="Arial"/>
                <w:sz w:val="12"/>
                <w:szCs w:val="12"/>
                <w:color w:val="auto"/>
              </w:rPr>
              <w:t>Options exercised</w:t>
            </w:r>
          </w:p>
        </w:tc>
        <w:tc>
          <w:tcPr>
            <w:tcW w:w="1200" w:type="dxa"/>
            <w:vAlign w:val="bottom"/>
          </w:tcPr>
          <w:p>
            <w:pPr>
              <w:jc w:val="right"/>
              <w:ind w:right="64"/>
              <w:spacing w:after="0"/>
              <w:rPr>
                <w:sz w:val="20"/>
                <w:szCs w:val="20"/>
                <w:color w:val="auto"/>
              </w:rPr>
            </w:pPr>
            <w:r>
              <w:rPr>
                <w:rFonts w:ascii="Arial" w:cs="Arial" w:eastAsia="Arial" w:hAnsi="Arial"/>
                <w:sz w:val="12"/>
                <w:szCs w:val="12"/>
                <w:color w:val="auto"/>
              </w:rPr>
              <w:t>324,675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Arial" w:cs="Arial" w:eastAsia="Arial" w:hAnsi="Arial"/>
                <w:sz w:val="12"/>
                <w:szCs w:val="12"/>
                <w:color w:val="auto"/>
              </w:rPr>
              <w:t>4</w:t>
            </w:r>
          </w:p>
        </w:tc>
        <w:tc>
          <w:tcPr>
            <w:tcW w:w="140" w:type="dxa"/>
            <w:vAlign w:val="bottom"/>
          </w:tcPr>
          <w:p>
            <w:pPr>
              <w:spacing w:after="0"/>
              <w:rPr>
                <w:sz w:val="13"/>
                <w:szCs w:val="13"/>
                <w:color w:val="auto"/>
              </w:rPr>
            </w:pPr>
          </w:p>
        </w:tc>
        <w:tc>
          <w:tcPr>
            <w:tcW w:w="118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65"/>
              <w:spacing w:after="0"/>
              <w:rPr>
                <w:sz w:val="20"/>
                <w:szCs w:val="20"/>
                <w:color w:val="auto"/>
              </w:rPr>
            </w:pPr>
            <w:r>
              <w:rPr>
                <w:rFonts w:ascii="Arial" w:cs="Arial" w:eastAsia="Arial" w:hAnsi="Arial"/>
                <w:sz w:val="12"/>
                <w:szCs w:val="12"/>
                <w:color w:val="auto"/>
              </w:rPr>
              <w:t>472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476</w:t>
            </w:r>
          </w:p>
        </w:tc>
        <w:tc>
          <w:tcPr>
            <w:tcW w:w="0" w:type="dxa"/>
            <w:vAlign w:val="bottom"/>
          </w:tcPr>
          <w:p>
            <w:pPr>
              <w:spacing w:after="0"/>
              <w:rPr>
                <w:sz w:val="1"/>
                <w:szCs w:val="1"/>
                <w:color w:val="auto"/>
              </w:rPr>
            </w:pPr>
          </w:p>
        </w:tc>
      </w:tr>
      <w:tr>
        <w:trPr>
          <w:trHeight w:val="165"/>
        </w:trPr>
        <w:tc>
          <w:tcPr>
            <w:tcW w:w="2500" w:type="dxa"/>
            <w:vAlign w:val="bottom"/>
            <w:shd w:val="clear" w:color="auto" w:fill="CFF0FC"/>
          </w:tcPr>
          <w:p>
            <w:pPr>
              <w:ind w:left="20"/>
              <w:spacing w:after="0"/>
              <w:rPr>
                <w:sz w:val="20"/>
                <w:szCs w:val="20"/>
                <w:color w:val="auto"/>
              </w:rPr>
            </w:pPr>
            <w:r>
              <w:rPr>
                <w:rFonts w:ascii="Arial" w:cs="Arial" w:eastAsia="Arial" w:hAnsi="Arial"/>
                <w:sz w:val="12"/>
                <w:szCs w:val="12"/>
                <w:color w:val="auto"/>
              </w:rPr>
              <w:t>Treasury stock acquired</w:t>
            </w:r>
          </w:p>
        </w:tc>
        <w:tc>
          <w:tcPr>
            <w:tcW w:w="12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4"/>
              <w:spacing w:after="0"/>
              <w:rPr>
                <w:sz w:val="20"/>
                <w:szCs w:val="20"/>
                <w:color w:val="auto"/>
              </w:rPr>
            </w:pPr>
            <w:r>
              <w:rPr>
                <w:rFonts w:ascii="Arial" w:cs="Arial" w:eastAsia="Arial" w:hAnsi="Arial"/>
                <w:sz w:val="12"/>
                <w:szCs w:val="12"/>
                <w:color w:val="auto"/>
              </w:rPr>
              <w:t>(122,608 )</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5"/>
              </w:rPr>
              <w:t>(448 )</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5"/>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(448 )</w:t>
            </w:r>
          </w:p>
        </w:tc>
        <w:tc>
          <w:tcPr>
            <w:tcW w:w="0" w:type="dxa"/>
            <w:vAlign w:val="bottom"/>
          </w:tcPr>
          <w:p>
            <w:pPr>
              <w:spacing w:after="0"/>
              <w:rPr>
                <w:sz w:val="1"/>
                <w:szCs w:val="1"/>
                <w:color w:val="auto"/>
              </w:rPr>
            </w:pPr>
          </w:p>
        </w:tc>
      </w:tr>
      <w:tr>
        <w:trPr>
          <w:trHeight w:val="159"/>
        </w:trPr>
        <w:tc>
          <w:tcPr>
            <w:tcW w:w="250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8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65"/>
              <w:spacing w:after="0"/>
              <w:rPr>
                <w:sz w:val="20"/>
                <w:szCs w:val="20"/>
                <w:color w:val="auto"/>
              </w:rPr>
            </w:pPr>
            <w:r>
              <w:rPr>
                <w:rFonts w:ascii="Arial" w:cs="Arial" w:eastAsia="Arial" w:hAnsi="Arial"/>
                <w:sz w:val="12"/>
                <w:szCs w:val="12"/>
                <w:color w:val="auto"/>
              </w:rPr>
              <w:t>2,309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2,309</w:t>
            </w:r>
          </w:p>
        </w:tc>
        <w:tc>
          <w:tcPr>
            <w:tcW w:w="0" w:type="dxa"/>
            <w:vAlign w:val="bottom"/>
          </w:tcPr>
          <w:p>
            <w:pPr>
              <w:spacing w:after="0"/>
              <w:rPr>
                <w:sz w:val="1"/>
                <w:szCs w:val="1"/>
                <w:color w:val="auto"/>
              </w:rPr>
            </w:pPr>
          </w:p>
        </w:tc>
      </w:tr>
      <w:tr>
        <w:trPr>
          <w:trHeight w:val="146"/>
        </w:trPr>
        <w:tc>
          <w:tcPr>
            <w:tcW w:w="2500" w:type="dxa"/>
            <w:vAlign w:val="bottom"/>
            <w:shd w:val="clear" w:color="auto" w:fill="CFF0FC"/>
          </w:tcPr>
          <w:p>
            <w:pPr>
              <w:ind w:left="20"/>
              <w:spacing w:after="0"/>
              <w:rPr>
                <w:sz w:val="20"/>
                <w:szCs w:val="20"/>
                <w:color w:val="auto"/>
              </w:rPr>
            </w:pPr>
            <w:r>
              <w:rPr>
                <w:rFonts w:ascii="Arial" w:cs="Arial" w:eastAsia="Arial" w:hAnsi="Arial"/>
                <w:sz w:val="12"/>
                <w:szCs w:val="12"/>
                <w:color w:val="auto"/>
              </w:rPr>
              <w:t>Change in fair value of</w:t>
            </w: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NC Ohio Trust Warrants</w:t>
            </w:r>
          </w:p>
        </w:tc>
        <w:tc>
          <w:tcPr>
            <w:tcW w:w="12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5"/>
              <w:spacing w:after="0"/>
              <w:rPr>
                <w:sz w:val="20"/>
                <w:szCs w:val="20"/>
                <w:color w:val="auto"/>
              </w:rPr>
            </w:pPr>
            <w:r>
              <w:rPr>
                <w:rFonts w:ascii="Arial" w:cs="Arial" w:eastAsia="Arial" w:hAnsi="Arial"/>
                <w:sz w:val="12"/>
                <w:szCs w:val="12"/>
                <w:color w:val="auto"/>
              </w:rPr>
              <w:t>(636 )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(636 )</w:t>
            </w:r>
          </w:p>
        </w:tc>
        <w:tc>
          <w:tcPr>
            <w:tcW w:w="0" w:type="dxa"/>
            <w:vAlign w:val="bottom"/>
          </w:tcPr>
          <w:p>
            <w:pPr>
              <w:spacing w:after="0"/>
              <w:rPr>
                <w:sz w:val="1"/>
                <w:szCs w:val="1"/>
                <w:color w:val="auto"/>
              </w:rPr>
            </w:pPr>
          </w:p>
        </w:tc>
      </w:tr>
      <w:tr>
        <w:trPr>
          <w:trHeight w:val="159"/>
        </w:trPr>
        <w:tc>
          <w:tcPr>
            <w:tcW w:w="2500" w:type="dxa"/>
            <w:vAlign w:val="bottom"/>
          </w:tcPr>
          <w:p>
            <w:pPr>
              <w:ind w:left="20"/>
              <w:spacing w:after="0"/>
              <w:rPr>
                <w:sz w:val="20"/>
                <w:szCs w:val="20"/>
                <w:color w:val="auto"/>
              </w:rPr>
            </w:pPr>
            <w:r>
              <w:rPr>
                <w:rFonts w:ascii="Arial" w:cs="Arial" w:eastAsia="Arial" w:hAnsi="Arial"/>
                <w:sz w:val="12"/>
                <w:szCs w:val="12"/>
                <w:color w:val="auto"/>
              </w:rPr>
              <w:t>Net loss</w:t>
            </w: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(13,711 )</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(13,711 )</w:t>
            </w:r>
          </w:p>
        </w:tc>
        <w:tc>
          <w:tcPr>
            <w:tcW w:w="0" w:type="dxa"/>
            <w:vAlign w:val="bottom"/>
          </w:tcPr>
          <w:p>
            <w:pPr>
              <w:spacing w:after="0"/>
              <w:rPr>
                <w:sz w:val="1"/>
                <w:szCs w:val="1"/>
                <w:color w:val="auto"/>
              </w:rPr>
            </w:pPr>
          </w:p>
        </w:tc>
      </w:tr>
      <w:tr>
        <w:trPr>
          <w:trHeight w:val="199"/>
        </w:trPr>
        <w:tc>
          <w:tcPr>
            <w:tcW w:w="2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Balance, September 30, 2022</w:t>
            </w:r>
          </w:p>
        </w:tc>
        <w:tc>
          <w:tcPr>
            <w:tcW w:w="12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29,014,517</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2"/>
                <w:szCs w:val="12"/>
                <w:color w:val="auto"/>
              </w:rPr>
              <w:t>290</w:t>
            </w:r>
          </w:p>
        </w:tc>
        <w:tc>
          <w:tcPr>
            <w:tcW w:w="1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(122,608 )</w:t>
            </w:r>
          </w:p>
        </w:tc>
        <w:tc>
          <w:tcPr>
            <w:tcW w:w="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626"/>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5"/>
              </w:rPr>
              <w:t>(448 )</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2"/>
                <w:szCs w:val="12"/>
                <w:color w:val="auto"/>
              </w:rPr>
              <w:t>146,291</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(94,006 )</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52,127</w:t>
            </w:r>
          </w:p>
        </w:tc>
        <w:tc>
          <w:tcPr>
            <w:tcW w:w="0" w:type="dxa"/>
            <w:vAlign w:val="bottom"/>
          </w:tcPr>
          <w:p>
            <w:pPr>
              <w:spacing w:after="0"/>
              <w:rPr>
                <w:sz w:val="1"/>
                <w:szCs w:val="1"/>
                <w:color w:val="auto"/>
              </w:rPr>
            </w:pPr>
          </w:p>
        </w:tc>
      </w:tr>
      <w:tr>
        <w:trPr>
          <w:trHeight w:val="405"/>
        </w:trPr>
        <w:tc>
          <w:tcPr>
            <w:tcW w:w="2500" w:type="dxa"/>
            <w:vAlign w:val="bottom"/>
          </w:tcPr>
          <w:p>
            <w:pPr>
              <w:spacing w:after="0"/>
              <w:rPr>
                <w:sz w:val="24"/>
                <w:szCs w:val="24"/>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3"/>
            <w:vMerge w:val="restart"/>
          </w:tcPr>
          <w:p>
            <w:pPr>
              <w:jc w:val="right"/>
              <w:ind w:right="386"/>
              <w:spacing w:after="0"/>
              <w:rPr>
                <w:sz w:val="20"/>
                <w:szCs w:val="20"/>
                <w:color w:val="auto"/>
              </w:rPr>
            </w:pPr>
            <w:r>
              <w:rPr>
                <w:rFonts w:ascii="Arial" w:cs="Arial" w:eastAsia="Arial" w:hAnsi="Arial"/>
                <w:sz w:val="10"/>
                <w:szCs w:val="10"/>
                <w:b w:val="1"/>
                <w:bCs w:val="1"/>
                <w:color w:val="auto"/>
              </w:rPr>
              <w:t>TREASURY STOCK</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205"/>
              <w:spacing w:after="0"/>
              <w:rPr>
                <w:sz w:val="20"/>
                <w:szCs w:val="20"/>
                <w:color w:val="auto"/>
              </w:rPr>
            </w:pPr>
            <w:r>
              <w:rPr>
                <w:rFonts w:ascii="Arial" w:cs="Arial" w:eastAsia="Arial" w:hAnsi="Arial"/>
                <w:sz w:val="10"/>
                <w:szCs w:val="10"/>
                <w:b w:val="1"/>
                <w:bCs w:val="1"/>
                <w:color w:val="auto"/>
                <w:w w:val="97"/>
              </w:rPr>
              <w:t>ADDITIONAL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600" w:type="dxa"/>
            <w:vAlign w:val="bottom"/>
            <w:tcBorders>
              <w:bottom w:val="single" w:sz="8" w:color="auto"/>
            </w:tcBorders>
            <w:gridSpan w:val="3"/>
            <w:vMerge w:val="continue"/>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tcBorders>
              <w:bottom w:val="single" w:sz="8" w:color="auto"/>
            </w:tcBorders>
            <w:gridSpan w:val="3"/>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205"/>
              <w:spacing w:after="0"/>
              <w:rPr>
                <w:sz w:val="20"/>
                <w:szCs w:val="20"/>
                <w:color w:val="auto"/>
              </w:rPr>
            </w:pPr>
            <w:r>
              <w:rPr>
                <w:rFonts w:ascii="Arial" w:cs="Arial" w:eastAsia="Arial" w:hAnsi="Arial"/>
                <w:sz w:val="10"/>
                <w:szCs w:val="10"/>
                <w:b w:val="1"/>
                <w:bCs w:val="1"/>
                <w:color w:val="auto"/>
                <w:w w:val="96"/>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144"/>
              <w:spacing w:after="0"/>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44"/>
              <w:spacing w:after="0"/>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120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w w:val="95"/>
              </w:rPr>
              <w:t>AMOUNT</w:t>
            </w:r>
          </w:p>
        </w:tc>
        <w:tc>
          <w:tcPr>
            <w:tcW w:w="140" w:type="dxa"/>
            <w:vAlign w:val="bottom"/>
          </w:tcPr>
          <w:p>
            <w:pPr>
              <w:spacing w:after="0"/>
              <w:rPr>
                <w:sz w:val="12"/>
                <w:szCs w:val="12"/>
                <w:color w:val="auto"/>
              </w:rPr>
            </w:pPr>
          </w:p>
        </w:tc>
        <w:tc>
          <w:tcPr>
            <w:tcW w:w="118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85"/>
              <w:spacing w:after="0"/>
              <w:rPr>
                <w:sz w:val="20"/>
                <w:szCs w:val="20"/>
                <w:color w:val="auto"/>
              </w:rPr>
            </w:pPr>
            <w:r>
              <w:rPr>
                <w:rFonts w:ascii="Arial" w:cs="Arial" w:eastAsia="Arial" w:hAnsi="Arial"/>
                <w:sz w:val="10"/>
                <w:szCs w:val="10"/>
                <w:b w:val="1"/>
                <w:bCs w:val="1"/>
                <w:color w:val="auto"/>
                <w:w w:val="96"/>
              </w:rPr>
              <w:t>CAPITAL</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97"/>
              </w:rPr>
              <w:t>DEFICIT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58"/>
        </w:trPr>
        <w:tc>
          <w:tcPr>
            <w:tcW w:w="2500" w:type="dxa"/>
            <w:vAlign w:val="bottom"/>
            <w:shd w:val="clear" w:color="auto" w:fill="CFF0FC"/>
          </w:tcPr>
          <w:p>
            <w:pPr>
              <w:ind w:left="20"/>
              <w:spacing w:after="0"/>
              <w:rPr>
                <w:sz w:val="20"/>
                <w:szCs w:val="20"/>
                <w:color w:val="auto"/>
              </w:rPr>
            </w:pPr>
            <w:r>
              <w:rPr>
                <w:rFonts w:ascii="Arial" w:cs="Arial" w:eastAsia="Arial" w:hAnsi="Arial"/>
                <w:sz w:val="12"/>
                <w:szCs w:val="12"/>
                <w:b w:val="1"/>
                <w:bCs w:val="1"/>
                <w:color w:val="auto"/>
              </w:rPr>
              <w:t>Balance, June 30, 2022</w:t>
            </w:r>
          </w:p>
        </w:tc>
        <w:tc>
          <w:tcPr>
            <w:tcW w:w="12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29,014,517</w:t>
            </w:r>
          </w:p>
        </w:tc>
        <w:tc>
          <w:tcPr>
            <w:tcW w:w="400" w:type="dxa"/>
            <w:vAlign w:val="bottom"/>
            <w:gridSpan w:val="2"/>
            <w:shd w:val="clear" w:color="auto" w:fill="CFF0FC"/>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290</w:t>
            </w:r>
          </w:p>
        </w:tc>
        <w:tc>
          <w:tcPr>
            <w:tcW w:w="1320" w:type="dxa"/>
            <w:vAlign w:val="bottom"/>
            <w:gridSpan w:val="2"/>
            <w:shd w:val="clear" w:color="auto" w:fill="CFF0FC"/>
          </w:tcPr>
          <w:p>
            <w:pPr>
              <w:jc w:val="right"/>
              <w:ind w:right="4"/>
              <w:spacing w:after="0"/>
              <w:rPr>
                <w:sz w:val="20"/>
                <w:szCs w:val="20"/>
                <w:color w:val="auto"/>
              </w:rPr>
            </w:pPr>
            <w:r>
              <w:rPr>
                <w:rFonts w:ascii="Arial" w:cs="Arial" w:eastAsia="Arial" w:hAnsi="Arial"/>
                <w:sz w:val="12"/>
                <w:szCs w:val="12"/>
                <w:color w:val="auto"/>
              </w:rPr>
              <w:t>(122,608 )</w:t>
            </w:r>
          </w:p>
        </w:tc>
        <w:tc>
          <w:tcPr>
            <w:tcW w:w="860" w:type="dxa"/>
            <w:vAlign w:val="bottom"/>
            <w:gridSpan w:val="2"/>
            <w:shd w:val="clear" w:color="auto" w:fill="CFF0FC"/>
          </w:tcPr>
          <w:p>
            <w:pPr>
              <w:jc w:val="right"/>
              <w:ind w:right="626"/>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5"/>
              </w:rPr>
              <w:t>(448 )</w:t>
            </w:r>
          </w:p>
        </w:tc>
        <w:tc>
          <w:tcPr>
            <w:tcW w:w="260" w:type="dxa"/>
            <w:vAlign w:val="bottom"/>
            <w:gridSpan w:val="2"/>
            <w:shd w:val="clear" w:color="auto" w:fill="CFF0FC"/>
          </w:tcPr>
          <w:p>
            <w:pPr>
              <w:jc w:val="right"/>
              <w:ind w:right="2"/>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ind w:right="65"/>
              <w:spacing w:after="0"/>
              <w:rPr>
                <w:sz w:val="20"/>
                <w:szCs w:val="20"/>
                <w:color w:val="auto"/>
              </w:rPr>
            </w:pPr>
            <w:r>
              <w:rPr>
                <w:rFonts w:ascii="Arial" w:cs="Arial" w:eastAsia="Arial" w:hAnsi="Arial"/>
                <w:sz w:val="12"/>
                <w:szCs w:val="12"/>
                <w:color w:val="auto"/>
              </w:rPr>
              <w:t>145,548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(85,318 )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60,072</w:t>
            </w:r>
          </w:p>
        </w:tc>
        <w:tc>
          <w:tcPr>
            <w:tcW w:w="0" w:type="dxa"/>
            <w:vAlign w:val="bottom"/>
          </w:tcPr>
          <w:p>
            <w:pPr>
              <w:spacing w:after="0"/>
              <w:rPr>
                <w:sz w:val="1"/>
                <w:szCs w:val="1"/>
                <w:color w:val="auto"/>
              </w:rPr>
            </w:pPr>
          </w:p>
        </w:tc>
      </w:tr>
      <w:tr>
        <w:trPr>
          <w:trHeight w:val="159"/>
        </w:trPr>
        <w:tc>
          <w:tcPr>
            <w:tcW w:w="250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8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65"/>
              <w:spacing w:after="0"/>
              <w:rPr>
                <w:sz w:val="20"/>
                <w:szCs w:val="20"/>
                <w:color w:val="auto"/>
              </w:rPr>
            </w:pPr>
            <w:r>
              <w:rPr>
                <w:rFonts w:ascii="Arial" w:cs="Arial" w:eastAsia="Arial" w:hAnsi="Arial"/>
                <w:sz w:val="12"/>
                <w:szCs w:val="12"/>
                <w:color w:val="auto"/>
              </w:rPr>
              <w:t>757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757</w:t>
            </w:r>
          </w:p>
        </w:tc>
        <w:tc>
          <w:tcPr>
            <w:tcW w:w="0" w:type="dxa"/>
            <w:vAlign w:val="bottom"/>
          </w:tcPr>
          <w:p>
            <w:pPr>
              <w:spacing w:after="0"/>
              <w:rPr>
                <w:sz w:val="1"/>
                <w:szCs w:val="1"/>
                <w:color w:val="auto"/>
              </w:rPr>
            </w:pPr>
          </w:p>
        </w:tc>
      </w:tr>
      <w:tr>
        <w:trPr>
          <w:trHeight w:val="146"/>
        </w:trPr>
        <w:tc>
          <w:tcPr>
            <w:tcW w:w="2500" w:type="dxa"/>
            <w:vAlign w:val="bottom"/>
            <w:shd w:val="clear" w:color="auto" w:fill="CFF0FC"/>
          </w:tcPr>
          <w:p>
            <w:pPr>
              <w:ind w:left="20"/>
              <w:spacing w:after="0"/>
              <w:rPr>
                <w:sz w:val="20"/>
                <w:szCs w:val="20"/>
                <w:color w:val="auto"/>
              </w:rPr>
            </w:pPr>
            <w:r>
              <w:rPr>
                <w:rFonts w:ascii="Arial" w:cs="Arial" w:eastAsia="Arial" w:hAnsi="Arial"/>
                <w:sz w:val="12"/>
                <w:szCs w:val="12"/>
                <w:color w:val="auto"/>
              </w:rPr>
              <w:t>Change in fair value of</w:t>
            </w: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NC Ohio Trust Warrants</w:t>
            </w:r>
          </w:p>
        </w:tc>
        <w:tc>
          <w:tcPr>
            <w:tcW w:w="12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5"/>
              <w:spacing w:after="0"/>
              <w:rPr>
                <w:sz w:val="20"/>
                <w:szCs w:val="20"/>
                <w:color w:val="auto"/>
              </w:rPr>
            </w:pPr>
            <w:r>
              <w:rPr>
                <w:rFonts w:ascii="Arial" w:cs="Arial" w:eastAsia="Arial" w:hAnsi="Arial"/>
                <w:sz w:val="12"/>
                <w:szCs w:val="12"/>
                <w:color w:val="auto"/>
              </w:rPr>
              <w:t>(14 )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(14 )</w:t>
            </w:r>
          </w:p>
        </w:tc>
        <w:tc>
          <w:tcPr>
            <w:tcW w:w="0" w:type="dxa"/>
            <w:vAlign w:val="bottom"/>
          </w:tcPr>
          <w:p>
            <w:pPr>
              <w:spacing w:after="0"/>
              <w:rPr>
                <w:sz w:val="1"/>
                <w:szCs w:val="1"/>
                <w:color w:val="auto"/>
              </w:rPr>
            </w:pPr>
          </w:p>
        </w:tc>
      </w:tr>
      <w:tr>
        <w:trPr>
          <w:trHeight w:val="159"/>
        </w:trPr>
        <w:tc>
          <w:tcPr>
            <w:tcW w:w="2500" w:type="dxa"/>
            <w:vAlign w:val="bottom"/>
          </w:tcPr>
          <w:p>
            <w:pPr>
              <w:ind w:left="20"/>
              <w:spacing w:after="0"/>
              <w:rPr>
                <w:sz w:val="20"/>
                <w:szCs w:val="20"/>
                <w:color w:val="auto"/>
              </w:rPr>
            </w:pPr>
            <w:r>
              <w:rPr>
                <w:rFonts w:ascii="Arial" w:cs="Arial" w:eastAsia="Arial" w:hAnsi="Arial"/>
                <w:sz w:val="12"/>
                <w:szCs w:val="12"/>
                <w:color w:val="auto"/>
              </w:rPr>
              <w:t>Net loss</w:t>
            </w: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(8,688 )</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(8,688 )</w:t>
            </w:r>
          </w:p>
        </w:tc>
        <w:tc>
          <w:tcPr>
            <w:tcW w:w="0" w:type="dxa"/>
            <w:vAlign w:val="bottom"/>
          </w:tcPr>
          <w:p>
            <w:pPr>
              <w:spacing w:after="0"/>
              <w:rPr>
                <w:sz w:val="1"/>
                <w:szCs w:val="1"/>
                <w:color w:val="auto"/>
              </w:rPr>
            </w:pPr>
          </w:p>
        </w:tc>
      </w:tr>
      <w:tr>
        <w:trPr>
          <w:trHeight w:val="199"/>
        </w:trPr>
        <w:tc>
          <w:tcPr>
            <w:tcW w:w="2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Balance, September 30, 2022</w:t>
            </w:r>
          </w:p>
        </w:tc>
        <w:tc>
          <w:tcPr>
            <w:tcW w:w="12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29,014,517</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2"/>
                <w:szCs w:val="12"/>
                <w:color w:val="auto"/>
              </w:rPr>
              <w:t>290</w:t>
            </w:r>
          </w:p>
        </w:tc>
        <w:tc>
          <w:tcPr>
            <w:tcW w:w="1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(122,608 )</w:t>
            </w:r>
          </w:p>
        </w:tc>
        <w:tc>
          <w:tcPr>
            <w:tcW w:w="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626"/>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5"/>
              </w:rPr>
              <w:t>(448 )</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2"/>
                <w:szCs w:val="12"/>
                <w:color w:val="auto"/>
              </w:rPr>
              <w:t>146,291</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(94,006 )</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52,127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-1122045</wp:posOffset>
            </wp:positionV>
            <wp:extent cx="4029075" cy="4883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29075" cy="48831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-24765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-24765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19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r>
      <w:tr>
        <w:trPr>
          <w:trHeight w:val="22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778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(26,844 )</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(13,711 )</w:t>
            </w:r>
          </w:p>
        </w:tc>
      </w:tr>
      <w:tr>
        <w:trPr>
          <w:trHeight w:val="229"/>
        </w:trPr>
        <w:tc>
          <w:tcPr>
            <w:tcW w:w="7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7780" w:type="dxa"/>
            <w:vAlign w:val="bottom"/>
          </w:tcPr>
          <w:p>
            <w:pPr>
              <w:ind w:left="780"/>
              <w:spacing w:after="0"/>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557</w:t>
            </w:r>
          </w:p>
        </w:tc>
      </w:tr>
      <w:tr>
        <w:trPr>
          <w:trHeight w:val="229"/>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Impairment of fixed assets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780"/>
              <w:spacing w:after="0"/>
              <w:rPr>
                <w:sz w:val="20"/>
                <w:szCs w:val="20"/>
                <w:color w:val="auto"/>
              </w:rPr>
            </w:pPr>
            <w:r>
              <w:rPr>
                <w:rFonts w:ascii="Arial" w:cs="Arial" w:eastAsia="Arial" w:hAnsi="Arial"/>
                <w:sz w:val="18"/>
                <w:szCs w:val="18"/>
                <w:color w:val="auto"/>
              </w:rPr>
              <w:t>Loss on the sale of fixed assets</w:t>
            </w: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Non-cash stock compensation expense</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2,152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1,673</w:t>
            </w:r>
          </w:p>
        </w:tc>
      </w:tr>
      <w:tr>
        <w:trPr>
          <w:trHeight w:val="229"/>
        </w:trPr>
        <w:tc>
          <w:tcPr>
            <w:tcW w:w="7780" w:type="dxa"/>
            <w:vAlign w:val="bottom"/>
          </w:tcPr>
          <w:p>
            <w:pPr>
              <w:ind w:left="780"/>
              <w:spacing w:after="0"/>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154</w:t>
            </w:r>
          </w:p>
        </w:tc>
      </w:tr>
      <w:tr>
        <w:trPr>
          <w:trHeight w:val="229"/>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Non-cash interest expense</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66</w:t>
            </w:r>
          </w:p>
        </w:tc>
      </w:tr>
      <w:tr>
        <w:trPr>
          <w:trHeight w:val="230"/>
        </w:trPr>
        <w:tc>
          <w:tcPr>
            <w:tcW w:w="7780" w:type="dxa"/>
            <w:vAlign w:val="bottom"/>
          </w:tcPr>
          <w:p>
            <w:pPr>
              <w:ind w:left="7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(1,449 )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(13,626 )</w:t>
            </w:r>
          </w:p>
        </w:tc>
      </w:tr>
      <w:tr>
        <w:trPr>
          <w:trHeight w:val="229"/>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Accretion of debt discount</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211</w:t>
            </w:r>
          </w:p>
        </w:tc>
      </w:tr>
      <w:tr>
        <w:trPr>
          <w:trHeight w:val="230"/>
        </w:trPr>
        <w:tc>
          <w:tcPr>
            <w:tcW w:w="7780" w:type="dxa"/>
            <w:vAlign w:val="bottom"/>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417</w:t>
            </w:r>
          </w:p>
        </w:tc>
      </w:tr>
      <w:tr>
        <w:trPr>
          <w:trHeight w:val="229"/>
        </w:trPr>
        <w:tc>
          <w:tcPr>
            <w:tcW w:w="7780" w:type="dxa"/>
            <w:vAlign w:val="bottom"/>
          </w:tcPr>
          <w:p>
            <w:pPr>
              <w:ind w:left="78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(669 )</w:t>
            </w:r>
          </w:p>
        </w:tc>
      </w:tr>
      <w:tr>
        <w:trPr>
          <w:trHeight w:val="229"/>
        </w:trPr>
        <w:tc>
          <w:tcPr>
            <w:tcW w:w="7780" w:type="dxa"/>
            <w:vAlign w:val="bottom"/>
          </w:tcPr>
          <w:p>
            <w:pPr>
              <w:ind w:left="7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(1,247 )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830</w:t>
            </w:r>
          </w:p>
        </w:tc>
      </w:tr>
      <w:tr>
        <w:trPr>
          <w:trHeight w:val="229"/>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(94 )</w:t>
            </w:r>
          </w:p>
        </w:tc>
      </w:tr>
      <w:tr>
        <w:trPr>
          <w:trHeight w:val="230"/>
        </w:trPr>
        <w:tc>
          <w:tcPr>
            <w:tcW w:w="7780" w:type="dxa"/>
            <w:vAlign w:val="bottom"/>
          </w:tcPr>
          <w:p>
            <w:pPr>
              <w:ind w:left="780"/>
              <w:spacing w:after="0"/>
              <w:rPr>
                <w:sz w:val="20"/>
                <w:szCs w:val="20"/>
                <w:color w:val="auto"/>
              </w:rPr>
            </w:pPr>
            <w:r>
              <w:rPr>
                <w:rFonts w:ascii="Arial" w:cs="Arial" w:eastAsia="Arial" w:hAnsi="Arial"/>
                <w:sz w:val="18"/>
                <w:szCs w:val="18"/>
                <w:color w:val="auto"/>
              </w:rPr>
              <w:t>Lease liability</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(343 )</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(342 )</w:t>
            </w:r>
          </w:p>
        </w:tc>
      </w:tr>
      <w:tr>
        <w:trPr>
          <w:trHeight w:val="223"/>
        </w:trPr>
        <w:tc>
          <w:tcPr>
            <w:tcW w:w="7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(26,822 )</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(24,534 )</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Purchase of fixed assets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(1,021 )</w:t>
            </w:r>
          </w:p>
        </w:tc>
      </w:tr>
      <w:tr>
        <w:trPr>
          <w:trHeight w:val="229"/>
        </w:trPr>
        <w:tc>
          <w:tcPr>
            <w:tcW w:w="7780" w:type="dxa"/>
            <w:vAlign w:val="bottom"/>
          </w:tcPr>
          <w:p>
            <w:pPr>
              <w:ind w:left="780"/>
              <w:spacing w:after="0"/>
              <w:rPr>
                <w:sz w:val="20"/>
                <w:szCs w:val="20"/>
                <w:color w:val="auto"/>
              </w:rPr>
            </w:pPr>
            <w:r>
              <w:rPr>
                <w:rFonts w:ascii="Arial" w:cs="Arial" w:eastAsia="Arial" w:hAnsi="Arial"/>
                <w:sz w:val="18"/>
                <w:szCs w:val="18"/>
                <w:color w:val="auto"/>
              </w:rPr>
              <w:t>Proceeds from the sale of fixed assets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(253 )</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(1,021 )</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Net proceeds from bank term loan</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19,910</w:t>
            </w:r>
          </w:p>
        </w:tc>
      </w:tr>
      <w:tr>
        <w:trPr>
          <w:trHeight w:val="229"/>
        </w:trPr>
        <w:tc>
          <w:tcPr>
            <w:tcW w:w="7780" w:type="dxa"/>
            <w:vAlign w:val="bottom"/>
          </w:tcPr>
          <w:p>
            <w:pPr>
              <w:ind w:left="780"/>
              <w:spacing w:after="0"/>
              <w:rPr>
                <w:sz w:val="20"/>
                <w:szCs w:val="20"/>
                <w:color w:val="auto"/>
              </w:rPr>
            </w:pPr>
            <w:r>
              <w:rPr>
                <w:rFonts w:ascii="Arial" w:cs="Arial" w:eastAsia="Arial" w:hAnsi="Arial"/>
                <w:sz w:val="18"/>
                <w:szCs w:val="18"/>
                <w:color w:val="auto"/>
              </w:rPr>
              <w:t>Proceeds from option exercises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r>
      <w:tr>
        <w:trPr>
          <w:trHeight w:val="223"/>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19,938</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Net decrease in cash</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(27,075 )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(5,617 )</w:t>
            </w:r>
          </w:p>
        </w:tc>
      </w:tr>
      <w:tr>
        <w:trPr>
          <w:trHeight w:val="229"/>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70,324</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83,066</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b w:val="1"/>
                <w:bCs w:val="1"/>
                <w:color w:val="auto"/>
              </w:rPr>
              <w:t>43,249</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b w:val="1"/>
                <w:bCs w:val="1"/>
                <w:color w:val="auto"/>
              </w:rPr>
              <w:t>77,449</w:t>
            </w:r>
          </w:p>
        </w:tc>
      </w:tr>
      <w:tr>
        <w:trPr>
          <w:trHeight w:val="20"/>
        </w:trPr>
        <w:tc>
          <w:tcPr>
            <w:tcW w:w="7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0"/>
        </w:trPr>
        <w:tc>
          <w:tcPr>
            <w:tcW w:w="7780" w:type="dxa"/>
            <w:vAlign w:val="bottom"/>
          </w:tcPr>
          <w:p>
            <w:pPr>
              <w:ind w:left="780"/>
              <w:spacing w:after="0"/>
              <w:rPr>
                <w:sz w:val="20"/>
                <w:szCs w:val="20"/>
                <w:color w:val="auto"/>
              </w:rPr>
            </w:pPr>
            <w:r>
              <w:rPr>
                <w:rFonts w:ascii="Arial" w:cs="Arial" w:eastAsia="Arial" w:hAnsi="Arial"/>
                <w:sz w:val="18"/>
                <w:szCs w:val="18"/>
                <w:color w:val="auto"/>
              </w:rPr>
              <w:t>Cash paid for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156</w:t>
            </w:r>
          </w:p>
        </w:tc>
      </w:tr>
      <w:tr>
        <w:trPr>
          <w:trHeight w:val="230"/>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Cash paid for interest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1,592</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843</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information:</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Lease liability arising from obtaining right-of-use assets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2,368</w:t>
            </w:r>
          </w:p>
        </w:tc>
      </w:tr>
      <w:tr>
        <w:trPr>
          <w:trHeight w:val="229"/>
        </w:trPr>
        <w:tc>
          <w:tcPr>
            <w:tcW w:w="7780" w:type="dxa"/>
            <w:vAlign w:val="bottom"/>
          </w:tcPr>
          <w:p>
            <w:pPr>
              <w:ind w:left="780"/>
              <w:spacing w:after="0"/>
              <w:rPr>
                <w:sz w:val="20"/>
                <w:szCs w:val="20"/>
                <w:color w:val="auto"/>
              </w:rPr>
            </w:pPr>
            <w:r>
              <w:rPr>
                <w:rFonts w:ascii="Arial" w:cs="Arial" w:eastAsia="Arial" w:hAnsi="Arial"/>
                <w:sz w:val="18"/>
                <w:szCs w:val="18"/>
                <w:color w:val="auto"/>
              </w:rPr>
              <w:t>Capital expenditures in accounts payable and accrued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261</w:t>
            </w:r>
          </w:p>
        </w:tc>
      </w:tr>
      <w:tr>
        <w:trPr>
          <w:trHeight w:val="230"/>
        </w:trPr>
        <w:tc>
          <w:tcPr>
            <w:tcW w:w="77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Common stock exchange for option exercise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-2700020</wp:posOffset>
            </wp:positionV>
            <wp:extent cx="10287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-2099310</wp:posOffset>
            </wp:positionV>
            <wp:extent cx="10287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-1499870</wp:posOffset>
            </wp:positionV>
            <wp:extent cx="10287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-1199515</wp:posOffset>
            </wp:positionV>
            <wp:extent cx="10287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8034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 w:name="page13"/>
    <w:bookmarkEnd w:id="12"/>
    <w:p>
      <w:pPr>
        <w:ind w:left="430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0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Candel Therapeutics, Inc., formerly known as Advantagene, Inc. (the Company), is a clinical stage biopharmaceutical company that was incorporated in Delaware in June 2003. On November 30, 2020, the Company changed its name to Candel Therapeutics, Inc. The Company is focused on developing off-the-shelf viral immunotherapies that elicit an individualized, systemic anti-tumor immune response to help patients fight cancer. The Company’s engineered viruses are designed to induce immunogenic cell death through direct viral-mediated cytotoxicity in cancer cells, thus releasing tumor neo-antigens and creating a pro-inflammatory microenvironment at the site of injection. This leads to in-situ vaccination against the injected tumor and uninjected distant metastases. The Company has established two off-the-shelf viral immunotherapy platforms and its two product candidates, CAN-2409 and CAN-3110, are in clinical trials for a number of tumor types. Additionally, the Company and the University of Pennsylvania (UPenn) are collaborating to study the impact of novel viral immunotherapies based on Candel's propriety enLIGHTEN™ Discovery Platform, a systematic, iterative herpes simplex virus based platform leveraging human biology and advanced analytics, to strengthen the effects of UPenn's investigational CAR-T cell therapies in solid tumors.</w:t>
      </w:r>
    </w:p>
    <w:p>
      <w:pPr>
        <w:spacing w:after="0" w:line="8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Since inception, the Company has funded its operations primarily with proceeds from the sale of its convertible notes and capital stock and from debt borrowings. The Company has incurred recurring losses since its inception, including a net loss of $26.8 million and $13.7 million for the nine months ended September 30, 2023 and 2022, respectively. In addition, as of September 30, 2023, the Company had an accumulated deficit of $125.9 million. The Company expects to continue to generate operating losses for the foreseeable future.</w:t>
      </w:r>
    </w:p>
    <w:p>
      <w:pPr>
        <w:spacing w:after="0" w:line="82"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On July 29, 2021, the Company completed its initial public offering of common stock (the IPO) at which time the Company issued 9,000,000 shares of its common stock at a price to the public of $8.00 per share, and on August 13, 2021, the Company issued an additional 887,994 shares of common stock at $8.00 per share as a partial exercise of the underwriters’ option to purchase additional shares, resulting in net proceeds to the Company of $71.3 million, after deducting underwriting discounts and commissions and offering expenses. Upon closing of the IPO, all outstanding shares of the Company’s convertible preferred stock automatically converted into 7,066,398 shares of common stock.</w:t>
      </w:r>
    </w:p>
    <w:p>
      <w:pPr>
        <w:spacing w:after="0" w:line="8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On August 5, 2022, the Company filed a shelf registration statement on Form S-3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the date hereof, no sales have been made pursuant to the ATM Program.</w:t>
      </w:r>
    </w:p>
    <w:p>
      <w:pPr>
        <w:spacing w:after="0" w:line="8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Company’s cash and cash equivalents were $43.0 million as of September 30, 2023. In accordance with the Financial Accounting Standards Board (FASB) Accounting Standards Codification, 205-40, Presentation of Financial Statements - Going Concern, management is required to assess the Company’s ability to continue as a going concern for the one-year look forward period following the date that the condensed consolidated financial statements are issued. Based on the Company's current operating plan and existing cash and cash equivalents, the Company has determined that substantial doubt exists regarding its ability to continue as a going concern for the one-year period following the date these condensed consolidated financial statements are issued. To sustain its future operations beyond such one-year period, the Company will require additional funding. The Company expects to finance its cash needs through a combination of public or private equity or debt financings, government grants, and other sources, which may include collaborations, strategic alliances and licensing arrangements with third parties. There is no assurance that the Company will be successful in obtaining sufficient funding on acceptable terms, if at all, and the Company could be forced to delay, reduce, or eliminate some or all of its research, clinical trials, product development or future commercialization efforts, which could materially adversely affect its business prospects or its ability to continue as a going concern.</w:t>
      </w:r>
    </w:p>
    <w:p>
      <w:pPr>
        <w:spacing w:after="0" w:line="82" w:lineRule="exact"/>
        <w:rPr>
          <w:sz w:val="20"/>
          <w:szCs w:val="20"/>
          <w:color w:val="auto"/>
        </w:rPr>
      </w:pPr>
    </w:p>
    <w:p>
      <w:pPr>
        <w:ind w:right="800"/>
        <w:spacing w:after="0" w:line="258" w:lineRule="auto"/>
        <w:rPr>
          <w:sz w:val="20"/>
          <w:szCs w:val="20"/>
          <w:color w:val="auto"/>
        </w:rPr>
      </w:pPr>
      <w:r>
        <w:rPr>
          <w:rFonts w:ascii="Arial" w:cs="Arial" w:eastAsia="Arial" w:hAnsi="Arial"/>
          <w:sz w:val="17"/>
          <w:szCs w:val="17"/>
          <w:color w:val="auto"/>
        </w:rPr>
        <w:t>The accompanying condensed consolidated financial statements do not include any adjustments that might result from the outcome of this uncertainty. Accordingly, the condensed consolidated financial statements have been prepared on a basis that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 w:name="page14"/>
    <w:bookmarkEnd w:id="13"/>
    <w:p>
      <w:pPr>
        <w:ind w:right="980"/>
        <w:spacing w:after="0" w:line="258" w:lineRule="auto"/>
        <w:rPr>
          <w:sz w:val="20"/>
          <w:szCs w:val="20"/>
          <w:color w:val="auto"/>
        </w:rPr>
      </w:pPr>
      <w:r>
        <w:rPr>
          <w:rFonts w:ascii="Arial" w:cs="Arial" w:eastAsia="Arial" w:hAnsi="Arial"/>
          <w:sz w:val="17"/>
          <w:szCs w:val="17"/>
          <w:color w:val="auto"/>
        </w:rPr>
        <w:t>assumes the Company will continue as a going concern and that contemplates the realization of assets and satisfaction of liabilities and commitments in the ordinary course of business.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4"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accompanying condensed consolidated financial statements have been prepared in accordance with accounting standards set by the Financial</w:t>
      </w:r>
      <w:r>
        <w:rPr>
          <w:rFonts w:ascii="Arial" w:cs="Arial" w:eastAsia="Arial" w:hAnsi="Arial"/>
          <w:sz w:val="18"/>
          <w:szCs w:val="18"/>
          <w:color w:val="auto"/>
        </w:rPr>
        <w:t xml:space="preserve"> </w:t>
      </w:r>
      <w:r>
        <w:rPr>
          <w:rFonts w:ascii="Arial" w:cs="Arial" w:eastAsia="Arial" w:hAnsi="Arial"/>
          <w:sz w:val="17"/>
          <w:szCs w:val="17"/>
          <w:color w:val="auto"/>
        </w:rPr>
        <w:t>Accounting Standards Board (FASB). The FASB sets generally accepted accounting principles (GAAP) that the Company follows to ensure its financial condition, results of operations, and cash flows are consistently reported. References to GAAP issued by the FASB in these notes to the</w:t>
      </w:r>
    </w:p>
    <w:p>
      <w:pPr>
        <w:spacing w:after="0" w:line="1"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 xml:space="preserve">financial statements are to the FASB </w:t>
      </w:r>
      <w:r>
        <w:rPr>
          <w:rFonts w:ascii="Arial" w:cs="Arial" w:eastAsia="Arial" w:hAnsi="Arial"/>
          <w:sz w:val="17"/>
          <w:szCs w:val="17"/>
          <w:i w:val="1"/>
          <w:iCs w:val="1"/>
          <w:color w:val="auto"/>
        </w:rPr>
        <w:t>Accounting Standards</w:t>
      </w:r>
      <w:r>
        <w:rPr>
          <w:rFonts w:ascii="Arial" w:cs="Arial" w:eastAsia="Arial" w:hAnsi="Arial"/>
          <w:sz w:val="17"/>
          <w:szCs w:val="17"/>
          <w:color w:val="auto"/>
        </w:rPr>
        <w:t xml:space="preserve"> Codification (ASC). The Company has reclassified certain amounts relating to its prior period results to conform to its current period presentation. These reclassifications have not changed the results of operations of prior periods.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8"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color w:val="auto"/>
        </w:rPr>
        <w:t>The condensed consolidated financial statements include the accounts of Candel Therapeutics, Inc. and its wholly owned subsidiary Candel Therapeutics Securities Corporation. All intercompany transactions and balances have been eliminated.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 maker, the Company's chief executive officer, views the Company's operations and manages its business as a single operating segment. The Company only operates in the United States.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0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0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accompanying condensed consolidated balance sheet as of September 30, 2023, the condensed consolidated statements of operations for the three and nine months ended September 30, 2023 and 2022, the condensed consolidated statements of stockholders’ equity for the three and nine months ended September 30, 2023 and 2022, the condensed consolidated statements of cash flows for the nine months ended September 30, 2023 and 2022, and the related interim disclosures are unaudited. These unaudited condensed consolidated financial statements include all 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condensed consolidated financial statements should be read in conjunction with the Company’s audited consolidated financial statements and notes thereto for the year ended December 31, 2022 included in the Company’s Annual Report on Form 10-K (Form 10-K) on file with the SEC.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preparation of the Company’s condensed consolidated financial statements in conformity with GAAP requires management to make estimates</w:t>
      </w:r>
      <w:r>
        <w:rPr>
          <w:rFonts w:ascii="Arial" w:cs="Arial" w:eastAsia="Arial" w:hAnsi="Arial"/>
          <w:sz w:val="18"/>
          <w:szCs w:val="18"/>
          <w:color w:val="auto"/>
        </w:rPr>
        <w:t xml:space="preserve"> </w:t>
      </w:r>
      <w:r>
        <w:rPr>
          <w:rFonts w:ascii="Arial" w:cs="Arial" w:eastAsia="Arial" w:hAnsi="Arial"/>
          <w:sz w:val="17"/>
          <w:szCs w:val="17"/>
          <w:color w:val="auto"/>
        </w:rPr>
        <w:t>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8" w:lineRule="exact"/>
        <w:rPr>
          <w:sz w:val="20"/>
          <w:szCs w:val="20"/>
          <w:color w:val="auto"/>
        </w:rPr>
      </w:pPr>
    </w:p>
    <w:p>
      <w:pPr>
        <w:jc w:val="both"/>
        <w:ind w:right="80"/>
        <w:spacing w:after="0" w:line="245" w:lineRule="auto"/>
        <w:rPr>
          <w:sz w:val="20"/>
          <w:szCs w:val="20"/>
          <w:color w:val="auto"/>
        </w:rPr>
      </w:pPr>
      <w:r>
        <w:rPr>
          <w:rFonts w:ascii="Arial" w:cs="Arial" w:eastAsia="Arial" w:hAnsi="Arial"/>
          <w:sz w:val="17"/>
          <w:szCs w:val="17"/>
          <w:color w:val="auto"/>
        </w:rPr>
        <w:t>The Company considers all highly liquid investments purchased with original final maturities of 90 days or less from the date of purchase to be cash equivalents. Cash and cash equivalents comprise marketable securities with maturities of less than 90 days when purchased. Cash equivalents are reported at fair value.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8"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The Company had $0.3 million of restricted cash as of both September 30, 2023 and December 31, 2022, which represents cash held as a security deposit under the terms of the Company’s Needham, Massachusetts facility lease.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8"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38" w:lineRule="exact"/>
        <w:rPr>
          <w:sz w:val="20"/>
          <w:szCs w:val="20"/>
          <w:color w:val="auto"/>
        </w:rPr>
      </w:pP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1—Quoted prices in active markets for identical assets or liabilities.</w:t>
      </w:r>
    </w:p>
    <w:p>
      <w:pPr>
        <w:spacing w:after="0" w:line="47" w:lineRule="exact"/>
        <w:rPr>
          <w:rFonts w:ascii="Arial" w:cs="Arial" w:eastAsia="Arial" w:hAnsi="Arial"/>
          <w:sz w:val="17"/>
          <w:szCs w:val="17"/>
          <w:color w:val="auto"/>
        </w:rPr>
      </w:pPr>
    </w:p>
    <w:p>
      <w:pPr>
        <w:ind w:left="760" w:right="420" w:hanging="378"/>
        <w:spacing w:after="0" w:line="245"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 w:lineRule="exact"/>
        <w:rPr>
          <w:rFonts w:ascii="Arial" w:cs="Arial" w:eastAsia="Arial" w:hAnsi="Arial"/>
          <w:sz w:val="17"/>
          <w:szCs w:val="17"/>
          <w:color w:val="auto"/>
        </w:rPr>
      </w:pPr>
    </w:p>
    <w:p>
      <w:pPr>
        <w:ind w:left="760" w:hanging="378"/>
        <w:spacing w:after="0" w:line="258"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66"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 xml:space="preserve">The carrying values of cash and cash equivalents (considered as Level 1 measurements), accounts payable, and accrued expenses approximate their fair values due to the short-term nature of these assets and liabilities. </w:t>
      </w:r>
      <w:r>
        <w:rPr>
          <w:rFonts w:ascii="Arial" w:cs="Arial" w:eastAsia="Arial" w:hAnsi="Arial"/>
          <w:sz w:val="16"/>
          <w:szCs w:val="16"/>
          <w:color w:val="auto"/>
        </w:rPr>
        <w:t>The carrying value of the Company's term loan approximates fair value due to</w:t>
      </w:r>
      <w:r>
        <w:rPr>
          <w:rFonts w:ascii="Arial" w:cs="Arial" w:eastAsia="Arial" w:hAnsi="Arial"/>
          <w:sz w:val="17"/>
          <w:szCs w:val="17"/>
          <w:color w:val="auto"/>
        </w:rPr>
        <w:t xml:space="preserve"> </w:t>
      </w:r>
      <w:r>
        <w:rPr>
          <w:rFonts w:ascii="Arial" w:cs="Arial" w:eastAsia="Arial" w:hAnsi="Arial"/>
          <w:sz w:val="16"/>
          <w:szCs w:val="16"/>
          <w:color w:val="auto"/>
        </w:rPr>
        <w:t xml:space="preserve">the variable interest rate. </w:t>
      </w:r>
      <w:r>
        <w:rPr>
          <w:rFonts w:ascii="Arial" w:cs="Arial" w:eastAsia="Arial" w:hAnsi="Arial"/>
          <w:sz w:val="17"/>
          <w:szCs w:val="17"/>
          <w:color w:val="auto"/>
        </w:rPr>
        <w:t>The Company’s warrant liability is carried at fair value and is classified as Level 3 measurement.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8" w:lineRule="exact"/>
        <w:rPr>
          <w:sz w:val="20"/>
          <w:szCs w:val="20"/>
          <w:color w:val="auto"/>
        </w:rPr>
      </w:pPr>
    </w:p>
    <w:p>
      <w:pPr>
        <w:ind w:right="320"/>
        <w:spacing w:after="0" w:line="245" w:lineRule="auto"/>
        <w:rPr>
          <w:sz w:val="20"/>
          <w:szCs w:val="20"/>
          <w:color w:val="auto"/>
        </w:rPr>
      </w:pPr>
      <w:r>
        <w:rPr>
          <w:rFonts w:ascii="Arial" w:cs="Arial" w:eastAsia="Arial" w:hAnsi="Arial"/>
          <w:sz w:val="17"/>
          <w:szCs w:val="17"/>
          <w:color w:val="auto"/>
        </w:rPr>
        <w:t>Property and equipment consist of laboratory and manufacturing equipment, networking and computer equipment, furniture and fixtures and leasehold improvements. Property and equipment are recorded at cost, and depreciated using the straight-line method over the estimated useful lives of the respective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w:t>
            </w:r>
          </w:p>
        </w:tc>
        <w:tc>
          <w:tcPr>
            <w:tcW w:w="180" w:type="dxa"/>
            <w:vAlign w:val="bottom"/>
          </w:tcPr>
          <w:p>
            <w:pPr>
              <w:spacing w:after="0"/>
              <w:rPr>
                <w:sz w:val="16"/>
                <w:szCs w:val="16"/>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ESTIMATED USEFUL LIFE</w:t>
            </w:r>
          </w:p>
        </w:tc>
      </w:tr>
      <w:tr>
        <w:trPr>
          <w:trHeight w:val="22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Networking and computer equipment</w:t>
            </w:r>
          </w:p>
        </w:tc>
        <w:tc>
          <w:tcPr>
            <w:tcW w:w="180" w:type="dxa"/>
            <w:vAlign w:val="bottom"/>
            <w:shd w:val="clear" w:color="auto" w:fill="CFF0FC"/>
          </w:tcPr>
          <w:p>
            <w:pPr>
              <w:spacing w:after="0"/>
              <w:rPr>
                <w:sz w:val="19"/>
                <w:szCs w:val="19"/>
                <w:color w:val="auto"/>
              </w:rPr>
            </w:pPr>
          </w:p>
        </w:tc>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5 years</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5 years</w:t>
            </w:r>
          </w:p>
        </w:tc>
      </w:tr>
      <w:tr>
        <w:trPr>
          <w:trHeight w:val="230"/>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Manufacturing equipment</w:t>
            </w:r>
          </w:p>
        </w:tc>
        <w:tc>
          <w:tcPr>
            <w:tcW w:w="180" w:type="dxa"/>
            <w:vAlign w:val="bottom"/>
            <w:shd w:val="clear" w:color="auto" w:fill="CFF0FC"/>
          </w:tcPr>
          <w:p>
            <w:pPr>
              <w:spacing w:after="0"/>
              <w:rPr>
                <w:sz w:val="19"/>
                <w:szCs w:val="19"/>
                <w:color w:val="auto"/>
              </w:rPr>
            </w:pPr>
          </w:p>
        </w:tc>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5 years</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5 years</w:t>
            </w:r>
          </w:p>
        </w:tc>
      </w:tr>
      <w:tr>
        <w:trPr>
          <w:trHeight w:val="230"/>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spacing w:after="0"/>
              <w:rPr>
                <w:sz w:val="19"/>
                <w:szCs w:val="19"/>
                <w:color w:val="auto"/>
              </w:rPr>
            </w:pPr>
          </w:p>
        </w:tc>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Shorter of the useful life or remaining lease term</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 Company adopted ASC 842 as of January 1, 2022 and elected the transition method under ASU 2016-02 whereby the Company records a right-of-use asset and a lease liability on the balance sheet for all leases with terms longer than 12 months. The Company also elected to apply the practical expedients intended to ease transition. Accordingly, the Company has only applied ASC 842 to leases existing as of January 1, 2022. The Company determines if an arrangement is, or contains, a lease at inception.</w:t>
      </w:r>
    </w:p>
    <w:p>
      <w:pPr>
        <w:spacing w:after="0" w:line="8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Lease right of use assets represent the Company’s right to use an underlying asset for the lease term and lease liabilities represent the Company’s obligation to make lease payments arising from the lease. Lease right of use assets and lease liabilities are recognized at the lease commencement date based on the present value of lease payments to be made over the lease term. The lease right of use asset is equal to the lease liability and adjusted for prepaid rent, initial direct costs, and incentives. As the Company’s leases do not provide an implicit rate, the Company uses its incremental borrowing rate based on the information available at the lease commencement date in determining the present value of lease payments. The lease terms may include options to extend or terminate the lease when it is reasonably certain that the Company will exercise that option. Operating lease expense is recognized on a straight-line basis over the lease term. The Company has elected to not apply the recognition requirements of ASC 842 for short-term leases, which is defined as a lease that, at the lease commencement date, has a lease term of 12 months or less and does not include an option to purchase the underlying asset that the Company is reasonably certain to exercise.</w:t>
      </w:r>
    </w:p>
    <w:p>
      <w:pPr>
        <w:spacing w:after="0" w:line="86" w:lineRule="exact"/>
        <w:rPr>
          <w:sz w:val="20"/>
          <w:szCs w:val="20"/>
          <w:color w:val="auto"/>
        </w:rPr>
      </w:pPr>
    </w:p>
    <w:p>
      <w:pPr>
        <w:jc w:val="both"/>
        <w:ind w:right="760"/>
        <w:spacing w:after="0" w:line="245" w:lineRule="auto"/>
        <w:rPr>
          <w:sz w:val="20"/>
          <w:szCs w:val="20"/>
          <w:color w:val="auto"/>
        </w:rPr>
      </w:pPr>
      <w:r>
        <w:rPr>
          <w:rFonts w:ascii="Arial" w:cs="Arial" w:eastAsia="Arial" w:hAnsi="Arial"/>
          <w:sz w:val="17"/>
          <w:szCs w:val="17"/>
          <w:color w:val="auto"/>
        </w:rPr>
        <w:t>For real estate lease agreements entered into or modified after the adoption of ASC 842 that include lease and non-lease components, the Company has elected to account for the lease and non-lease components, such as common area maintenance charges, as a single lease component term.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Periodically, the Company maintains deposits in accredited financial institutions in-excess of the federally insured limits. The Company deposits its cash in financial institutions with a high credit quality and has not experienced any losses on such accounts and does not believe it is exposed to any unusual credit risk beyond the normal risk associated with commercial banking relationships.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Long-lived assets consist of fixed assets and operating lease assets.</w:t>
      </w:r>
    </w:p>
    <w:p>
      <w:pPr>
        <w:spacing w:after="0" w:line="82"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In the third quarter of 2023, the Company recorded an impairment charge of approximately $0.2 million related to manufacturing equipment that the Company has determined it does not plan to use for its intended use, and the Company recorded a reserve to reduce the carrying value to its estimated fair value. The Company has not recorded any other impairment losses on such long-lived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Company applies Accounting Standards Codification (ASC), Topic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then assesses whether or not each promised good or service is distinct. The Company then recognizes as revenue the amount of the transaction price that is allocated to the respective performance obligation when (or as) the performance obligation is satisfied.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 and Accruals</w:t>
      </w:r>
    </w:p>
    <w:p>
      <w:pPr>
        <w:spacing w:after="0" w:line="10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Research and development expenses include salaries and benefits, materials and supplies, preclinical and clinical trial expenses, stock-based compensation expense, depreciation of equipment, contract services and other outside expenses. The Company has entered into various research and development-related contracts with clinical and research institutions, contract research organizations, and other companies. These agreements are generally cancelable, and related payments are recorded as research and development expenses as incurred. Costs of certain development activities, such as manufacturing, pre-clinical and clinical trial expenses, are recognized based on an evaluation of the progress to completion of specific tasks. Payments for these activities are based on the terms of the individual arrangements, which may differ from the pattern of costs incurred, and are reflected in the financial statements as prepaid or accrued research and development costs. Nonrefundable advance payments for goods or services to be received in the future for use in research and development activities are deferred and capitalized. The capitalized amounts are expensed as the related goods are delivered or the services are performed. Costs incurred in obtaining technology licenses and intellectual property are charged to research and development expenses as acquired in-process research and development if the technology licensed or intellectual property acquired has not reached technological feasibility and has no alternative future use.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0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All patent-related costs incurred in connection with preparing, filing, maintaining and prosecuting patent applications are expensed as incurred due to the uncertainty about the recovery of the expenditure. Amounts incurred are classified in general and administrative expenses.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 xml:space="preserve">The Company accounts for its stock-based compensation 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ASC 718 requires all share-based payments to employees and directors to be recognized as expense in the consolidated statements of operations based on their grant date fair values. In addition, in accordance with FASB Accounting Standards Update (ASU) 2016-09 which identifies areas for simplification of several areas of share-based payment transactions, the Company treats non-employee grants the same as employee grants. The Company estimates the fair value of options granted using the Black-Scholes option pricing model for stock option grants to both employees and non-employees. The Company believes the fair value of the stock options granted to non-employees is more reliably determinable than the fair value of the services provided.</w:t>
      </w:r>
    </w:p>
    <w:p>
      <w:pPr>
        <w:spacing w:after="0" w:line="86"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Black-Scholes option pricing model requires inputs based on certain subjective assumptions, including (a) the expected stock price volatility, (b) the expected term of the award, (c) the risk-free interest rate and (d) expected dividends. Due to a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share-based payment as the basis for the expected term assumption.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89"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The Company generally expenses the fair value of its share-based compensation awards to employees and non-employees on a straight-line basis over the requisite service period, which is generally the vesting period.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1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Company has applied for grants for the reimbursement of expenditures with the Massachusetts Life Sciences Center for certain qualified</w:t>
      </w:r>
      <w:r>
        <w:rPr>
          <w:rFonts w:ascii="Arial" w:cs="Arial" w:eastAsia="Arial" w:hAnsi="Arial"/>
          <w:sz w:val="18"/>
          <w:szCs w:val="18"/>
          <w:color w:val="auto"/>
        </w:rPr>
        <w:t xml:space="preserve"> </w:t>
      </w:r>
      <w:r>
        <w:rPr>
          <w:rFonts w:ascii="Arial" w:cs="Arial" w:eastAsia="Arial" w:hAnsi="Arial"/>
          <w:sz w:val="17"/>
          <w:szCs w:val="17"/>
          <w:color w:val="auto"/>
        </w:rPr>
        <w:t>operating expenditures, including employee related costs. The Company recognizes government grants when there is reasonable assurance that the Company will comply with the conditions attached to the grant arrangement and the grant will be received.</w:t>
      </w:r>
    </w:p>
    <w:p>
      <w:pPr>
        <w:spacing w:after="0" w:line="81"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color w:val="auto"/>
        </w:rPr>
        <w:t>Government grants are recorded as grant income and classified in other income in the condensed and consolidated statements of operations. The Company recognized government grants of $12,000 and $36,000 for the three and nine months ended September 30, 2023, respectively. The Company did not recognize any government grants for the three and nine months ended September 30, 2022. Grant income is recognized as a component of other income (expense), net in the condensed consolidated statements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Company accounts for income taxes using the asset and liability method in accordance with ASC Topic 740, Income Taxes (ASC 740) which</w:t>
      </w:r>
      <w:r>
        <w:rPr>
          <w:rFonts w:ascii="Arial" w:cs="Arial" w:eastAsia="Arial" w:hAnsi="Arial"/>
          <w:sz w:val="18"/>
          <w:szCs w:val="18"/>
          <w:color w:val="auto"/>
        </w:rPr>
        <w:t xml:space="preserve"> </w:t>
      </w:r>
      <w:r>
        <w:rPr>
          <w:rFonts w:ascii="Arial" w:cs="Arial" w:eastAsia="Arial" w:hAnsi="Arial"/>
          <w:sz w:val="17"/>
          <w:szCs w:val="17"/>
          <w:color w:val="auto"/>
        </w:rPr>
        <w:t>requires the recognition of deferred tax assets and liabilities for the expected future tax consequences of events that have been recognized in the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At September 30, 2023 and December 31, 2022, the Company has concluded that a full valuation allowance is necessary for its deferred tax assets (see Note 12).</w:t>
      </w:r>
    </w:p>
    <w:p>
      <w:pPr>
        <w:spacing w:after="0" w:line="86"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Company accounts for uncertainty in income taxes by applying the two-step process to determine the amount of tax benefit to be recognized in the financial statements. First, the tax position must be evaluated to determine the likelihood that it will be sustained upon external examination by the taxing authorities. If the tax position is deemed more-likely-than-not to be sustained, the tax is then assessed as the amount of benefits to be recognized in the consolidated financial statements. The amount of benefits that may be used are the largest amounts that have a greater than 50% likelihood of being realized upon ultimate settlement. The provision for income taxes includes the effects of any resulting tax reserves or unrecognized tax benefits that are considered appropriate, as well as the related net interest received.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Basic net loss per share is computed by dividing net loss attributable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 In periods where the Company reports a net loss attributable to common stockholders, diluted net loss per share is the same as basic net loss per share, since dilutive shares of common stock are not assumed to have been issued if their effect is anti-dilutive. Diluted net loss per share is the same as basic net loss per share for the three and nine months ended September 30, 2023 and 2022 since all potential shares of common stock instruments are anti-dilutive as a result of the loss for such periods.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08"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AS 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58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76"/>
              <w:spacing w:after="0"/>
              <w:rPr>
                <w:sz w:val="20"/>
                <w:szCs w:val="20"/>
                <w:color w:val="auto"/>
              </w:rPr>
            </w:pPr>
            <w:r>
              <w:rPr>
                <w:rFonts w:ascii="Arial" w:cs="Arial" w:eastAsia="Arial" w:hAnsi="Arial"/>
                <w:sz w:val="14"/>
                <w:szCs w:val="14"/>
                <w:b w:val="1"/>
                <w:bCs w:val="1"/>
                <w:color w:val="auto"/>
              </w:rPr>
              <w:t>SEPTEMBER 30, 2023 USING:</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TOTAL</w:t>
            </w: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433</w:t>
            </w:r>
          </w:p>
        </w:tc>
      </w:tr>
      <w:tr>
        <w:trPr>
          <w:trHeight w:val="263"/>
        </w:trPr>
        <w:tc>
          <w:tcPr>
            <w:tcW w:w="5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433</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433</w:t>
            </w:r>
          </w:p>
        </w:tc>
      </w:tr>
      <w:tr>
        <w:trPr>
          <w:trHeight w:val="345"/>
        </w:trPr>
        <w:tc>
          <w:tcPr>
            <w:tcW w:w="5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AS OF</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9"/>
        </w:trPr>
        <w:tc>
          <w:tcPr>
            <w:tcW w:w="58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76"/>
              <w:spacing w:after="0"/>
              <w:rPr>
                <w:sz w:val="20"/>
                <w:szCs w:val="20"/>
                <w:color w:val="auto"/>
              </w:rPr>
            </w:pPr>
            <w:r>
              <w:rPr>
                <w:rFonts w:ascii="Arial" w:cs="Arial" w:eastAsia="Arial" w:hAnsi="Arial"/>
                <w:sz w:val="14"/>
                <w:szCs w:val="14"/>
                <w:b w:val="1"/>
                <w:bCs w:val="1"/>
                <w:color w:val="auto"/>
              </w:rPr>
              <w:t>DECEMBER 31, 2022 USING:</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TOTAL</w:t>
            </w: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1,882</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1,882</w:t>
            </w:r>
          </w:p>
        </w:tc>
      </w:tr>
      <w:tr>
        <w:trPr>
          <w:trHeight w:val="263"/>
        </w:trPr>
        <w:tc>
          <w:tcPr>
            <w:tcW w:w="5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1,882</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1,882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-984885</wp:posOffset>
            </wp:positionV>
            <wp:extent cx="939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-967740</wp:posOffset>
            </wp:positionV>
            <wp:extent cx="939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-984885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-967740</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-984885</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-967740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93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93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 Liability</w:t>
      </w:r>
    </w:p>
    <w:p>
      <w:pPr>
        <w:spacing w:after="0" w:line="108"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In connection with the November 13, 2018 issuance of Series B convertible preferred stock, the Company issued warrants to purchase shares of common stock of which certain warrants are shown as a liability on the balance sheet, see Note 10. The fair value of the warrant liability was determined based on significant inputs not observable in the market, which represents a Level 3 measurement within the fair value hierarchy. The fair value of the warrant liability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expected volatility of the price of the underlying common stock, and the remaining contractual term of the warrants. The most significant assumption in the model impacting the fair value of the common stock warrants is the fair value of the Company’s common stock as of each remeasurement date.</w:t>
      </w:r>
    </w:p>
    <w:p>
      <w:pPr>
        <w:spacing w:after="0" w:line="8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following table provides a roll forward of the aggregate fair values of the Company’s warrant liability, for which fair value is determined by Level 3 inputs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center"/>
              <w:ind w:right="359"/>
              <w:spacing w:after="0"/>
              <w:rPr>
                <w:sz w:val="20"/>
                <w:szCs w:val="20"/>
                <w:color w:val="auto"/>
              </w:rPr>
            </w:pPr>
            <w:r>
              <w:rPr>
                <w:rFonts w:ascii="Arial" w:cs="Arial" w:eastAsia="Arial" w:hAnsi="Arial"/>
                <w:sz w:val="14"/>
                <w:szCs w:val="14"/>
                <w:b w:val="1"/>
                <w:bCs w:val="1"/>
                <w:color w:val="auto"/>
              </w:rPr>
              <w:t>SERIES B</w:t>
            </w:r>
          </w:p>
        </w:tc>
      </w:tr>
      <w:tr>
        <w:trPr>
          <w:trHeight w:val="162"/>
        </w:trPr>
        <w:tc>
          <w:tcPr>
            <w:tcW w:w="40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center"/>
              <w:ind w:right="359"/>
              <w:spacing w:after="0"/>
              <w:rPr>
                <w:sz w:val="20"/>
                <w:szCs w:val="20"/>
                <w:color w:val="auto"/>
              </w:rPr>
            </w:pPr>
            <w:r>
              <w:rPr>
                <w:rFonts w:ascii="Arial" w:cs="Arial" w:eastAsia="Arial" w:hAnsi="Arial"/>
                <w:sz w:val="14"/>
                <w:szCs w:val="14"/>
                <w:b w:val="1"/>
                <w:bCs w:val="1"/>
                <w:color w:val="auto"/>
                <w:w w:val="99"/>
              </w:rPr>
              <w:t>WARRANT</w:t>
            </w:r>
          </w:p>
        </w:tc>
      </w:tr>
      <w:tr>
        <w:trPr>
          <w:trHeight w:val="189"/>
        </w:trPr>
        <w:tc>
          <w:tcPr>
            <w:tcW w:w="40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rPr>
              <w:t>LIABILITY</w:t>
            </w:r>
          </w:p>
        </w:tc>
      </w:tr>
      <w:tr>
        <w:trPr>
          <w:trHeight w:val="22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5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1,882</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5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(1,449 )</w:t>
            </w:r>
          </w:p>
        </w:tc>
      </w:tr>
      <w:tr>
        <w:trPr>
          <w:trHeight w:val="26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30, 2023</w:t>
            </w:r>
          </w:p>
        </w:tc>
        <w:tc>
          <w:tcPr>
            <w:tcW w:w="5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433</w:t>
            </w:r>
          </w:p>
        </w:tc>
      </w:tr>
      <w:tr>
        <w:trPr>
          <w:trHeight w:val="628"/>
        </w:trPr>
        <w:tc>
          <w:tcPr>
            <w:tcW w:w="4040" w:type="dxa"/>
            <w:vAlign w:val="bottom"/>
            <w:tcBorders>
              <w:top w:val="single" w:sz="8" w:color="CFF0FC"/>
            </w:tcBorders>
          </w:tcPr>
          <w:p>
            <w:pPr>
              <w:spacing w:after="0"/>
              <w:rPr>
                <w:sz w:val="24"/>
                <w:szCs w:val="24"/>
                <w:color w:val="auto"/>
              </w:rPr>
            </w:pPr>
          </w:p>
        </w:tc>
        <w:tc>
          <w:tcPr>
            <w:tcW w:w="5220" w:type="dxa"/>
            <w:vAlign w:val="bottom"/>
            <w:tcBorders>
              <w:top w:val="single" w:sz="8" w:color="CFF0FC"/>
            </w:tcBorders>
          </w:tcPr>
          <w:p>
            <w:pPr>
              <w:jc w:val="right"/>
              <w:ind w:right="3450"/>
              <w:spacing w:after="0"/>
              <w:rPr>
                <w:sz w:val="20"/>
                <w:szCs w:val="20"/>
                <w:color w:val="auto"/>
              </w:rPr>
            </w:pPr>
            <w:r>
              <w:rPr>
                <w:rFonts w:ascii="Arial" w:cs="Arial" w:eastAsia="Arial" w:hAnsi="Arial"/>
                <w:sz w:val="18"/>
                <w:szCs w:val="18"/>
                <w:color w:val="auto"/>
              </w:rPr>
              <w:t>11</w:t>
            </w:r>
          </w:p>
        </w:tc>
        <w:tc>
          <w:tcPr>
            <w:tcW w:w="3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r>
      <w:tr>
        <w:trPr>
          <w:trHeight w:val="101"/>
        </w:trPr>
        <w:tc>
          <w:tcPr>
            <w:tcW w:w="4040" w:type="dxa"/>
            <w:vAlign w:val="bottom"/>
            <w:tcBorders>
              <w:bottom w:val="single" w:sz="8" w:color="9A9A9A"/>
            </w:tcBorders>
          </w:tcPr>
          <w:p>
            <w:pPr>
              <w:spacing w:after="0"/>
              <w:rPr>
                <w:sz w:val="8"/>
                <w:szCs w:val="8"/>
                <w:color w:val="auto"/>
              </w:rPr>
            </w:pPr>
          </w:p>
        </w:tc>
        <w:tc>
          <w:tcPr>
            <w:tcW w:w="5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4. Fixed Assets, Net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Fixed assets, net consisted of the following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23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254"/>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2022</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1,209</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1,055</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160" w:type="dxa"/>
            <w:vAlign w:val="bottom"/>
          </w:tcPr>
          <w:p>
            <w:pPr>
              <w:spacing w:after="0"/>
              <w:rPr>
                <w:sz w:val="19"/>
                <w:szCs w:val="19"/>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1,201</w:t>
            </w:r>
          </w:p>
        </w:tc>
      </w:tr>
      <w:tr>
        <w:trPr>
          <w:trHeight w:val="229"/>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159</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Networking and computer equipment</w:t>
            </w:r>
          </w:p>
        </w:tc>
        <w:tc>
          <w:tcPr>
            <w:tcW w:w="160" w:type="dxa"/>
            <w:vAlign w:val="bottom"/>
          </w:tcPr>
          <w:p>
            <w:pPr>
              <w:spacing w:after="0"/>
              <w:rPr>
                <w:sz w:val="19"/>
                <w:szCs w:val="19"/>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81</w:t>
            </w:r>
          </w:p>
        </w:tc>
      </w:tr>
      <w:tr>
        <w:trPr>
          <w:trHeight w:val="22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3,099</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3,057</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 fixed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5,516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5,553</w:t>
            </w:r>
          </w:p>
        </w:tc>
      </w:tr>
      <w:tr>
        <w:trPr>
          <w:trHeight w:val="22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(1,840 )</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(1,129 )</w:t>
            </w:r>
          </w:p>
        </w:tc>
      </w:tr>
      <w:tr>
        <w:trPr>
          <w:trHeight w:val="223"/>
        </w:trPr>
        <w:tc>
          <w:tcPr>
            <w:tcW w:w="7760" w:type="dxa"/>
            <w:vAlign w:val="bottom"/>
          </w:tcPr>
          <w:p>
            <w:pPr>
              <w:ind w:left="280"/>
              <w:spacing w:after="0"/>
              <w:rPr>
                <w:sz w:val="20"/>
                <w:szCs w:val="20"/>
                <w:color w:val="auto"/>
              </w:rPr>
            </w:pPr>
            <w:r>
              <w:rPr>
                <w:rFonts w:ascii="Arial" w:cs="Arial" w:eastAsia="Arial" w:hAnsi="Arial"/>
                <w:sz w:val="18"/>
                <w:szCs w:val="18"/>
                <w:b w:val="1"/>
                <w:bCs w:val="1"/>
                <w:color w:val="auto"/>
              </w:rPr>
              <w:t>Fixed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3,676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4,424</w:t>
            </w:r>
          </w:p>
        </w:tc>
      </w:tr>
      <w:tr>
        <w:trPr>
          <w:trHeight w:val="20"/>
        </w:trPr>
        <w:tc>
          <w:tcPr>
            <w:tcW w:w="7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-479425</wp:posOffset>
            </wp:positionV>
            <wp:extent cx="111125"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-179070</wp:posOffset>
            </wp:positionV>
            <wp:extent cx="111125"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179705"/>
                    </a:xfrm>
                    <a:prstGeom prst="rect">
                      <a:avLst/>
                    </a:prstGeom>
                    <a:noFill/>
                  </pic:spPr>
                </pic:pic>
              </a:graphicData>
            </a:graphic>
          </wp:anchor>
        </w:drawing>
      </w:r>
    </w:p>
    <w:p>
      <w:pPr>
        <w:spacing w:after="0" w:line="164"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Depreciation expense for the three and nine months ended September 30, 2023 was $0.2 million and $0.7 million, respectively. Depreciation and amortization expense for the three and nine months ended September 30, 2022 was $0.2 million and $0.6 million,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2022</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employee related expenses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1,938</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2,647</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Third-party research and development expenses</w:t>
            </w:r>
          </w:p>
        </w:tc>
        <w:tc>
          <w:tcPr>
            <w:tcW w:w="160" w:type="dxa"/>
            <w:vAlign w:val="bottom"/>
          </w:tcPr>
          <w:p>
            <w:pPr>
              <w:spacing w:after="0"/>
              <w:rPr>
                <w:sz w:val="19"/>
                <w:szCs w:val="19"/>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1,094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1,486</w:t>
            </w:r>
          </w:p>
        </w:tc>
      </w:tr>
      <w:tr>
        <w:trPr>
          <w:trHeight w:val="230"/>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Professional fees and other</w:t>
            </w: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397</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590</w:t>
            </w:r>
          </w:p>
        </w:tc>
      </w:tr>
      <w:tr>
        <w:trPr>
          <w:trHeight w:val="223"/>
        </w:trPr>
        <w:tc>
          <w:tcPr>
            <w:tcW w:w="77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3,429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4,723</w:t>
            </w:r>
          </w:p>
        </w:tc>
      </w:tr>
      <w:tr>
        <w:trPr>
          <w:trHeight w:val="20"/>
        </w:trPr>
        <w:tc>
          <w:tcPr>
            <w:tcW w:w="7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-179070</wp:posOffset>
            </wp:positionV>
            <wp:extent cx="111125"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17970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w:t>
      </w:r>
    </w:p>
    <w:p>
      <w:pPr>
        <w:spacing w:after="0" w:line="10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On February 24, 2022, the Company entered into a four-year loan and security agreement (the Loan Agreement) with Silicon Valley Bank (SVB) pursuant to which SVB has agreed to provide term loans to the Company in an aggregate principal amount of up to $25.0 million. The Company borrowed $20.0 million upon entering into the Loan Agreement. The Company could have borrowed up to an additional aggregate principal amount not to exceed $5.0 million, at any time on or prior to December 31, 2022, upon achievement of all of the following milestones, inclusively: (a) positive phase 2 clinical activity data from the Company’s CAN-2409 NSCLC clinical trial, (b) dosing of its first patient in its phase 3 CAN-2409 high-grade glioma clinical trial, and (c) receipt on or prior to December 31, 2022, of net cash proceeds in an amount equal to at least $75.0 million from the issuance and sale of equity securities to investors acceptable to SVB. The Company did not borrow any of the additional aggregate principal amount on or prior to December 31, 2022. The term loan is secured by substantially all of the Company’s properties, rights and assets, except for its intellectual property, which is subject to a negative pledge under the Loan Agreement.</w:t>
      </w:r>
    </w:p>
    <w:p>
      <w:pPr>
        <w:spacing w:after="0" w:line="86"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repayment.</w:t>
      </w:r>
    </w:p>
    <w:p>
      <w:pPr>
        <w:spacing w:after="0" w:line="8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During the three and nine months ended September 30, 2023, the Company recorded interest expense relating to the Loan Agreement of $0.6 million and $1.8 million, respectively. During the three and nine months ended September 30, 2022, the Company recorded interest expense relating to the Loan Agreement of $0.5 million and $1.1 million, respectively. The weighted average effective interest rate as of September 30, 2023 was 10.91%.</w:t>
      </w:r>
    </w:p>
    <w:p>
      <w:pPr>
        <w:spacing w:after="0" w:line="82" w:lineRule="exact"/>
        <w:rPr>
          <w:sz w:val="20"/>
          <w:szCs w:val="20"/>
          <w:color w:val="auto"/>
        </w:rPr>
      </w:pPr>
    </w:p>
    <w:p>
      <w:pPr>
        <w:jc w:val="both"/>
        <w:ind w:right="40"/>
        <w:spacing w:after="0" w:line="245" w:lineRule="auto"/>
        <w:rPr>
          <w:sz w:val="20"/>
          <w:szCs w:val="20"/>
          <w:color w:val="auto"/>
        </w:rPr>
      </w:pPr>
      <w:r>
        <w:rPr>
          <w:rFonts w:ascii="Arial" w:cs="Arial" w:eastAsia="Arial" w:hAnsi="Arial"/>
          <w:sz w:val="17"/>
          <w:szCs w:val="17"/>
          <w:color w:val="auto"/>
        </w:rPr>
        <w:t>The Company incurred $89,000 of debt issuance costs and will incur a $0.9 million final payment fee, which were recorded as debt discount and are being amortized over the term of the Loan Agreement. The scheduled principal payments and net carrying amount of the term loan are as follows (in thousands):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9"/>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(remaining three months)</w:t>
            </w:r>
          </w:p>
        </w:tc>
        <w:tc>
          <w:tcPr>
            <w:tcW w:w="1400" w:type="dxa"/>
            <w:vAlign w:val="bottom"/>
            <w:shd w:val="clear" w:color="auto" w:fill="CFF0FC"/>
          </w:tcPr>
          <w:p>
            <w:pPr>
              <w:jc w:val="right"/>
              <w:ind w:right="119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2024</w:t>
            </w:r>
          </w:p>
        </w:tc>
        <w:tc>
          <w:tcPr>
            <w:tcW w:w="1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8,870</w:t>
            </w:r>
          </w:p>
        </w:tc>
        <w:tc>
          <w:tcPr>
            <w:tcW w:w="100" w:type="dxa"/>
            <w:vAlign w:val="bottom"/>
          </w:tcPr>
          <w:p>
            <w:pPr>
              <w:spacing w:after="0"/>
              <w:rPr>
                <w:sz w:val="19"/>
                <w:szCs w:val="19"/>
                <w:color w:val="auto"/>
              </w:rPr>
            </w:pPr>
          </w:p>
        </w:tc>
      </w:tr>
      <w:tr>
        <w:trPr>
          <w:trHeight w:val="230"/>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40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w:t>
            </w:r>
          </w:p>
        </w:tc>
        <w:tc>
          <w:tcPr>
            <w:tcW w:w="100" w:type="dxa"/>
            <w:vAlign w:val="bottom"/>
            <w:shd w:val="clear" w:color="auto" w:fill="CFF0FC"/>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2026</w:t>
            </w:r>
          </w:p>
        </w:tc>
        <w:tc>
          <w:tcPr>
            <w:tcW w:w="1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r>
      <w:tr>
        <w:trPr>
          <w:trHeight w:val="223"/>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principal</w:t>
            </w:r>
          </w:p>
        </w:tc>
        <w:tc>
          <w:tcPr>
            <w:tcW w:w="140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Final payment fee</w:t>
            </w:r>
          </w:p>
        </w:tc>
        <w:tc>
          <w:tcPr>
            <w:tcW w:w="1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r>
      <w:tr>
        <w:trPr>
          <w:trHeight w:val="22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debt discount</w:t>
            </w:r>
          </w:p>
        </w:tc>
        <w:tc>
          <w:tcPr>
            <w:tcW w:w="14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(989 )</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Accretion of debt discount</w:t>
            </w:r>
          </w:p>
        </w:tc>
        <w:tc>
          <w:tcPr>
            <w:tcW w:w="1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r>
      <w:tr>
        <w:trPr>
          <w:trHeight w:val="223"/>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carrying amount</w:t>
            </w:r>
          </w:p>
        </w:tc>
        <w:tc>
          <w:tcPr>
            <w:tcW w:w="140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20,439</w:t>
            </w:r>
          </w:p>
        </w:tc>
        <w:tc>
          <w:tcPr>
            <w:tcW w:w="100" w:type="dxa"/>
            <w:vAlign w:val="bottom"/>
            <w:shd w:val="clear" w:color="auto" w:fill="CFF0FC"/>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400" w:type="dxa"/>
            <w:vAlign w:val="bottom"/>
          </w:tcPr>
          <w:p>
            <w:pPr>
              <w:spacing w:after="0"/>
              <w:rPr>
                <w:sz w:val="19"/>
                <w:szCs w:val="19"/>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(6,100 )</w:t>
            </w:r>
          </w:p>
        </w:tc>
      </w:tr>
      <w:tr>
        <w:trPr>
          <w:trHeight w:val="263"/>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portion</w:t>
            </w:r>
          </w:p>
        </w:tc>
        <w:tc>
          <w:tcPr>
            <w:tcW w:w="1400" w:type="dxa"/>
            <w:vAlign w:val="bottom"/>
            <w:tcBorders>
              <w:top w:val="single" w:sz="8" w:color="auto"/>
              <w:bottom w:val="single" w:sz="8" w:color="auto"/>
            </w:tcBorders>
            <w:shd w:val="clear" w:color="auto" w:fill="CFF0FC"/>
          </w:tcPr>
          <w:p>
            <w:pPr>
              <w:jc w:val="right"/>
              <w:ind w:right="11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Company's term loan approximates fair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Long-Term Debt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Periphagen Note</w:t>
      </w:r>
    </w:p>
    <w:p>
      <w:pPr>
        <w:spacing w:after="0" w:line="114"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7"/>
          <w:szCs w:val="17"/>
          <w:color w:val="auto"/>
        </w:rPr>
        <w:t>December 9, 2019, the Company entered into a series of asset purchase agreements with Periphagen, Inc. (Periphagen), a biopharmaceutical</w:t>
      </w:r>
      <w:r>
        <w:rPr>
          <w:rFonts w:ascii="Arial" w:cs="Arial" w:eastAsia="Arial" w:hAnsi="Arial"/>
          <w:sz w:val="18"/>
          <w:szCs w:val="18"/>
          <w:color w:val="auto"/>
        </w:rPr>
        <w:t xml:space="preserve"> </w:t>
      </w:r>
      <w:r>
        <w:rPr>
          <w:rFonts w:ascii="Arial" w:cs="Arial" w:eastAsia="Arial" w:hAnsi="Arial"/>
          <w:sz w:val="17"/>
          <w:szCs w:val="17"/>
          <w:color w:val="auto"/>
        </w:rPr>
        <w:t>company focused on the development of gene therapy vectors. Under the terms of the asset purchase agreements, the Company assumed a $1.0 million promissory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 million at the transaction date. As of September 30, 2023, the carrying value of the note is $0.7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8. Lease</w:t>
      </w:r>
    </w:p>
    <w:p>
      <w:pPr>
        <w:spacing w:after="0" w:line="108"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On February 4, 2019, the Company signed a lease agreement for its new corporate headquarters at 117 Kendrick Street in Needham, Massachusetts. The facility consists of a 15,197 square foot property which houses the corporate, clinical, laboratory and manufacturing operations for the Company. The lease term ends on August 31, 2026. Prior to occupying the new space, the Company had construction performed to modify the space to meet its needs. The Company received $0.8 million as a reimbursement by our landlord for a tenant improvement. The $0.8 million lease incentive was recorded as reduction to the lease right of use asset recorded to the Company's condensed consolidated balance sheet upon adoption of ASC 842 on January 1, 2022.</w:t>
      </w:r>
    </w:p>
    <w:p>
      <w:pPr>
        <w:spacing w:after="0" w:line="84"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For the three and nine months ended September 30, 2023, the Company recorded $90,000 and $0.3 million, respectively, of operating lease cost and for the three and nine months ended September 30, 2023, the Company has recorded $35,000 and $0.1 million, respectively, of variable lease cost. The total lease expense for each of the three and nine months ended September 30, 2023 was $0.1 million and $0.4 million, respectively.</w:t>
      </w:r>
    </w:p>
    <w:p>
      <w:pPr>
        <w:spacing w:after="0" w:line="76"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For the three and nine months ended September 30, 2022, the Company recorded $90,000 and $0.3 million, respectively, of operating lease cost and for the three and nine months ended September 30, 2022, the Company has recorded $31,000 and $0.1 million, respectively, of variable lease cost. The total lease expense for the three and nine months ended September 30, 2022 was $0.1 million and $0.4 million, respectively.</w:t>
      </w:r>
    </w:p>
    <w:p>
      <w:pPr>
        <w:spacing w:after="0" w:line="76"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Cash paid for amounts included in the lease liability for each of the three and nine months ended September 30, 2023 and 2022 was $0.1 million and $0.4 million, respectively.</w:t>
      </w:r>
    </w:p>
    <w:p>
      <w:pPr>
        <w:spacing w:after="0" w:line="192" w:lineRule="exact"/>
        <w:rPr>
          <w:sz w:val="20"/>
          <w:szCs w:val="20"/>
          <w:color w:val="auto"/>
        </w:rPr>
      </w:pPr>
    </w:p>
    <w:tbl>
      <w:tblPr>
        <w:tblLayout w:type="fixed"/>
        <w:tblInd w:w="120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40" w:type="dxa"/>
            <w:vAlign w:val="bottom"/>
            <w:gridSpan w:val="3"/>
          </w:tcPr>
          <w:p>
            <w:pPr>
              <w:jc w:val="center"/>
              <w:ind w:left="701"/>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2"/>
        </w:trPr>
        <w:tc>
          <w:tcPr>
            <w:tcW w:w="4720" w:type="dxa"/>
            <w:vAlign w:val="bottom"/>
            <w:gridSpan w:val="2"/>
          </w:tcPr>
          <w:p>
            <w:pPr>
              <w:ind w:left="1620"/>
              <w:spacing w:after="0"/>
              <w:rPr>
                <w:sz w:val="20"/>
                <w:szCs w:val="20"/>
                <w:color w:val="auto"/>
              </w:rPr>
            </w:pPr>
            <w:r>
              <w:rPr>
                <w:rFonts w:ascii="Arial" w:cs="Arial" w:eastAsia="Arial" w:hAnsi="Arial"/>
                <w:sz w:val="14"/>
                <w:szCs w:val="14"/>
                <w:b w:val="1"/>
                <w:bCs w:val="1"/>
                <w:color w:val="auto"/>
              </w:rPr>
              <w:t>Other Information</w:t>
            </w:r>
          </w:p>
        </w:tc>
        <w:tc>
          <w:tcPr>
            <w:tcW w:w="420" w:type="dxa"/>
            <w:vAlign w:val="bottom"/>
          </w:tcPr>
          <w:p>
            <w:pPr>
              <w:spacing w:after="0"/>
              <w:rPr>
                <w:sz w:val="15"/>
                <w:szCs w:val="15"/>
                <w:color w:val="auto"/>
              </w:rPr>
            </w:pPr>
          </w:p>
        </w:tc>
        <w:tc>
          <w:tcPr>
            <w:tcW w:w="1400" w:type="dxa"/>
            <w:vAlign w:val="bottom"/>
          </w:tcPr>
          <w:p>
            <w:pPr>
              <w:jc w:val="right"/>
              <w:ind w:right="681"/>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ind w:right="71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4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Operating cash flows used for operating leases</w:t>
            </w:r>
          </w:p>
        </w:tc>
        <w:tc>
          <w:tcPr>
            <w:tcW w:w="2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5"/>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434</w:t>
            </w:r>
          </w:p>
        </w:tc>
        <w:tc>
          <w:tcPr>
            <w:tcW w:w="32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3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423</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20" w:type="dxa"/>
            <w:vAlign w:val="bottom"/>
            <w:gridSpan w:val="2"/>
          </w:tcPr>
          <w:p>
            <w:pPr>
              <w:ind w:left="60"/>
              <w:spacing w:after="0"/>
              <w:rPr>
                <w:sz w:val="20"/>
                <w:szCs w:val="20"/>
                <w:color w:val="auto"/>
              </w:rPr>
            </w:pPr>
            <w:r>
              <w:rPr>
                <w:rFonts w:ascii="Arial" w:cs="Arial" w:eastAsia="Arial" w:hAnsi="Arial"/>
                <w:sz w:val="17"/>
                <w:szCs w:val="17"/>
                <w:color w:val="auto"/>
              </w:rPr>
              <w:t>Weighted-average remaining lease term (years)</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2.9</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20" w:type="dxa"/>
            <w:vAlign w:val="bottom"/>
            <w:gridSpan w:val="2"/>
          </w:tcPr>
          <w:p>
            <w:pPr>
              <w:ind w:left="60"/>
              <w:spacing w:after="0"/>
              <w:rPr>
                <w:sz w:val="20"/>
                <w:szCs w:val="20"/>
                <w:color w:val="auto"/>
              </w:rPr>
            </w:pPr>
            <w:r>
              <w:rPr>
                <w:rFonts w:ascii="Arial" w:cs="Arial" w:eastAsia="Arial" w:hAnsi="Arial"/>
                <w:sz w:val="17"/>
                <w:szCs w:val="17"/>
                <w:color w:val="auto"/>
              </w:rPr>
              <w:t>Weighted-average incremental borrowing rate</w:t>
            </w:r>
          </w:p>
        </w:tc>
        <w:tc>
          <w:tcPr>
            <w:tcW w:w="4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7"/>
                <w:szCs w:val="17"/>
                <w:color w:val="auto"/>
              </w:rPr>
              <w:t>7.02 %</w:t>
            </w:r>
          </w:p>
        </w:tc>
        <w:tc>
          <w:tcPr>
            <w:tcW w:w="7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7.02 %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-136525</wp:posOffset>
            </wp:positionV>
            <wp:extent cx="563181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31815" cy="13716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future lease payments under non-cancelable leases at September 30, 2023,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shd w:val="clear" w:color="auto" w:fill="CFF0FC"/>
          </w:tcPr>
          <w:p>
            <w:pPr>
              <w:jc w:val="right"/>
              <w:ind w:right="7735"/>
              <w:spacing w:after="0"/>
              <w:rPr>
                <w:sz w:val="20"/>
                <w:szCs w:val="20"/>
                <w:color w:val="auto"/>
              </w:rPr>
            </w:pPr>
            <w:r>
              <w:rPr>
                <w:rFonts w:ascii="Arial" w:cs="Arial" w:eastAsia="Arial" w:hAnsi="Arial"/>
                <w:sz w:val="17"/>
                <w:szCs w:val="17"/>
                <w:color w:val="auto"/>
              </w:rPr>
              <w:t>2023</w:t>
            </w:r>
          </w:p>
        </w:tc>
        <w:tc>
          <w:tcPr>
            <w:tcW w:w="1260" w:type="dxa"/>
            <w:vAlign w:val="bottom"/>
            <w:shd w:val="clear" w:color="auto" w:fill="CFF0FC"/>
          </w:tcPr>
          <w:p>
            <w:pPr>
              <w:jc w:val="right"/>
              <w:ind w:right="1075"/>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jc w:val="right"/>
              <w:ind w:right="7735"/>
              <w:spacing w:after="0"/>
              <w:rPr>
                <w:sz w:val="20"/>
                <w:szCs w:val="20"/>
                <w:color w:val="auto"/>
              </w:rPr>
            </w:pPr>
            <w:r>
              <w:rPr>
                <w:rFonts w:ascii="Arial" w:cs="Arial" w:eastAsia="Arial" w:hAnsi="Arial"/>
                <w:sz w:val="17"/>
                <w:szCs w:val="17"/>
                <w:color w:val="auto"/>
              </w:rPr>
              <w:t>2024</w:t>
            </w:r>
          </w:p>
        </w:tc>
        <w:tc>
          <w:tcPr>
            <w:tcW w:w="1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598</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jc w:val="right"/>
              <w:ind w:right="7735"/>
              <w:spacing w:after="0"/>
              <w:rPr>
                <w:sz w:val="20"/>
                <w:szCs w:val="20"/>
                <w:color w:val="auto"/>
              </w:rPr>
            </w:pPr>
            <w:r>
              <w:rPr>
                <w:rFonts w:ascii="Arial" w:cs="Arial" w:eastAsia="Arial" w:hAnsi="Arial"/>
                <w:sz w:val="17"/>
                <w:szCs w:val="17"/>
                <w:color w:val="auto"/>
              </w:rPr>
              <w:t>2025</w:t>
            </w:r>
          </w:p>
        </w:tc>
        <w:tc>
          <w:tcPr>
            <w:tcW w:w="12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613</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jc w:val="right"/>
              <w:ind w:right="7735"/>
              <w:spacing w:after="0"/>
              <w:rPr>
                <w:sz w:val="20"/>
                <w:szCs w:val="20"/>
                <w:color w:val="auto"/>
              </w:rPr>
            </w:pPr>
            <w:r>
              <w:rPr>
                <w:rFonts w:ascii="Arial" w:cs="Arial" w:eastAsia="Arial" w:hAnsi="Arial"/>
                <w:sz w:val="17"/>
                <w:szCs w:val="17"/>
                <w:color w:val="auto"/>
              </w:rPr>
              <w:t>2026</w:t>
            </w:r>
          </w:p>
        </w:tc>
        <w:tc>
          <w:tcPr>
            <w:tcW w:w="1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w:t>
            </w:r>
          </w:p>
        </w:tc>
        <w:tc>
          <w:tcPr>
            <w:tcW w:w="100" w:type="dxa"/>
            <w:vAlign w:val="bottom"/>
          </w:tcPr>
          <w:p>
            <w:pPr>
              <w:spacing w:after="0"/>
              <w:rPr>
                <w:sz w:val="18"/>
                <w:szCs w:val="18"/>
                <w:color w:val="auto"/>
              </w:rPr>
            </w:pPr>
          </w:p>
        </w:tc>
      </w:tr>
      <w:tr>
        <w:trPr>
          <w:trHeight w:val="210"/>
        </w:trPr>
        <w:tc>
          <w:tcPr>
            <w:tcW w:w="8260" w:type="dxa"/>
            <w:vAlign w:val="bottom"/>
            <w:shd w:val="clear" w:color="auto" w:fill="CFF0FC"/>
          </w:tcPr>
          <w:p>
            <w:pPr>
              <w:jc w:val="right"/>
              <w:ind w:right="5775"/>
              <w:spacing w:after="0"/>
              <w:rPr>
                <w:sz w:val="20"/>
                <w:szCs w:val="20"/>
                <w:color w:val="auto"/>
              </w:rPr>
            </w:pPr>
            <w:r>
              <w:rPr>
                <w:rFonts w:ascii="Arial" w:cs="Arial" w:eastAsia="Arial" w:hAnsi="Arial"/>
                <w:sz w:val="17"/>
                <w:szCs w:val="17"/>
                <w:color w:val="auto"/>
              </w:rPr>
              <w:t>Total future lease payments</w:t>
            </w:r>
          </w:p>
        </w:tc>
        <w:tc>
          <w:tcPr>
            <w:tcW w:w="12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1,774</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126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7"/>
                <w:szCs w:val="17"/>
                <w:color w:val="auto"/>
              </w:rPr>
              <w:t>(167 )</w:t>
            </w:r>
          </w:p>
        </w:tc>
      </w:tr>
      <w:tr>
        <w:trPr>
          <w:trHeight w:val="250"/>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lease liability</w:t>
            </w:r>
          </w:p>
        </w:tc>
        <w:tc>
          <w:tcPr>
            <w:tcW w:w="1260" w:type="dxa"/>
            <w:vAlign w:val="bottom"/>
            <w:tcBorders>
              <w:top w:val="single" w:sz="8" w:color="auto"/>
              <w:bottom w:val="single" w:sz="8" w:color="auto"/>
            </w:tcBorders>
            <w:shd w:val="clear" w:color="auto" w:fill="CFF0FC"/>
          </w:tcPr>
          <w:p>
            <w:pPr>
              <w:jc w:val="right"/>
              <w:ind w:right="1075"/>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 and Preferred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authorized 10,000,000 shares of $0.01 par value preferred stock at September 30, 2023 and December 31, 2022.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8"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The Company has authorized 150,000,000 shares of $0.01 par value common stock at September 30, 2023 and December 31, 2022 of which 29,042,418 were issued as of September 30, 2023 and December 31, 2022. The Company had 28,919,810 outstanding shares as of September 30, 2023 and December 31, 2022. Common shares are voting and dividends may be paid when, as and if declared by the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reserved the following shares of common stock for future issuance as of:</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120" w:type="dxa"/>
            <w:vAlign w:val="bottom"/>
          </w:tcPr>
          <w:p>
            <w:pPr>
              <w:jc w:val="right"/>
              <w:ind w:right="41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right"/>
              <w:ind w:right="40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200"/>
        </w:trPr>
        <w:tc>
          <w:tcPr>
            <w:tcW w:w="6780" w:type="dxa"/>
            <w:vAlign w:val="bottom"/>
          </w:tcPr>
          <w:p>
            <w:pPr>
              <w:spacing w:after="0"/>
              <w:rPr>
                <w:sz w:val="17"/>
                <w:szCs w:val="17"/>
                <w:color w:val="auto"/>
              </w:rPr>
            </w:pPr>
          </w:p>
        </w:tc>
        <w:tc>
          <w:tcPr>
            <w:tcW w:w="2120" w:type="dxa"/>
            <w:vAlign w:val="bottom"/>
          </w:tcPr>
          <w:p>
            <w:pPr>
              <w:jc w:val="right"/>
              <w:ind w:right="818"/>
              <w:spacing w:after="0"/>
              <w:rPr>
                <w:sz w:val="20"/>
                <w:szCs w:val="20"/>
                <w:color w:val="auto"/>
              </w:rPr>
            </w:pPr>
            <w:r>
              <w:rPr>
                <w:rFonts w:ascii="Arial" w:cs="Arial" w:eastAsia="Arial" w:hAnsi="Arial"/>
                <w:sz w:val="14"/>
                <w:szCs w:val="14"/>
                <w:b w:val="1"/>
                <w:bCs w:val="1"/>
                <w:color w:val="auto"/>
              </w:rPr>
              <w:t>2023</w:t>
            </w:r>
          </w:p>
        </w:tc>
        <w:tc>
          <w:tcPr>
            <w:tcW w:w="2240" w:type="dxa"/>
            <w:vAlign w:val="bottom"/>
            <w:gridSpan w:val="3"/>
          </w:tcPr>
          <w:p>
            <w:pPr>
              <w:jc w:val="right"/>
              <w:ind w:right="7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r>
      <w:tr>
        <w:trPr>
          <w:trHeight w:val="178"/>
        </w:trPr>
        <w:tc>
          <w:tcPr>
            <w:tcW w:w="678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 options outstanding</w:t>
            </w: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6,061,521</w:t>
            </w:r>
          </w:p>
        </w:tc>
        <w:tc>
          <w:tcPr>
            <w:tcW w:w="10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5,645,420</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7"/>
                <w:szCs w:val="17"/>
                <w:color w:val="auto"/>
              </w:rPr>
              <w:t>Unvested restricted stock</w:t>
            </w:r>
          </w:p>
        </w:tc>
        <w:tc>
          <w:tcPr>
            <w:tcW w:w="2120" w:type="dxa"/>
            <w:vAlign w:val="bottom"/>
          </w:tcPr>
          <w:p>
            <w:pPr>
              <w:jc w:val="right"/>
              <w:spacing w:after="0"/>
              <w:rPr>
                <w:sz w:val="20"/>
                <w:szCs w:val="20"/>
                <w:color w:val="auto"/>
              </w:rPr>
            </w:pPr>
            <w:r>
              <w:rPr>
                <w:rFonts w:ascii="Arial" w:cs="Arial" w:eastAsia="Arial" w:hAnsi="Arial"/>
                <w:sz w:val="17"/>
                <w:szCs w:val="17"/>
                <w:color w:val="auto"/>
              </w:rPr>
              <w:t>612,366</w:t>
            </w:r>
          </w:p>
        </w:tc>
        <w:tc>
          <w:tcPr>
            <w:tcW w:w="2240" w:type="dxa"/>
            <w:vAlign w:val="bottom"/>
            <w:gridSpan w:val="3"/>
          </w:tcPr>
          <w:p>
            <w:pPr>
              <w:jc w:val="right"/>
              <w:spacing w:after="0"/>
              <w:rPr>
                <w:sz w:val="20"/>
                <w:szCs w:val="20"/>
                <w:color w:val="auto"/>
              </w:rPr>
            </w:pPr>
            <w:r>
              <w:rPr>
                <w:rFonts w:ascii="Arial" w:cs="Arial" w:eastAsia="Arial" w:hAnsi="Arial"/>
                <w:sz w:val="17"/>
                <w:szCs w:val="17"/>
                <w:color w:val="auto"/>
              </w:rPr>
              <w:t>612,366</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Shares available for future grant under stock option plan</w:t>
            </w: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1,962,770</w:t>
            </w:r>
          </w:p>
        </w:tc>
        <w:tc>
          <w:tcPr>
            <w:tcW w:w="22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1,311,915</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7"/>
                <w:szCs w:val="17"/>
                <w:color w:val="auto"/>
              </w:rPr>
              <w:t>Warrants</w:t>
            </w:r>
          </w:p>
        </w:tc>
        <w:tc>
          <w:tcPr>
            <w:tcW w:w="2120" w:type="dxa"/>
            <w:vAlign w:val="bottom"/>
          </w:tcPr>
          <w:p>
            <w:pPr>
              <w:jc w:val="right"/>
              <w:spacing w:after="0"/>
              <w:rPr>
                <w:sz w:val="20"/>
                <w:szCs w:val="20"/>
                <w:color w:val="auto"/>
              </w:rPr>
            </w:pPr>
            <w:r>
              <w:rPr>
                <w:rFonts w:ascii="Arial" w:cs="Arial" w:eastAsia="Arial" w:hAnsi="Arial"/>
                <w:sz w:val="17"/>
                <w:szCs w:val="17"/>
                <w:color w:val="auto"/>
              </w:rPr>
              <w:t>7,507,708</w:t>
            </w:r>
          </w:p>
        </w:tc>
        <w:tc>
          <w:tcPr>
            <w:tcW w:w="2240" w:type="dxa"/>
            <w:vAlign w:val="bottom"/>
            <w:gridSpan w:val="3"/>
          </w:tcPr>
          <w:p>
            <w:pPr>
              <w:jc w:val="right"/>
              <w:spacing w:after="0"/>
              <w:rPr>
                <w:sz w:val="20"/>
                <w:szCs w:val="20"/>
                <w:color w:val="auto"/>
              </w:rPr>
            </w:pPr>
            <w:r>
              <w:rPr>
                <w:rFonts w:ascii="Arial" w:cs="Arial" w:eastAsia="Arial" w:hAnsi="Arial"/>
                <w:sz w:val="17"/>
                <w:szCs w:val="17"/>
                <w:color w:val="auto"/>
              </w:rPr>
              <w:t>7,507,708</w:t>
            </w:r>
          </w:p>
        </w:tc>
        <w:tc>
          <w:tcPr>
            <w:tcW w:w="100" w:type="dxa"/>
            <w:vAlign w:val="bottom"/>
          </w:tcPr>
          <w:p>
            <w:pPr>
              <w:spacing w:after="0"/>
              <w:rPr>
                <w:sz w:val="18"/>
                <w:szCs w:val="18"/>
                <w:color w:val="auto"/>
              </w:rPr>
            </w:pPr>
          </w:p>
        </w:tc>
      </w:tr>
      <w:tr>
        <w:trPr>
          <w:trHeight w:val="249"/>
        </w:trPr>
        <w:tc>
          <w:tcPr>
            <w:tcW w:w="6780" w:type="dxa"/>
            <w:vAlign w:val="bottom"/>
            <w:tcBorders>
              <w:bottom w:val="single" w:sz="8" w:color="CFF0FC"/>
            </w:tcBorders>
            <w:shd w:val="clear" w:color="auto" w:fill="CFF0FC"/>
          </w:tcPr>
          <w:p>
            <w:pPr>
              <w:spacing w:after="0"/>
              <w:rPr>
                <w:sz w:val="21"/>
                <w:szCs w:val="21"/>
                <w:color w:val="auto"/>
              </w:rPr>
            </w:pP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16,144,365</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15,077,409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Company completed its IPO on July 29, 2021 and issued 9,000,000 shares of its common stock at a price to the public of $8.00 per share. On August 13, 2021, the Company issued an additional 887,994 shares of its common stock at a price of $8.00 per share pursuant to a partial exercise of the underwriters' purchase option. Total net proceeds to the Company from the issuance of the 9,877,994 shares of common stock were $71.3 million, after deducting underwriting discounts, commissions and offering expenses. Upon closing of the IPO, all outstanding shares of the Company’s Preferred Stock automatically converted into 7,066,398 shares of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and At-the-Market Offerings</w:t>
      </w:r>
    </w:p>
    <w:p>
      <w:pPr>
        <w:spacing w:after="0" w:line="11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On August 5, 2022, the Company filed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Shelf was declared effective by the SEC on August 12, 2022. Due to the SEC’s “baby shelf rules,” which prohibit companies with a public float of less than $75.0 million from issuing securities under a shelf registration statement in excess of one third of such company’s public float in a 12-month period, the Company is currently only able to issue a limited number of shares which aggregate to no more than one-third of its public float using the Shelf. As of the date hereof, no sales have been made pursuant to the ATM Program.</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the following warrants outstanding for the purchase of common stock as of September 30, 2023 and December 31, 2022:</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ind w:right="48"/>
              <w:spacing w:after="0"/>
              <w:rPr>
                <w:sz w:val="20"/>
                <w:szCs w:val="20"/>
                <w:color w:val="auto"/>
              </w:rPr>
            </w:pPr>
            <w:r>
              <w:rPr>
                <w:rFonts w:ascii="Arial" w:cs="Arial" w:eastAsia="Arial" w:hAnsi="Arial"/>
                <w:sz w:val="14"/>
                <w:szCs w:val="14"/>
                <w:b w:val="1"/>
                <w:bCs w:val="1"/>
                <w:color w:val="auto"/>
              </w:rPr>
              <w:t>SHARES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ind w:right="48"/>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259"/>
              <w:spacing w:after="0"/>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ind w:right="48"/>
              <w:spacing w:after="0"/>
              <w:rPr>
                <w:sz w:val="20"/>
                <w:szCs w:val="20"/>
                <w:color w:val="auto"/>
              </w:rPr>
            </w:pPr>
            <w:r>
              <w:rPr>
                <w:rFonts w:ascii="Arial" w:cs="Arial" w:eastAsia="Arial" w:hAnsi="Arial"/>
                <w:sz w:val="14"/>
                <w:szCs w:val="14"/>
                <w:b w:val="1"/>
                <w:bCs w:val="1"/>
                <w:color w:val="auto"/>
              </w:rPr>
              <w:t>SUBJECT TO</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239"/>
              <w:spacing w:after="0"/>
              <w:rPr>
                <w:sz w:val="20"/>
                <w:szCs w:val="20"/>
                <w:color w:val="auto"/>
              </w:rPr>
            </w:pPr>
            <w:r>
              <w:rPr>
                <w:rFonts w:ascii="Arial" w:cs="Arial" w:eastAsia="Arial" w:hAnsi="Arial"/>
                <w:sz w:val="14"/>
                <w:szCs w:val="14"/>
                <w:b w:val="1"/>
                <w:bCs w:val="1"/>
                <w:color w:val="auto"/>
              </w:rPr>
              <w:t>PRICE PER</w:t>
            </w:r>
          </w:p>
        </w:tc>
        <w:tc>
          <w:tcPr>
            <w:tcW w:w="100" w:type="dxa"/>
            <w:vAlign w:val="bottom"/>
          </w:tcPr>
          <w:p>
            <w:pPr>
              <w:spacing w:after="0"/>
              <w:rPr>
                <w:sz w:val="14"/>
                <w:szCs w:val="14"/>
                <w:color w:val="auto"/>
              </w:rPr>
            </w:pPr>
          </w:p>
        </w:tc>
        <w:tc>
          <w:tcPr>
            <w:tcW w:w="1560" w:type="dxa"/>
            <w:vAlign w:val="bottom"/>
          </w:tcPr>
          <w:p>
            <w:pPr>
              <w:jc w:val="right"/>
              <w:ind w:right="257"/>
              <w:spacing w:after="0"/>
              <w:rPr>
                <w:sz w:val="20"/>
                <w:szCs w:val="20"/>
                <w:color w:val="auto"/>
              </w:rPr>
            </w:pPr>
            <w:r>
              <w:rPr>
                <w:rFonts w:ascii="Arial" w:cs="Arial" w:eastAsia="Arial" w:hAnsi="Arial"/>
                <w:sz w:val="14"/>
                <w:szCs w:val="14"/>
                <w:b w:val="1"/>
                <w:bCs w:val="1"/>
                <w:color w:val="auto"/>
              </w:rPr>
              <w:t>EXPIRATION</w:t>
            </w:r>
          </w:p>
        </w:tc>
      </w:tr>
      <w:tr>
        <w:trPr>
          <w:trHeight w:val="18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6"/>
                <w:szCs w:val="16"/>
                <w:color w:val="auto"/>
              </w:rPr>
            </w:pPr>
          </w:p>
        </w:tc>
        <w:tc>
          <w:tcPr>
            <w:tcW w:w="1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DATES</w:t>
            </w:r>
          </w:p>
        </w:tc>
      </w:tr>
      <w:tr>
        <w:trPr>
          <w:trHeight w:val="223"/>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B Warrants</w:t>
            </w:r>
          </w:p>
        </w:tc>
        <w:tc>
          <w:tcPr>
            <w:tcW w:w="19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3,672,484</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November 2025</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Conditional Series B Warrants</w:t>
            </w:r>
          </w:p>
        </w:tc>
        <w:tc>
          <w:tcPr>
            <w:tcW w:w="1920" w:type="dxa"/>
            <w:vAlign w:val="bottom"/>
            <w:gridSpan w:val="2"/>
          </w:tcPr>
          <w:p>
            <w:pPr>
              <w:jc w:val="right"/>
              <w:ind w:right="48"/>
              <w:spacing w:after="0"/>
              <w:rPr>
                <w:sz w:val="20"/>
                <w:szCs w:val="20"/>
                <w:color w:val="auto"/>
              </w:rPr>
            </w:pPr>
            <w:r>
              <w:rPr>
                <w:rFonts w:ascii="Arial" w:cs="Arial" w:eastAsia="Arial" w:hAnsi="Arial"/>
                <w:sz w:val="18"/>
                <w:szCs w:val="18"/>
                <w:color w:val="auto"/>
              </w:rPr>
              <w:t>3,672,484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November 2025</w:t>
            </w:r>
          </w:p>
        </w:tc>
      </w:tr>
      <w:tr>
        <w:trPr>
          <w:trHeight w:val="22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NC Ohio Trust</w:t>
            </w:r>
          </w:p>
        </w:tc>
        <w:tc>
          <w:tcPr>
            <w:tcW w:w="19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162,740</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2029</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114" w:lineRule="exact"/>
        <w:rPr>
          <w:sz w:val="20"/>
          <w:szCs w:val="20"/>
          <w:color w:val="auto"/>
        </w:rPr>
      </w:pPr>
    </w:p>
    <w:p>
      <w:pPr>
        <w:jc w:val="both"/>
        <w:ind w:right="340"/>
        <w:spacing w:after="0" w:line="237"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7"/>
          <w:szCs w:val="17"/>
          <w:color w:val="auto"/>
        </w:rPr>
        <w:t>connection with the November 13, 2018 issuance of Series B convertible preferred stock (the Series B Preferred), the Company issued to the</w:t>
      </w:r>
      <w:r>
        <w:rPr>
          <w:rFonts w:ascii="Arial" w:cs="Arial" w:eastAsia="Arial" w:hAnsi="Arial"/>
          <w:sz w:val="18"/>
          <w:szCs w:val="18"/>
          <w:color w:val="auto"/>
        </w:rPr>
        <w:t xml:space="preserve"> </w:t>
      </w:r>
      <w:r>
        <w:rPr>
          <w:rFonts w:ascii="Arial" w:cs="Arial" w:eastAsia="Arial" w:hAnsi="Arial"/>
          <w:sz w:val="17"/>
          <w:szCs w:val="17"/>
          <w:color w:val="auto"/>
        </w:rPr>
        <w:t>purchaser of the Series B Preferred warrants to purchase 3,672,484 shares of common stock for $6.81 per share (the Series B Warrants), which became fully exercisable upon issuance. The Series B Warrants contain provisions allowing cashless exercise.</w:t>
      </w:r>
    </w:p>
    <w:p>
      <w:pPr>
        <w:spacing w:after="0" w:line="81" w:lineRule="exact"/>
        <w:rPr>
          <w:sz w:val="20"/>
          <w:szCs w:val="20"/>
          <w:color w:val="auto"/>
        </w:rPr>
      </w:pPr>
    </w:p>
    <w:p>
      <w:pPr>
        <w:jc w:val="both"/>
        <w:ind w:right="320"/>
        <w:spacing w:after="0" w:line="245" w:lineRule="auto"/>
        <w:rPr>
          <w:sz w:val="20"/>
          <w:szCs w:val="20"/>
          <w:color w:val="auto"/>
        </w:rPr>
      </w:pPr>
      <w:r>
        <w:rPr>
          <w:rFonts w:ascii="Arial" w:cs="Arial" w:eastAsia="Arial" w:hAnsi="Arial"/>
          <w:sz w:val="17"/>
          <w:szCs w:val="17"/>
          <w:color w:val="auto"/>
        </w:rPr>
        <w:t>In addition, the Company issued to the same stockholder additional five-year warrants for the purchase of 3,672,484 shares of common stock for $6.81 per share (the Conditional Series B Warrants), which become exercisable in the event that the Company completes a future financing that meets certain financial milestones or achieves certain share prices as follows:</w:t>
      </w:r>
    </w:p>
    <w:p>
      <w:pPr>
        <w:spacing w:after="0" w:line="76" w:lineRule="exact"/>
        <w:rPr>
          <w:sz w:val="20"/>
          <w:szCs w:val="20"/>
          <w:color w:val="auto"/>
        </w:rPr>
      </w:pPr>
    </w:p>
    <w:p>
      <w:pPr>
        <w:ind w:left="1020" w:right="260" w:hanging="503"/>
        <w:spacing w:after="0" w:line="245"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 $20,000,000 in gross proceeds, with a per share price of $12.47, or (2) an average market price (determined over a consecutive 10-day period) of $12.47 per share;</w:t>
      </w:r>
    </w:p>
    <w:p>
      <w:pPr>
        <w:spacing w:after="0" w:line="76" w:lineRule="exact"/>
        <w:rPr>
          <w:rFonts w:ascii="Arial" w:cs="Arial" w:eastAsia="Arial" w:hAnsi="Arial"/>
          <w:sz w:val="17"/>
          <w:szCs w:val="17"/>
          <w:color w:val="auto"/>
        </w:rPr>
      </w:pPr>
    </w:p>
    <w:p>
      <w:pPr>
        <w:ind w:left="1020" w:right="800" w:hanging="503"/>
        <w:spacing w:after="0" w:line="258"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65" w:lineRule="exact"/>
        <w:rPr>
          <w:rFonts w:ascii="Arial" w:cs="Arial" w:eastAsia="Arial" w:hAnsi="Arial"/>
          <w:sz w:val="17"/>
          <w:szCs w:val="17"/>
          <w:color w:val="auto"/>
        </w:rPr>
      </w:pPr>
    </w:p>
    <w:p>
      <w:pPr>
        <w:ind w:left="1020" w:right="800" w:hanging="503"/>
        <w:spacing w:after="0" w:line="258"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2" w:name="page23"/>
    <w:bookmarkEnd w:id="22"/>
    <w:p>
      <w:pPr>
        <w:ind w:left="1020" w:right="800" w:hanging="503"/>
        <w:spacing w:after="0" w:line="25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66"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On June 24, 2021, the Company’s board of directors approved and on July 14, 2021 the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77"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Company recorded the Series B Warrants as a component of stockholder’s equity at the time of issuance at their estimated fair value of $2.1 million and recorded the Conditional Series B Warrants as a liability on the condensed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The Company will continue to recognize changes in the fair value of the Conditional Series B Warrants until each Conditional Series B Warrant is exercised, expires or qualifies for equity classification. The warrant liability fair value was $0.4 million and $1.9 million as of September 30, 2023 and December 31, 2022,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 Ohio Trust Warrants</w:t>
      </w:r>
    </w:p>
    <w:p>
      <w:pPr>
        <w:spacing w:after="0" w:line="11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7"/>
          <w:szCs w:val="17"/>
          <w:color w:val="auto"/>
        </w:rPr>
        <w:t>March 20, 2019, the Company established the NC Incorporated Ohio Trust, an irrevocable trust funded by the Company. The beneficiary in the</w:t>
      </w:r>
      <w:r>
        <w:rPr>
          <w:rFonts w:ascii="Arial" w:cs="Arial" w:eastAsia="Arial" w:hAnsi="Arial"/>
          <w:sz w:val="18"/>
          <w:szCs w:val="18"/>
          <w:color w:val="auto"/>
        </w:rPr>
        <w:t xml:space="preserve"> </w:t>
      </w:r>
      <w:r>
        <w:rPr>
          <w:rFonts w:ascii="Arial" w:cs="Arial" w:eastAsia="Arial" w:hAnsi="Arial"/>
          <w:sz w:val="17"/>
          <w:szCs w:val="17"/>
          <w:color w:val="auto"/>
        </w:rPr>
        <w:t>trust agreement has provided past services to the Company for more than 15 years and is a non-employee. The warrant provides the beneficiary the right to purchase 162,740 shares of the Company’s common stock, $0.01 par value at an exercise price of $1.46 per share, subject to adjustments as specified in the warrant agreement. The Company recognizes the warrants as compensation expense within the condensed consolidated statement of operations and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 previously used at the service inception date or subsequent reporting dates. As of September 30, 2023 and December 31, 2022, a grant date was not established as there was not a mutual understanding of key terms. The Company remeasures the fair value of the award at each reporting date, as the service date preceded the grant date. The value of the warrants for 162,740 shares of common stock was $0.1 million and $0.2 million as of September 30, 2023 and December 31, 2022, respectively, and was recorded as stock compensation expense within research and development expense and a credit to stockholders’ equity in the condensed consolidated financial statements.</w:t>
      </w:r>
    </w:p>
    <w:p>
      <w:pPr>
        <w:spacing w:after="0" w:line="101" w:lineRule="exact"/>
        <w:rPr>
          <w:sz w:val="20"/>
          <w:szCs w:val="20"/>
          <w:color w:val="auto"/>
        </w:rPr>
      </w:pPr>
    </w:p>
    <w:p>
      <w:pPr>
        <w:ind w:right="5400" w:firstLine="8"/>
        <w:spacing w:after="0" w:line="365" w:lineRule="auto"/>
        <w:tabs>
          <w:tab w:leader="none" w:pos="29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Restricted Stock and Stock-Based Compensation </w:t>
      </w:r>
      <w:r>
        <w:rPr>
          <w:rFonts w:ascii="Arial" w:cs="Arial" w:eastAsia="Arial" w:hAnsi="Arial"/>
          <w:sz w:val="18"/>
          <w:szCs w:val="18"/>
          <w:b w:val="1"/>
          <w:bCs w:val="1"/>
          <w:i w:val="1"/>
          <w:iCs w:val="1"/>
          <w:color w:val="auto"/>
        </w:rPr>
        <w:t>Equity Incentive Plans</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Company’s 2015 Stock Plan, as amended, (the 2015 Plan) provides for the Company to sell or issue common shares or restricted common</w:t>
      </w:r>
      <w:r>
        <w:rPr>
          <w:rFonts w:ascii="Arial" w:cs="Arial" w:eastAsia="Arial" w:hAnsi="Arial"/>
          <w:sz w:val="18"/>
          <w:szCs w:val="18"/>
          <w:color w:val="auto"/>
        </w:rPr>
        <w:t xml:space="preserve"> </w:t>
      </w:r>
      <w:r>
        <w:rPr>
          <w:rFonts w:ascii="Arial" w:cs="Arial" w:eastAsia="Arial" w:hAnsi="Arial"/>
          <w:sz w:val="17"/>
          <w:szCs w:val="17"/>
          <w:color w:val="auto"/>
        </w:rPr>
        <w:t>stock, or to grant incentive stock options or nonqualified stock options for the purchase of common stock, to employees, members of the board of directors and consultants of the Company. The 2015 Plan is administered by the board of directors and exercise prices, vesting and other restrictions are determined at its 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 and are determined by the board of directors. Stock options become exercisable as they vest. Options granted under the 2015 Plan expire no more than ten years from the date of grant. As of September 30, 2023, there are no shares available for grants under the 2015 Plan and the 2015 Plan continues to govern the terms and conditions of the outstanding awards under the 2015 Plan.</w:t>
      </w:r>
    </w:p>
    <w:p>
      <w:pPr>
        <w:spacing w:after="0" w:line="86"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On July 14, 2021, the Company’s 2021 Equity Incentive Plan (the 2021 Plan) was approved by the Company’s stockholders, and became effective upon completion of the IPO and serves as the successor to the 2015 Plan. 5,218,292 shares of common stock are reserved under the 2021 Plan, of which 1,962,770 shares remain available for future grants as of September 30, 2023.</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is summarized as follows: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2"/>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2"/>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280" w:type="dxa"/>
            <w:vAlign w:val="bottom"/>
          </w:tcPr>
          <w:p>
            <w:pPr>
              <w:jc w:val="center"/>
              <w:ind w:right="22"/>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340" w:type="dxa"/>
            <w:vAlign w:val="bottom"/>
          </w:tcPr>
          <w:p>
            <w:pPr>
              <w:jc w:val="center"/>
              <w:ind w:right="35"/>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280" w:type="dxa"/>
            <w:vAlign w:val="bottom"/>
          </w:tcPr>
          <w:p>
            <w:pPr>
              <w:jc w:val="center"/>
              <w:ind w:right="22"/>
              <w:spacing w:after="0"/>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4"/>
                <w:szCs w:val="14"/>
                <w:color w:val="auto"/>
              </w:rPr>
            </w:pPr>
          </w:p>
        </w:tc>
        <w:tc>
          <w:tcPr>
            <w:tcW w:w="1300" w:type="dxa"/>
            <w:vAlign w:val="bottom"/>
          </w:tcPr>
          <w:p>
            <w:pPr>
              <w:jc w:val="center"/>
              <w:ind w:right="19"/>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80" w:type="dxa"/>
            <w:vAlign w:val="bottom"/>
          </w:tcPr>
          <w:p>
            <w:pPr>
              <w:spacing w:after="0"/>
              <w:rPr>
                <w:sz w:val="14"/>
                <w:szCs w:val="14"/>
                <w:color w:val="auto"/>
              </w:rPr>
            </w:pPr>
          </w:p>
        </w:tc>
        <w:tc>
          <w:tcPr>
            <w:tcW w:w="1340" w:type="dxa"/>
            <w:vAlign w:val="bottom"/>
          </w:tcPr>
          <w:p>
            <w:pPr>
              <w:jc w:val="center"/>
              <w:ind w:right="35"/>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4"/>
                <w:szCs w:val="14"/>
                <w:color w:val="auto"/>
              </w:rPr>
            </w:pPr>
          </w:p>
        </w:tc>
        <w:tc>
          <w:tcPr>
            <w:tcW w:w="1280" w:type="dxa"/>
            <w:vAlign w:val="bottom"/>
          </w:tcPr>
          <w:p>
            <w:pPr>
              <w:jc w:val="center"/>
              <w:ind w:right="82"/>
              <w:spacing w:after="0"/>
              <w:rPr>
                <w:sz w:val="20"/>
                <w:szCs w:val="20"/>
                <w:color w:val="auto"/>
              </w:rPr>
            </w:pPr>
            <w:r>
              <w:rPr>
                <w:rFonts w:ascii="Arial" w:cs="Arial" w:eastAsia="Arial" w:hAnsi="Arial"/>
                <w:sz w:val="14"/>
                <w:szCs w:val="14"/>
                <w:b w:val="1"/>
                <w:bCs w:val="1"/>
                <w:color w:val="auto"/>
              </w:rPr>
              <w:t>TERM (IN</w:t>
            </w:r>
          </w:p>
        </w:tc>
        <w:tc>
          <w:tcPr>
            <w:tcW w:w="100" w:type="dxa"/>
            <w:vAlign w:val="bottom"/>
          </w:tcPr>
          <w:p>
            <w:pPr>
              <w:spacing w:after="0"/>
              <w:rPr>
                <w:sz w:val="14"/>
                <w:szCs w:val="14"/>
                <w:color w:val="auto"/>
              </w:rPr>
            </w:pPr>
          </w:p>
        </w:tc>
        <w:tc>
          <w:tcPr>
            <w:tcW w:w="1300" w:type="dxa"/>
            <w:vAlign w:val="bottom"/>
          </w:tcPr>
          <w:p>
            <w:pPr>
              <w:jc w:val="center"/>
              <w:ind w:right="19"/>
              <w:spacing w:after="0"/>
              <w:rPr>
                <w:sz w:val="20"/>
                <w:szCs w:val="20"/>
                <w:color w:val="auto"/>
              </w:rPr>
            </w:pPr>
            <w:r>
              <w:rPr>
                <w:rFonts w:ascii="Arial" w:cs="Arial" w:eastAsia="Arial" w:hAnsi="Arial"/>
                <w:sz w:val="14"/>
                <w:szCs w:val="14"/>
                <w:b w:val="1"/>
                <w:bCs w:val="1"/>
                <w:color w:val="auto"/>
              </w:rPr>
              <w:t>INTRINSIC</w:t>
            </w:r>
          </w:p>
        </w:tc>
      </w:tr>
      <w:tr>
        <w:trPr>
          <w:trHeight w:val="189"/>
        </w:trPr>
        <w:tc>
          <w:tcPr>
            <w:tcW w:w="5780" w:type="dxa"/>
            <w:vAlign w:val="bottom"/>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VALUE</w:t>
            </w: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3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5,645,420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1,289,203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Cancelled, forfeited or expired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(873,102 )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2023</w:t>
            </w:r>
          </w:p>
        </w:tc>
        <w:tc>
          <w:tcPr>
            <w:tcW w:w="13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6,061,521</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rPr>
              <w:t>—</w:t>
            </w: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color w:val="auto"/>
              </w:rPr>
              <w:t>Exercisable as of September 30, 2023</w:t>
            </w: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3,478,354</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5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as of September 30, 2023</w:t>
            </w:r>
          </w:p>
        </w:tc>
        <w:tc>
          <w:tcPr>
            <w:tcW w:w="13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2,583,167</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-367665</wp:posOffset>
            </wp:positionV>
            <wp:extent cx="1791335" cy="196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91335" cy="19685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2015 Plan, permits participants to use common stock they previously acquired to pay for the exercise of stock options based upon the fair value on the date of exercise. In connection with the exercise of a stock options to purchase 306,518 shares of our common stock at an exercise price of $1.46, option holders tendered 122,608 shares of our common stock previously acquired in consideration of the full aggregate exercise price in accordance with the terms of the option and the 2015 Plan. The shares tendered are recorded as treasury stock within the Company's condensed and consolidated financial statements at September 30, 2023.</w:t>
      </w:r>
    </w:p>
    <w:p>
      <w:pPr>
        <w:spacing w:after="0" w:line="84" w:lineRule="exact"/>
        <w:rPr>
          <w:sz w:val="20"/>
          <w:szCs w:val="20"/>
          <w:color w:val="auto"/>
        </w:rPr>
      </w:pPr>
    </w:p>
    <w:p>
      <w:pPr>
        <w:ind w:right="720"/>
        <w:spacing w:after="0" w:line="258" w:lineRule="auto"/>
        <w:rPr>
          <w:sz w:val="20"/>
          <w:szCs w:val="20"/>
          <w:color w:val="auto"/>
        </w:rPr>
      </w:pPr>
      <w:r>
        <w:rPr>
          <w:rFonts w:ascii="Arial" w:cs="Arial" w:eastAsia="Arial" w:hAnsi="Arial"/>
          <w:sz w:val="17"/>
          <w:szCs w:val="17"/>
          <w:color w:val="auto"/>
        </w:rPr>
        <w:t>The fair value of stock options granted was estimated on the grant date using the Black-Scholes option pricing model based on the following weighted-average assumptions: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3400" w:type="dxa"/>
            <w:vAlign w:val="bottom"/>
            <w:gridSpan w:val="3"/>
          </w:tcPr>
          <w:p>
            <w:pPr>
              <w:jc w:val="center"/>
              <w:ind w:left="1476"/>
              <w:spacing w:after="0"/>
              <w:rPr>
                <w:sz w:val="20"/>
                <w:szCs w:val="20"/>
                <w:color w:val="auto"/>
              </w:rPr>
            </w:pPr>
            <w:r>
              <w:rPr>
                <w:rFonts w:ascii="Arial" w:cs="Arial" w:eastAsia="Arial" w:hAnsi="Arial"/>
                <w:sz w:val="14"/>
                <w:szCs w:val="14"/>
                <w:b w:val="1"/>
                <w:bCs w:val="1"/>
                <w:color w:val="auto"/>
              </w:rPr>
              <w:t>NINE MONTHS ENDED</w:t>
            </w: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6180" w:type="dxa"/>
            <w:vAlign w:val="bottom"/>
          </w:tcPr>
          <w:p>
            <w:pPr>
              <w:spacing w:after="0"/>
              <w:rPr>
                <w:sz w:val="16"/>
                <w:szCs w:val="16"/>
                <w:color w:val="auto"/>
              </w:rPr>
            </w:pPr>
          </w:p>
        </w:tc>
        <w:tc>
          <w:tcPr>
            <w:tcW w:w="3400" w:type="dxa"/>
            <w:vAlign w:val="bottom"/>
            <w:tcBorders>
              <w:bottom w:val="single" w:sz="8" w:color="auto"/>
            </w:tcBorders>
            <w:gridSpan w:val="3"/>
          </w:tcPr>
          <w:p>
            <w:pPr>
              <w:jc w:val="center"/>
              <w:ind w:left="1456"/>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180" w:type="dxa"/>
            <w:vAlign w:val="bottom"/>
          </w:tcPr>
          <w:p>
            <w:pPr>
              <w:spacing w:after="0"/>
              <w:rPr>
                <w:sz w:val="15"/>
                <w:szCs w:val="15"/>
                <w:color w:val="auto"/>
              </w:rPr>
            </w:pPr>
          </w:p>
        </w:tc>
        <w:tc>
          <w:tcPr>
            <w:tcW w:w="2380" w:type="dxa"/>
            <w:vAlign w:val="bottom"/>
            <w:tcBorders>
              <w:bottom w:val="single" w:sz="8" w:color="auto"/>
            </w:tcBorders>
          </w:tcPr>
          <w:p>
            <w:pPr>
              <w:jc w:val="right"/>
              <w:ind w:right="99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r>
      <w:tr>
        <w:trPr>
          <w:trHeight w:val="223"/>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option life (years)</w:t>
            </w:r>
          </w:p>
        </w:tc>
        <w:tc>
          <w:tcPr>
            <w:tcW w:w="23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5.48 - 6.08</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6.00 - 6.08</w:t>
            </w:r>
          </w:p>
        </w:tc>
        <w:tc>
          <w:tcPr>
            <w:tcW w:w="60" w:type="dxa"/>
            <w:vAlign w:val="bottom"/>
          </w:tcPr>
          <w:p>
            <w:pPr>
              <w:spacing w:after="0"/>
              <w:rPr>
                <w:sz w:val="19"/>
                <w:szCs w:val="19"/>
                <w:color w:val="auto"/>
              </w:rPr>
            </w:pP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380" w:type="dxa"/>
            <w:vAlign w:val="bottom"/>
          </w:tcPr>
          <w:p>
            <w:pPr>
              <w:jc w:val="right"/>
              <w:ind w:right="36"/>
              <w:spacing w:after="0"/>
              <w:rPr>
                <w:sz w:val="20"/>
                <w:szCs w:val="20"/>
                <w:color w:val="auto"/>
              </w:rPr>
            </w:pPr>
            <w:r>
              <w:rPr>
                <w:rFonts w:ascii="Arial" w:cs="Arial" w:eastAsia="Arial" w:hAnsi="Arial"/>
                <w:sz w:val="18"/>
                <w:szCs w:val="18"/>
                <w:color w:val="auto"/>
              </w:rPr>
              <w:t>3.50% - 4.61%</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1.69% - 4.02%</w:t>
            </w:r>
          </w:p>
        </w:tc>
        <w:tc>
          <w:tcPr>
            <w:tcW w:w="60" w:type="dxa"/>
            <w:vAlign w:val="bottom"/>
          </w:tcPr>
          <w:p>
            <w:pPr>
              <w:spacing w:after="0"/>
              <w:rPr>
                <w:sz w:val="19"/>
                <w:szCs w:val="19"/>
                <w:color w:val="auto"/>
              </w:rPr>
            </w:pPr>
          </w:p>
        </w:tc>
      </w:tr>
      <w:tr>
        <w:trPr>
          <w:trHeight w:val="229"/>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3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91.33% - 94.51%</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85.09% - 86.89%</w:t>
            </w:r>
          </w:p>
        </w:tc>
        <w:tc>
          <w:tcPr>
            <w:tcW w:w="60" w:type="dxa"/>
            <w:vAlign w:val="bottom"/>
          </w:tcPr>
          <w:p>
            <w:pPr>
              <w:spacing w:after="0"/>
              <w:rPr>
                <w:sz w:val="19"/>
                <w:szCs w:val="19"/>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8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0 %</w:t>
            </w:r>
          </w:p>
        </w:tc>
      </w:tr>
      <w:tr>
        <w:trPr>
          <w:trHeight w:val="229"/>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price</w:t>
            </w:r>
          </w:p>
        </w:tc>
        <w:tc>
          <w:tcPr>
            <w:tcW w:w="23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$0.92 - $2.57</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$3.10 - $5.19</w:t>
            </w:r>
          </w:p>
        </w:tc>
        <w:tc>
          <w:tcPr>
            <w:tcW w:w="60" w:type="dxa"/>
            <w:vAlign w:val="bottom"/>
          </w:tcPr>
          <w:p>
            <w:pPr>
              <w:spacing w:after="0"/>
              <w:rPr>
                <w:sz w:val="19"/>
                <w:szCs w:val="19"/>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Fair value of common stock</w:t>
            </w:r>
          </w:p>
        </w:tc>
        <w:tc>
          <w:tcPr>
            <w:tcW w:w="2380" w:type="dxa"/>
            <w:vAlign w:val="bottom"/>
          </w:tcPr>
          <w:p>
            <w:pPr>
              <w:jc w:val="right"/>
              <w:ind w:right="36"/>
              <w:spacing w:after="0"/>
              <w:rPr>
                <w:sz w:val="20"/>
                <w:szCs w:val="20"/>
                <w:color w:val="auto"/>
              </w:rPr>
            </w:pPr>
            <w:r>
              <w:rPr>
                <w:rFonts w:ascii="Arial" w:cs="Arial" w:eastAsia="Arial" w:hAnsi="Arial"/>
                <w:sz w:val="18"/>
                <w:szCs w:val="18"/>
                <w:color w:val="auto"/>
              </w:rPr>
              <w:t>$0.92 - $2.57</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$3.10 - $5.19</w:t>
            </w:r>
          </w:p>
        </w:tc>
        <w:tc>
          <w:tcPr>
            <w:tcW w:w="60" w:type="dxa"/>
            <w:vAlign w:val="bottom"/>
          </w:tcPr>
          <w:p>
            <w:pPr>
              <w:spacing w:after="0"/>
              <w:rPr>
                <w:sz w:val="19"/>
                <w:szCs w:val="19"/>
                <w:color w:val="auto"/>
              </w:rPr>
            </w:pPr>
          </w:p>
        </w:tc>
      </w:tr>
    </w:tbl>
    <w:p>
      <w:pPr>
        <w:spacing w:after="0" w:line="171" w:lineRule="exact"/>
        <w:rPr>
          <w:sz w:val="20"/>
          <w:szCs w:val="20"/>
          <w:color w:val="auto"/>
        </w:rPr>
      </w:pPr>
    </w:p>
    <w:p>
      <w:pPr>
        <w:ind w:right="80"/>
        <w:spacing w:after="0" w:line="389" w:lineRule="auto"/>
        <w:rPr>
          <w:sz w:val="20"/>
          <w:szCs w:val="20"/>
          <w:color w:val="auto"/>
        </w:rPr>
      </w:pPr>
      <w:r>
        <w:rPr>
          <w:rFonts w:ascii="Arial" w:cs="Arial" w:eastAsia="Arial" w:hAnsi="Arial"/>
          <w:sz w:val="17"/>
          <w:szCs w:val="17"/>
          <w:color w:val="auto"/>
        </w:rPr>
        <w:t xml:space="preserve">The total intrinsic value of stock options vested during the nine months ended September 30, 2023 and 2022 was zero and $1.0 million, respectively. </w:t>
      </w:r>
      <w:r>
        <w:rPr>
          <w:rFonts w:ascii="Arial" w:cs="Arial" w:eastAsia="Arial" w:hAnsi="Arial"/>
          <w:sz w:val="17"/>
          <w:szCs w:val="17"/>
          <w:b w:val="1"/>
          <w:bCs w:val="1"/>
          <w:i w:val="1"/>
          <w:iCs w:val="1"/>
          <w:color w:val="auto"/>
        </w:rPr>
        <w:t>Restricted Stock Units</w:t>
      </w:r>
    </w:p>
    <w:p>
      <w:pPr>
        <w:spacing w:after="0" w:line="1" w:lineRule="exact"/>
        <w:rPr>
          <w:sz w:val="20"/>
          <w:szCs w:val="20"/>
          <w:color w:val="auto"/>
        </w:rPr>
      </w:pPr>
    </w:p>
    <w:p>
      <w:pPr>
        <w:jc w:val="both"/>
        <w:ind w:right="340"/>
        <w:spacing w:after="0" w:line="245" w:lineRule="auto"/>
        <w:rPr>
          <w:sz w:val="20"/>
          <w:szCs w:val="20"/>
          <w:color w:val="auto"/>
        </w:rPr>
      </w:pPr>
      <w:r>
        <w:rPr>
          <w:rFonts w:ascii="Arial" w:cs="Arial" w:eastAsia="Arial" w:hAnsi="Arial"/>
          <w:sz w:val="17"/>
          <w:szCs w:val="17"/>
          <w:color w:val="auto"/>
        </w:rPr>
        <w:t>Under the terms of the restricted stock unit agreements covering the common stock, shares of common stock related to restricted stock units are subject to time-based vesting. The restricted stock units will immediately be forfeited to the Company if the relationship between the recipient and the Company ceases.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activity is summarized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jc w:val="right"/>
              <w:ind w:right="44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r>
      <w:tr>
        <w:trPr>
          <w:trHeight w:val="162"/>
        </w:trPr>
        <w:tc>
          <w:tcPr>
            <w:tcW w:w="6400" w:type="dxa"/>
            <w:vAlign w:val="bottom"/>
          </w:tcPr>
          <w:p>
            <w:pPr>
              <w:spacing w:after="0"/>
              <w:rPr>
                <w:sz w:val="14"/>
                <w:szCs w:val="14"/>
                <w:color w:val="auto"/>
              </w:rPr>
            </w:pPr>
          </w:p>
        </w:tc>
        <w:tc>
          <w:tcPr>
            <w:tcW w:w="1680" w:type="dxa"/>
            <w:vAlign w:val="bottom"/>
          </w:tcPr>
          <w:p>
            <w:pPr>
              <w:jc w:val="center"/>
              <w:ind w:left="608"/>
              <w:spacing w:after="0"/>
              <w:rPr>
                <w:sz w:val="20"/>
                <w:szCs w:val="20"/>
                <w:color w:val="auto"/>
              </w:rPr>
            </w:pPr>
            <w:r>
              <w:rPr>
                <w:rFonts w:ascii="Arial" w:cs="Arial" w:eastAsia="Arial" w:hAnsi="Arial"/>
                <w:sz w:val="14"/>
                <w:szCs w:val="14"/>
                <w:b w:val="1"/>
                <w:bCs w:val="1"/>
                <w:color w:val="auto"/>
              </w:rPr>
              <w:t>NUMBER OF</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jc w:val="right"/>
              <w:ind w:right="240"/>
              <w:spacing w:after="0"/>
              <w:rPr>
                <w:sz w:val="20"/>
                <w:szCs w:val="20"/>
                <w:color w:val="auto"/>
              </w:rPr>
            </w:pPr>
            <w:r>
              <w:rPr>
                <w:rFonts w:ascii="Arial" w:cs="Arial" w:eastAsia="Arial" w:hAnsi="Arial"/>
                <w:sz w:val="14"/>
                <w:szCs w:val="14"/>
                <w:b w:val="1"/>
                <w:bCs w:val="1"/>
                <w:color w:val="auto"/>
              </w:rPr>
              <w:t>AVERAGE GRANT</w:t>
            </w:r>
          </w:p>
        </w:tc>
        <w:tc>
          <w:tcPr>
            <w:tcW w:w="100" w:type="dxa"/>
            <w:vAlign w:val="bottom"/>
          </w:tcPr>
          <w:p>
            <w:pPr>
              <w:spacing w:after="0"/>
              <w:rPr>
                <w:sz w:val="14"/>
                <w:szCs w:val="14"/>
                <w:color w:val="auto"/>
              </w:rPr>
            </w:pPr>
          </w:p>
        </w:tc>
      </w:tr>
      <w:tr>
        <w:trPr>
          <w:trHeight w:val="189"/>
        </w:trPr>
        <w:tc>
          <w:tcPr>
            <w:tcW w:w="6400" w:type="dxa"/>
            <w:vAlign w:val="bottom"/>
          </w:tcPr>
          <w:p>
            <w:pPr>
              <w:spacing w:after="0"/>
              <w:rPr>
                <w:sz w:val="16"/>
                <w:szCs w:val="16"/>
                <w:color w:val="auto"/>
              </w:rPr>
            </w:pPr>
          </w:p>
        </w:tc>
        <w:tc>
          <w:tcPr>
            <w:tcW w:w="1680" w:type="dxa"/>
            <w:vAlign w:val="bottom"/>
            <w:tcBorders>
              <w:bottom w:val="single" w:sz="8" w:color="auto"/>
            </w:tcBorders>
          </w:tcPr>
          <w:p>
            <w:pPr>
              <w:jc w:val="center"/>
              <w:ind w:left="608"/>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Pr>
          <w:p>
            <w:pPr>
              <w:spacing w:after="0"/>
              <w:rPr>
                <w:sz w:val="16"/>
                <w:szCs w:val="16"/>
                <w:color w:val="auto"/>
              </w:rPr>
            </w:pPr>
          </w:p>
        </w:tc>
      </w:tr>
      <w:tr>
        <w:trPr>
          <w:trHeight w:val="210"/>
        </w:trPr>
        <w:tc>
          <w:tcPr>
            <w:tcW w:w="640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Unvested at December 31, 2022</w:t>
            </w:r>
          </w:p>
        </w:tc>
        <w:tc>
          <w:tcPr>
            <w:tcW w:w="16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612,366</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6"/>
        </w:trPr>
        <w:tc>
          <w:tcPr>
            <w:tcW w:w="808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Vested</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50"/>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Unvested at September 30, 2023</w:t>
            </w:r>
          </w:p>
        </w:tc>
        <w:tc>
          <w:tcPr>
            <w:tcW w:w="1680" w:type="dxa"/>
            <w:vAlign w:val="bottom"/>
            <w:tcBorders>
              <w:top w:val="single" w:sz="8" w:color="auto"/>
              <w:bottom w:val="single" w:sz="8" w:color="auto"/>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612,366</w:t>
            </w:r>
          </w:p>
        </w:tc>
        <w:tc>
          <w:tcPr>
            <w:tcW w:w="720" w:type="dxa"/>
            <w:vAlign w:val="bottom"/>
            <w:tcBorders>
              <w:bottom w:val="single" w:sz="8" w:color="CFF0FC"/>
            </w:tcBorders>
            <w:gridSpan w:val="2"/>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2080"/>
        <w:spacing w:after="0" w:line="457" w:lineRule="auto"/>
        <w:rPr>
          <w:sz w:val="20"/>
          <w:szCs w:val="20"/>
          <w:color w:val="auto"/>
        </w:rPr>
      </w:pPr>
      <w:r>
        <w:rPr>
          <w:rFonts w:ascii="Arial" w:cs="Arial" w:eastAsia="Arial" w:hAnsi="Arial"/>
          <w:sz w:val="17"/>
          <w:szCs w:val="17"/>
          <w:color w:val="auto"/>
        </w:rPr>
        <w:t xml:space="preserve">The aggregate fair value of restricted stock units that vested during the nine months ended September 30, 2023 was zero. </w:t>
      </w:r>
      <w:r>
        <w:rPr>
          <w:rFonts w:ascii="Arial" w:cs="Arial" w:eastAsia="Arial" w:hAnsi="Arial"/>
          <w:sz w:val="17"/>
          <w:szCs w:val="17"/>
          <w:b w:val="1"/>
          <w:bCs w:val="1"/>
          <w:i w:val="1"/>
          <w:iCs w:val="1"/>
          <w:color w:val="auto"/>
        </w:rPr>
        <w:t>Stock-Based Compensation</w:t>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5" w:right="279" w:bottom="1440" w:gutter="0" w:footer="0" w:header="0"/>
        </w:sectPr>
      </w:pPr>
    </w:p>
    <w:bookmarkStart w:id="24" w:name="page25"/>
    <w:bookmarkEnd w:id="24"/>
    <w:p>
      <w:pPr>
        <w:ind w:right="860"/>
        <w:spacing w:after="0" w:line="258" w:lineRule="auto"/>
        <w:rPr>
          <w:sz w:val="20"/>
          <w:szCs w:val="20"/>
          <w:color w:val="auto"/>
        </w:rPr>
      </w:pPr>
      <w:r>
        <w:rPr>
          <w:rFonts w:ascii="Arial" w:cs="Arial" w:eastAsia="Arial" w:hAnsi="Arial"/>
          <w:sz w:val="17"/>
          <w:szCs w:val="17"/>
          <w:color w:val="auto"/>
        </w:rPr>
        <w:t>Stock-based compensation expense for the three and nine months ended September 30, 2023 and 2022 was classified in the condensed consolidated statements of operations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860" w:type="dxa"/>
            <w:vAlign w:val="bottom"/>
          </w:tcPr>
          <w:p>
            <w:pPr>
              <w:spacing w:after="0"/>
              <w:rPr>
                <w:sz w:val="16"/>
                <w:szCs w:val="16"/>
                <w:color w:val="auto"/>
              </w:rPr>
            </w:pPr>
          </w:p>
        </w:tc>
        <w:tc>
          <w:tcPr>
            <w:tcW w:w="218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586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FF0FC"/>
          </w:tcPr>
          <w:p>
            <w:pPr>
              <w:jc w:val="right"/>
              <w:ind w:right="60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270</w:t>
            </w:r>
          </w:p>
        </w:tc>
        <w:tc>
          <w:tcPr>
            <w:tcW w:w="900" w:type="dxa"/>
            <w:vAlign w:val="bottom"/>
            <w:gridSpan w:val="2"/>
            <w:shd w:val="clear" w:color="auto" w:fill="CFF0FC"/>
          </w:tcPr>
          <w:p>
            <w:pPr>
              <w:jc w:val="right"/>
              <w:ind w:right="5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343</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883</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542</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1,269</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1,131</w:t>
            </w:r>
          </w:p>
        </w:tc>
      </w:tr>
      <w:tr>
        <w:trPr>
          <w:trHeight w:val="26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tcBorders>
              <w:bottom w:val="single" w:sz="8" w:color="auto"/>
            </w:tcBorders>
            <w:shd w:val="clear" w:color="auto" w:fill="CFF0FC"/>
          </w:tcPr>
          <w:p>
            <w:pPr>
              <w:jc w:val="right"/>
              <w:ind w:right="60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686</w:t>
            </w:r>
          </w:p>
        </w:tc>
        <w:tc>
          <w:tcPr>
            <w:tcW w:w="1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2,152</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-25400</wp:posOffset>
            </wp:positionV>
            <wp:extent cx="939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939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As of September 30, 2023 and 2022, total unrecognized compensation cost related to the unvested stock-based awards was $5.5 million and $7.9 million, respectively. As of September 30, 2023 and 2022, these amounts are expected to be recognized over a weighted average period of 2.57 and 2.36 years,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0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There were no significant income tax provisions or benefits for the nine months ended September 30, 2023 and 2022. Due to the uncertainty surrounding the realization of the favorable tax attributes in future tax returns, including our ability to generate taxable income, the Company has recorded a full valuation allowance against the Company’s otherwise recognizable net deferred tax assets.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Exclusive licensing agreement with a related party</w:t>
      </w:r>
    </w:p>
    <w:p>
      <w:pPr>
        <w:spacing w:after="0" w:line="10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 million upon the signing of the agreement and agreed to a fixed future payment to the Company of $2.5 million. The future payment will be made upon the achievement of $5.0 million of sales of an approved product by Ventagen and is subject to reduction if Ventagen’s costs to develop an approved product exceeds $4.0 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 Stockholders of the Company own 49.5% of the voting stock of Ventagen, including 47% by the Company’s founders who are currently significant stockholders of the Company, and trusts for the benefit of their children.</w:t>
      </w:r>
    </w:p>
    <w:p>
      <w:pPr>
        <w:spacing w:after="0" w:line="82"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The Company had completely recognized the $1.0 million upfront license fee as research and development service revenue as of December 31,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Technology License Agreement</w:t>
      </w:r>
    </w:p>
    <w:p>
      <w:pPr>
        <w:spacing w:after="0" w:line="108"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 million in support of such clinical trial over the course of approximately three years. Upon execution of the Option Agreement, the Company remitted a non-refundable fee of $40,000 to MGB to be applied toward the Company’s on-going obligations to reimburse patent expenses. During the nine months ended September 30, 2023 and 2022, the Company did not expense any startup and patient fees for clinical trials performed by MGB.</w:t>
      </w:r>
    </w:p>
    <w:p>
      <w:pPr>
        <w:spacing w:after="0" w:line="8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 September 15, 2020, the Company exercised the Option Agreement with MGB and entered into an exclusive worldwide patent license agreement with MGB (the MGB License). In connection with the MGB License, the Company paid a fee of $0.1 million and agreed to reimburse patent costs incurred by MGB, including $0.1 million paid at the time of entering into the MGB License. Prior to the first commercial sale, the Company is required to pay MGB an annual license fee of $50,000 beginning following the fourth anniversary of the effective date. The MGB License contains cumulative milestone payments equaling a maximum amount of $39.0 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5" w:name="page26"/>
    <w:bookmarkEnd w:id="25"/>
    <w:p>
      <w:pPr>
        <w:ind w:right="120"/>
        <w:spacing w:after="0" w:line="258" w:lineRule="auto"/>
        <w:rPr>
          <w:sz w:val="20"/>
          <w:szCs w:val="20"/>
          <w:color w:val="auto"/>
        </w:rPr>
      </w:pPr>
      <w:r>
        <w:rPr>
          <w:rFonts w:ascii="Arial" w:cs="Arial" w:eastAsia="Arial" w:hAnsi="Arial"/>
          <w:sz w:val="17"/>
          <w:szCs w:val="17"/>
          <w:color w:val="auto"/>
        </w:rPr>
        <w:t>against earned royalties starting in the fourth year following the first commercial sale. The Company also agreed to pay a single digit royalty rate on net sales of any derived products.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has identified the guarantees described below as disclosable, in accordance with ASC 460, </w:t>
      </w:r>
      <w:r>
        <w:rPr>
          <w:rFonts w:ascii="Arial" w:cs="Arial" w:eastAsia="Arial" w:hAnsi="Arial"/>
          <w:sz w:val="17"/>
          <w:szCs w:val="17"/>
          <w:i w:val="1"/>
          <w:iCs w:val="1"/>
          <w:color w:val="auto"/>
        </w:rPr>
        <w:t>Guarantees</w:t>
      </w:r>
      <w:r>
        <w:rPr>
          <w:rFonts w:ascii="Arial" w:cs="Arial" w:eastAsia="Arial" w:hAnsi="Arial"/>
          <w:sz w:val="17"/>
          <w:szCs w:val="17"/>
          <w:color w:val="auto"/>
        </w:rPr>
        <w:t>.</w:t>
      </w:r>
    </w:p>
    <w:p>
      <w:pPr>
        <w:spacing w:after="0" w:line="108"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82"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82" w:lineRule="exact"/>
        <w:rPr>
          <w:sz w:val="20"/>
          <w:szCs w:val="20"/>
          <w:color w:val="auto"/>
        </w:rPr>
      </w:pPr>
    </w:p>
    <w:p>
      <w:pPr>
        <w:ind w:right="480"/>
        <w:spacing w:after="0" w:line="245" w:lineRule="auto"/>
        <w:rPr>
          <w:sz w:val="20"/>
          <w:szCs w:val="20"/>
          <w:color w:val="auto"/>
        </w:rPr>
      </w:pPr>
      <w:r>
        <w:rPr>
          <w:rFonts w:ascii="Arial" w:cs="Arial" w:eastAsia="Arial" w:hAnsi="Arial"/>
          <w:sz w:val="17"/>
          <w:szCs w:val="17"/>
          <w:color w:val="auto"/>
        </w:rPr>
        <w:t>The Company leases office space under a noncancelable operating lease expiring in 2026. The Company has standard indemnification arrangements under this lease that require it to indemnify the landlord against all costs, expenses, fines, suits, claims, demands, liabilities, and actions directly resulting from any breach, violation, or nonperformance of any covenant or condition of the lease.</w:t>
      </w:r>
    </w:p>
    <w:p>
      <w:pPr>
        <w:spacing w:after="0" w:line="76" w:lineRule="exact"/>
        <w:rPr>
          <w:sz w:val="20"/>
          <w:szCs w:val="20"/>
          <w:color w:val="auto"/>
        </w:rPr>
      </w:pPr>
    </w:p>
    <w:p>
      <w:pPr>
        <w:jc w:val="both"/>
        <w:ind w:right="240"/>
        <w:spacing w:after="0" w:line="245" w:lineRule="auto"/>
        <w:rPr>
          <w:sz w:val="20"/>
          <w:szCs w:val="20"/>
          <w:color w:val="auto"/>
        </w:rPr>
      </w:pPr>
      <w:r>
        <w:rPr>
          <w:rFonts w:ascii="Arial" w:cs="Arial" w:eastAsia="Arial" w:hAnsi="Arial"/>
          <w:sz w:val="17"/>
          <w:szCs w:val="17"/>
          <w:color w:val="auto"/>
        </w:rPr>
        <w:t>As of September 30, 2023,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4"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 xml:space="preserve">From </w:t>
      </w:r>
      <w:r>
        <w:rPr>
          <w:rFonts w:ascii="Arial" w:cs="Arial" w:eastAsia="Arial" w:hAnsi="Arial"/>
          <w:sz w:val="17"/>
          <w:szCs w:val="17"/>
          <w:color w:val="auto"/>
        </w:rPr>
        <w:t>time to time, we may become involved in litigation or other legal proceedings. On December 15, 2022, Periphagen notified us by letter of its</w:t>
      </w:r>
      <w:r>
        <w:rPr>
          <w:rFonts w:ascii="Arial" w:cs="Arial" w:eastAsia="Arial" w:hAnsi="Arial"/>
          <w:sz w:val="18"/>
          <w:szCs w:val="18"/>
          <w:color w:val="auto"/>
        </w:rPr>
        <w:t xml:space="preserve"> </w:t>
      </w:r>
      <w:r>
        <w:rPr>
          <w:rFonts w:ascii="Arial" w:cs="Arial" w:eastAsia="Arial" w:hAnsi="Arial"/>
          <w:sz w:val="17"/>
          <w:szCs w:val="17"/>
          <w:color w:val="auto"/>
        </w:rPr>
        <w:t>claim that we have failed to use commercially reasonable efforts to complete a human proof of concept clinical trial of an NT-3 Asset under an Exclusive License Agreement dated December 9, 2019 between us and Periphagen (the “Periphagen License Agreement”). On January 13, 2023, we filed a demand for arbitration against Periphagen with the American Arbitration Association, seeking a declaration that Periphagen’s December</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15 letter failed to comply with the dispute and escalation provisions in the Periphagen License Agreement. On March 10, 2023, Periphagen filed its answer and counterclaims to our demand for arbitration. In its counterclaims, Periphagen sought a declaration that we have not used commercially reasonable efforts to complete a human proof of concept clinical trial of the NT-3 Asset and a declaration that any further extension of time would not be scientifically or commercially reasonable. We denied Periphagen’s counterclaims.</w:t>
      </w:r>
    </w:p>
    <w:p>
      <w:pPr>
        <w:spacing w:after="0" w:line="83"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On June 7, 2023, the parties entered into an amendment to the Exclusive License Agreement that resolved the dispute and resulted in termination of the arbitration.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Aside from the proceeding with Periphagen,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8" w:lineRule="exact"/>
        <w:rPr>
          <w:sz w:val="20"/>
          <w:szCs w:val="20"/>
          <w:color w:val="auto"/>
        </w:rPr>
      </w:pPr>
    </w:p>
    <w:p>
      <w:pPr>
        <w:ind w:right="9280" w:firstLine="8"/>
        <w:spacing w:after="0" w:line="370" w:lineRule="auto"/>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Loss Per Share </w:t>
      </w:r>
      <w:r>
        <w:rPr>
          <w:rFonts w:ascii="Arial" w:cs="Arial" w:eastAsia="Arial" w:hAnsi="Arial"/>
          <w:sz w:val="18"/>
          <w:szCs w:val="18"/>
          <w:b w:val="1"/>
          <w:bCs w:val="1"/>
          <w:i w:val="1"/>
          <w:iCs w:val="1"/>
          <w:color w:val="auto"/>
        </w:rPr>
        <w:t>Net Loss Per Share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net loss per share was calculated as follows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4"/>
          </w:tcPr>
          <w:p>
            <w:pPr>
              <w:jc w:val="right"/>
              <w:ind w:right="45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9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7"/>
                <w:szCs w:val="17"/>
                <w:color w:val="auto"/>
              </w:rPr>
              <w:t>Net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(8,435 )</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(8,688 )</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(26,844 )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(13,711 )</w:t>
            </w: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Denominator:</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60" w:type="dxa"/>
            <w:vAlign w:val="bottom"/>
            <w:shd w:val="clear" w:color="auto" w:fill="CFF0FC"/>
          </w:tcPr>
          <w:p>
            <w:pPr>
              <w:ind w:left="280"/>
              <w:spacing w:after="0" w:line="185" w:lineRule="exact"/>
              <w:rPr>
                <w:sz w:val="20"/>
                <w:szCs w:val="20"/>
                <w:color w:val="auto"/>
              </w:rPr>
            </w:pPr>
            <w:r>
              <w:rPr>
                <w:rFonts w:ascii="Arial" w:cs="Arial" w:eastAsia="Arial" w:hAnsi="Arial"/>
                <w:sz w:val="17"/>
                <w:szCs w:val="17"/>
                <w:color w:val="auto"/>
              </w:rPr>
              <w:t>Weighted-average shares of common stock</w:t>
            </w:r>
          </w:p>
        </w:tc>
        <w:tc>
          <w:tcPr>
            <w:tcW w:w="180" w:type="dxa"/>
            <w:vAlign w:val="bottom"/>
            <w:shd w:val="clear" w:color="auto" w:fill="CFF0FC"/>
          </w:tcPr>
          <w:p>
            <w:pPr>
              <w:spacing w:after="0"/>
              <w:rPr>
                <w:sz w:val="16"/>
                <w:szCs w:val="16"/>
                <w:color w:val="auto"/>
              </w:rPr>
            </w:pPr>
          </w:p>
        </w:tc>
        <w:tc>
          <w:tcPr>
            <w:tcW w:w="1080" w:type="dxa"/>
            <w:vAlign w:val="bottom"/>
            <w:vMerge w:val="restart"/>
            <w:shd w:val="clear" w:color="auto" w:fill="CFF0FC"/>
          </w:tcPr>
          <w:p>
            <w:pPr>
              <w:jc w:val="right"/>
              <w:ind w:right="61"/>
              <w:spacing w:after="0"/>
              <w:rPr>
                <w:sz w:val="20"/>
                <w:szCs w:val="20"/>
                <w:color w:val="auto"/>
              </w:rPr>
            </w:pPr>
            <w:r>
              <w:rPr>
                <w:rFonts w:ascii="Arial" w:cs="Arial" w:eastAsia="Arial" w:hAnsi="Arial"/>
                <w:sz w:val="17"/>
                <w:szCs w:val="17"/>
                <w:color w:val="auto"/>
              </w:rPr>
              <w:t>28,919,810</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ind w:right="38"/>
              <w:spacing w:after="0"/>
              <w:rPr>
                <w:sz w:val="20"/>
                <w:szCs w:val="20"/>
                <w:color w:val="auto"/>
              </w:rPr>
            </w:pPr>
            <w:r>
              <w:rPr>
                <w:rFonts w:ascii="Arial" w:cs="Arial" w:eastAsia="Arial" w:hAnsi="Arial"/>
                <w:sz w:val="17"/>
                <w:szCs w:val="17"/>
                <w:color w:val="auto"/>
              </w:rPr>
              <w:t>28,891,909</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ind w:right="41"/>
              <w:spacing w:after="0"/>
              <w:rPr>
                <w:sz w:val="20"/>
                <w:szCs w:val="20"/>
                <w:color w:val="auto"/>
              </w:rPr>
            </w:pPr>
            <w:r>
              <w:rPr>
                <w:rFonts w:ascii="Arial" w:cs="Arial" w:eastAsia="Arial" w:hAnsi="Arial"/>
                <w:sz w:val="17"/>
                <w:szCs w:val="17"/>
                <w:color w:val="auto"/>
              </w:rPr>
              <w:t>28,919,810</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ind w:right="38"/>
              <w:spacing w:after="0"/>
              <w:rPr>
                <w:sz w:val="20"/>
                <w:szCs w:val="20"/>
                <w:color w:val="auto"/>
              </w:rPr>
            </w:pPr>
            <w:r>
              <w:rPr>
                <w:rFonts w:ascii="Arial" w:cs="Arial" w:eastAsia="Arial" w:hAnsi="Arial"/>
                <w:sz w:val="17"/>
                <w:szCs w:val="17"/>
                <w:color w:val="auto"/>
              </w:rPr>
              <w:t>28,798,284</w:t>
            </w:r>
          </w:p>
        </w:tc>
        <w:tc>
          <w:tcPr>
            <w:tcW w:w="0" w:type="dxa"/>
            <w:vAlign w:val="bottom"/>
          </w:tcPr>
          <w:p>
            <w:pPr>
              <w:spacing w:after="0"/>
              <w:rPr>
                <w:sz w:val="1"/>
                <w:szCs w:val="1"/>
                <w:color w:val="auto"/>
              </w:rPr>
            </w:pPr>
          </w:p>
        </w:tc>
      </w:tr>
      <w:tr>
        <w:trPr>
          <w:trHeight w:val="220"/>
        </w:trPr>
        <w:tc>
          <w:tcPr>
            <w:tcW w:w="5860" w:type="dxa"/>
            <w:vAlign w:val="bottom"/>
            <w:tcBorders>
              <w:bottom w:val="single" w:sz="8" w:color="CFF0FC"/>
            </w:tcBorders>
            <w:shd w:val="clear" w:color="auto" w:fill="CFF0FC"/>
          </w:tcPr>
          <w:p>
            <w:pPr>
              <w:ind w:left="420"/>
              <w:spacing w:after="0" w:line="180" w:lineRule="exact"/>
              <w:rPr>
                <w:sz w:val="20"/>
                <w:szCs w:val="20"/>
                <w:color w:val="auto"/>
              </w:rPr>
            </w:pPr>
            <w:r>
              <w:rPr>
                <w:rFonts w:ascii="Arial" w:cs="Arial" w:eastAsia="Arial" w:hAnsi="Arial"/>
                <w:sz w:val="17"/>
                <w:szCs w:val="17"/>
                <w:color w:val="auto"/>
              </w:rPr>
              <w:t>outstanding - basic and diluted</w:t>
            </w: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860" w:type="dxa"/>
            <w:vAlign w:val="bottom"/>
          </w:tcPr>
          <w:p>
            <w:pPr>
              <w:ind w:left="280"/>
              <w:spacing w:after="0"/>
              <w:rPr>
                <w:sz w:val="20"/>
                <w:szCs w:val="20"/>
                <w:color w:val="auto"/>
              </w:rPr>
            </w:pPr>
            <w:r>
              <w:rPr>
                <w:rFonts w:ascii="Arial" w:cs="Arial" w:eastAsia="Arial" w:hAnsi="Arial"/>
                <w:sz w:val="17"/>
                <w:szCs w:val="17"/>
                <w:color w:val="auto"/>
              </w:rPr>
              <w:t>Net loss per share - basic and diluted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(0.29 )</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(0.30 )</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(0.93 )</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(0.48 )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-582295</wp:posOffset>
            </wp:positionV>
            <wp:extent cx="1834515"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34515" cy="16256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-187960</wp:posOffset>
            </wp:positionV>
            <wp:extent cx="1834515"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34515" cy="188595"/>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6" w:name="page27"/>
    <w:bookmarkEnd w:id="26"/>
    <w:p>
      <w:pPr>
        <w:jc w:val="both"/>
        <w:spacing w:after="0" w:line="245" w:lineRule="auto"/>
        <w:rPr>
          <w:sz w:val="20"/>
          <w:szCs w:val="20"/>
          <w:color w:val="auto"/>
        </w:rPr>
      </w:pPr>
      <w:r>
        <w:rPr>
          <w:rFonts w:ascii="Arial" w:cs="Arial" w:eastAsia="Arial" w:hAnsi="Arial"/>
          <w:sz w:val="17"/>
          <w:szCs w:val="17"/>
          <w:color w:val="auto"/>
        </w:rPr>
        <w:t>The Company’s potentially dilutive securities have been excluded from the computation of dilutive net loss per share as the effect would be to reduce the net loss per share. Therefore, the weighted-average number of shares of common stock outstanding used to calculate both basic and diluted net loss per share is the same.</w:t>
      </w:r>
    </w:p>
    <w:p>
      <w:pPr>
        <w:spacing w:after="0" w:line="76"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The Company excluded the following potential shares of common stock from the computation of diluted net loss per share attributable to common stockholders because including them would have had an anti-dilutive effect.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346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AS OF SEPTEMBER 30,</w:t>
            </w:r>
          </w:p>
        </w:tc>
        <w:tc>
          <w:tcPr>
            <w:tcW w:w="100" w:type="dxa"/>
            <w:vAlign w:val="bottom"/>
          </w:tcPr>
          <w:p>
            <w:pPr>
              <w:spacing w:after="0"/>
              <w:rPr>
                <w:sz w:val="16"/>
                <w:szCs w:val="16"/>
                <w:color w:val="auto"/>
              </w:rPr>
            </w:pPr>
          </w:p>
        </w:tc>
      </w:tr>
      <w:tr>
        <w:trPr>
          <w:trHeight w:val="183"/>
        </w:trPr>
        <w:tc>
          <w:tcPr>
            <w:tcW w:w="7680" w:type="dxa"/>
            <w:vAlign w:val="bottom"/>
          </w:tcPr>
          <w:p>
            <w:pPr>
              <w:spacing w:after="0"/>
              <w:rPr>
                <w:sz w:val="15"/>
                <w:szCs w:val="15"/>
                <w:color w:val="auto"/>
              </w:rPr>
            </w:pPr>
          </w:p>
        </w:tc>
        <w:tc>
          <w:tcPr>
            <w:tcW w:w="1620" w:type="dxa"/>
            <w:vAlign w:val="bottom"/>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1840" w:type="dxa"/>
            <w:vAlign w:val="bottom"/>
            <w:gridSpan w:val="2"/>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Outstanding warrants for common stock</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7,507,708</w:t>
            </w:r>
          </w:p>
        </w:tc>
        <w:tc>
          <w:tcPr>
            <w:tcW w:w="24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7,507,708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Outstanding stock options (as converted to common stock)</w:t>
            </w:r>
          </w:p>
        </w:tc>
        <w:tc>
          <w:tcPr>
            <w:tcW w:w="1620" w:type="dxa"/>
            <w:vAlign w:val="bottom"/>
          </w:tcPr>
          <w:p>
            <w:pPr>
              <w:jc w:val="right"/>
              <w:spacing w:after="0"/>
              <w:rPr>
                <w:sz w:val="20"/>
                <w:szCs w:val="20"/>
                <w:color w:val="auto"/>
              </w:rPr>
            </w:pPr>
            <w:r>
              <w:rPr>
                <w:rFonts w:ascii="Arial" w:cs="Arial" w:eastAsia="Arial" w:hAnsi="Arial"/>
                <w:sz w:val="17"/>
                <w:szCs w:val="17"/>
                <w:color w:val="auto"/>
              </w:rPr>
              <w:t>6,061,521</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6,190,505</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Unvested restricted stock</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612,366</w:t>
            </w:r>
          </w:p>
        </w:tc>
        <w:tc>
          <w:tcPr>
            <w:tcW w:w="2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14,181,595</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13,698,213</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7683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7" w:name="page28"/>
    <w:bookmarkEnd w:id="27"/>
    <w:p>
      <w:pPr>
        <w:spacing w:after="0" w:line="223" w:lineRule="auto"/>
        <w:framePr w:w="9760" w:h="911" w:wrap="auto" w:vAnchor="page" w:hAnchor="page" w:x="1820" w:y="10178"/>
        <w:rPr>
          <w:rFonts w:ascii="Arial" w:cs="Arial" w:eastAsia="Arial" w:hAnsi="Arial"/>
          <w:sz w:val="17"/>
          <w:szCs w:val="17"/>
          <w:color w:val="auto"/>
        </w:rPr>
      </w:pPr>
      <w:r>
        <w:rPr>
          <w:rFonts w:ascii="Arial" w:cs="Arial" w:eastAsia="Arial" w:hAnsi="Arial"/>
          <w:sz w:val="17"/>
          <w:szCs w:val="17"/>
          <w:color w:val="auto"/>
        </w:rPr>
        <w:t>In 2022, we presented data from this phase 2 clinical trial where patients who received two administrations of CAN-2409 plus prodrug and completed the 12-week treatment window demonstrated: 1) increased infiltration of CD8+ cytotoxic tumor infiltrating lymphocytes in the tumor microenvironment, systemic expansion of effector T cells and increased soluble granzyme B levels in peripheral blood, 2) favorable changes in the trajectory of tumor progression, 3) decreased tumor size of target lesions in most patients, and 4) reduced size of</w:t>
      </w:r>
    </w:p>
    <w:p>
      <w:pPr>
        <w:spacing w:after="0" w:line="199" w:lineRule="auto"/>
        <w:framePr w:w="280" w:h="163" w:wrap="auto" w:vAnchor="page" w:hAnchor="page" w:x="5800" w:y="11344"/>
        <w:rPr>
          <w:rFonts w:ascii="Arial" w:cs="Arial" w:eastAsia="Arial" w:hAnsi="Arial"/>
          <w:sz w:val="17"/>
          <w:szCs w:val="17"/>
          <w:color w:val="auto"/>
        </w:rPr>
      </w:pPr>
      <w:r>
        <w:rPr>
          <w:rFonts w:ascii="Arial" w:cs="Arial" w:eastAsia="Arial" w:hAnsi="Arial"/>
          <w:sz w:val="17"/>
          <w:szCs w:val="17"/>
          <w:color w:val="auto"/>
        </w:rPr>
        <w:t>21</w:t>
      </w: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2" w:lineRule="exact"/>
        <w:rPr>
          <w:rFonts w:ascii="Arial" w:cs="Arial" w:eastAsia="Arial" w:hAnsi="Arial"/>
          <w:sz w:val="17"/>
          <w:szCs w:val="17"/>
          <w:color w:val="auto"/>
        </w:rPr>
      </w:pPr>
    </w:p>
    <w:p>
      <w:pPr>
        <w:ind w:right="280"/>
        <w:spacing w:after="0"/>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and consolidated financial statements and the related notes and other financial information included elsewhere in this Quarterly Report on Form 10-Q (Form 10-Q). Some of the information contained in this discussion and analysis contains forward-looking statements that involve risks and uncertainties. You should review the section titled “Risk factors” in this Form 10-Q for a discussion of important factors that could cause actual results to differ materially from the results described below.</w:t>
      </w:r>
    </w:p>
    <w:p>
      <w:pPr>
        <w:spacing w:after="0" w:line="104"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rFonts w:ascii="Arial" w:cs="Arial" w:eastAsia="Arial" w:hAnsi="Arial"/>
          <w:sz w:val="17"/>
          <w:szCs w:val="17"/>
          <w:color w:val="auto"/>
        </w:rPr>
      </w:pPr>
    </w:p>
    <w:p>
      <w:pPr>
        <w:ind w:right="60"/>
        <w:spacing w:after="0" w:line="235" w:lineRule="auto"/>
        <w:rPr>
          <w:sz w:val="20"/>
          <w:szCs w:val="20"/>
          <w:color w:val="auto"/>
        </w:rPr>
      </w:pPr>
      <w:r>
        <w:rPr>
          <w:rFonts w:ascii="Arial" w:cs="Arial" w:eastAsia="Arial" w:hAnsi="Arial"/>
          <w:sz w:val="17"/>
          <w:szCs w:val="17"/>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immunogenic cell death through direct viral-mediated cytotoxicity in cancer cells, thus releasing tumor neo-antigens and creating a pro-inflammatory microenvironment at the site of injection. This leads to in-situ vaccination against the injected tumor and uninjected distant metastases. Our viral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 in our preclinical studies and clinical trials that may indicate the potential of our product candidates to induce systemic immune response against distal, uninjected tumors, also known as an “abscopal” effect.</w:t>
      </w:r>
    </w:p>
    <w:p>
      <w:pPr>
        <w:spacing w:after="0" w:line="82" w:lineRule="exact"/>
        <w:rPr>
          <w:rFonts w:ascii="Arial" w:cs="Arial" w:eastAsia="Arial" w:hAnsi="Arial"/>
          <w:sz w:val="17"/>
          <w:szCs w:val="17"/>
          <w:color w:val="auto"/>
        </w:rPr>
      </w:pPr>
    </w:p>
    <w:p>
      <w:pPr>
        <w:ind w:right="300"/>
        <w:spacing w:after="0"/>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82" w:lineRule="exact"/>
        <w:rPr>
          <w:rFonts w:ascii="Arial" w:cs="Arial" w:eastAsia="Arial" w:hAnsi="Arial"/>
          <w:sz w:val="17"/>
          <w:szCs w:val="17"/>
          <w:color w:val="auto"/>
        </w:rPr>
      </w:pPr>
    </w:p>
    <w:p>
      <w:pPr>
        <w:ind w:right="420"/>
        <w:spacing w:after="0" w:line="258" w:lineRule="auto"/>
        <w:rPr>
          <w:sz w:val="20"/>
          <w:szCs w:val="20"/>
          <w:color w:val="auto"/>
        </w:rPr>
      </w:pPr>
      <w:r>
        <w:rPr>
          <w:rFonts w:ascii="Arial" w:cs="Arial" w:eastAsia="Arial" w:hAnsi="Arial"/>
          <w:sz w:val="17"/>
          <w:szCs w:val="17"/>
          <w:color w:val="auto"/>
        </w:rPr>
        <w:t>We have established two off-the-shelf viral immunotherapy platforms based on novel, genetically modified adenovirus and herpes simplex virus (HSV) constructs, respectively.</w:t>
      </w:r>
    </w:p>
    <w:p>
      <w:pPr>
        <w:spacing w:after="0" w:line="66" w:lineRule="exact"/>
        <w:rPr>
          <w:rFonts w:ascii="Arial" w:cs="Arial" w:eastAsia="Arial" w:hAnsi="Arial"/>
          <w:sz w:val="17"/>
          <w:szCs w:val="17"/>
          <w:color w:val="auto"/>
        </w:rPr>
      </w:pPr>
    </w:p>
    <w:p>
      <w:pPr>
        <w:spacing w:after="0" w:line="245" w:lineRule="auto"/>
        <w:rPr>
          <w:sz w:val="20"/>
          <w:szCs w:val="20"/>
          <w:color w:val="auto"/>
        </w:rPr>
      </w:pPr>
      <w:r>
        <w:rPr>
          <w:rFonts w:ascii="Arial" w:cs="Arial" w:eastAsia="Arial" w:hAnsi="Arial"/>
          <w:sz w:val="17"/>
          <w:szCs w:val="17"/>
          <w:color w:val="auto"/>
        </w:rPr>
        <w:t>Our most advanced product candidate, CAN-2409, is an off-the-shelf adenovirus product candidate which is combined with the prodrug, valacyclovir, that has generated promising clinical activity across a range of solid tumor indications. CAN-2409 is currently being studied in the following ongoing clinical trials:</w:t>
      </w:r>
    </w:p>
    <w:p>
      <w:pPr>
        <w:spacing w:after="0" w:line="70" w:lineRule="exact"/>
        <w:rPr>
          <w:rFonts w:ascii="Arial" w:cs="Arial" w:eastAsia="Arial" w:hAnsi="Arial"/>
          <w:sz w:val="17"/>
          <w:szCs w:val="17"/>
          <w:color w:val="auto"/>
        </w:rPr>
      </w:pPr>
    </w:p>
    <w:p>
      <w:pPr>
        <w:ind w:left="1020" w:hanging="50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Prostate Cancer</w:t>
      </w:r>
    </w:p>
    <w:p>
      <w:pPr>
        <w:spacing w:after="0" w:line="121" w:lineRule="exact"/>
        <w:rPr>
          <w:rFonts w:ascii="Arial" w:cs="Arial" w:eastAsia="Arial" w:hAnsi="Arial"/>
          <w:sz w:val="17"/>
          <w:szCs w:val="17"/>
          <w:color w:val="auto"/>
        </w:rPr>
      </w:pPr>
    </w:p>
    <w:p>
      <w:pPr>
        <w:ind w:left="1540" w:right="80" w:hanging="509"/>
        <w:spacing w:after="0"/>
        <w:rPr>
          <w:rFonts w:ascii="Arial" w:cs="Arial" w:eastAsia="Arial" w:hAnsi="Arial"/>
          <w:sz w:val="17"/>
          <w:szCs w:val="17"/>
          <w:color w:val="auto"/>
        </w:rPr>
      </w:pPr>
      <w:r>
        <w:rPr>
          <w:rFonts w:ascii="Arial" w:cs="Arial" w:eastAsia="Arial" w:hAnsi="Arial"/>
          <w:sz w:val="17"/>
          <w:szCs w:val="17"/>
          <w:color w:val="auto"/>
        </w:rPr>
        <w:t>oA pivotal phase 3 randomized, triple-blinded and placebo-controlled clinical trial in the United States under a Special Protocol Assessment (SPA), with the U.S. Food and Drug Administration (FDA) evaluating 711 evaluable patients with newly diagnosed, localized prostate cancer who have an intermediate or high-risk for progression. We completed enrollment of this trial in September 2021, and we expect to report topline data in the fourth quarter of 2024.</w:t>
      </w:r>
    </w:p>
    <w:p>
      <w:pPr>
        <w:spacing w:after="0" w:line="82" w:lineRule="exact"/>
        <w:rPr>
          <w:rFonts w:ascii="Arial" w:cs="Arial" w:eastAsia="Arial" w:hAnsi="Arial"/>
          <w:sz w:val="17"/>
          <w:szCs w:val="17"/>
          <w:color w:val="auto"/>
        </w:rPr>
      </w:pPr>
    </w:p>
    <w:p>
      <w:pPr>
        <w:ind w:left="1540" w:right="220" w:hanging="509"/>
        <w:spacing w:after="0" w:line="245" w:lineRule="auto"/>
        <w:rPr>
          <w:rFonts w:ascii="Arial" w:cs="Arial" w:eastAsia="Arial" w:hAnsi="Arial"/>
          <w:sz w:val="17"/>
          <w:szCs w:val="17"/>
          <w:color w:val="auto"/>
        </w:rPr>
      </w:pPr>
      <w:r>
        <w:rPr>
          <w:rFonts w:ascii="Arial" w:cs="Arial" w:eastAsia="Arial" w:hAnsi="Arial"/>
          <w:sz w:val="17"/>
          <w:szCs w:val="17"/>
          <w:color w:val="auto"/>
        </w:rPr>
        <w:t>oA phase 2 randomized, double blind, placebo-controlled clinical trial in the United States evaluating 187 patients with low-to-intermediate risk, localized prostate cancer undergoing active surveillance. We completed enrollment of this trial in May 2019, and we expect to report topline data in the fourth quarter of 2024.</w:t>
      </w:r>
    </w:p>
    <w:p>
      <w:pPr>
        <w:spacing w:after="0" w:line="70" w:lineRule="exact"/>
        <w:rPr>
          <w:rFonts w:ascii="Arial" w:cs="Arial" w:eastAsia="Arial" w:hAnsi="Arial"/>
          <w:sz w:val="17"/>
          <w:szCs w:val="17"/>
          <w:color w:val="auto"/>
        </w:rPr>
      </w:pPr>
    </w:p>
    <w:p>
      <w:pPr>
        <w:ind w:left="1020" w:hanging="50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Non-Small Cell Lung Cancer (NSCLC)</w:t>
      </w:r>
    </w:p>
    <w:p>
      <w:pPr>
        <w:spacing w:after="0" w:line="121" w:lineRule="exact"/>
        <w:rPr>
          <w:rFonts w:ascii="Arial" w:cs="Arial" w:eastAsia="Arial" w:hAnsi="Arial"/>
          <w:sz w:val="17"/>
          <w:szCs w:val="17"/>
          <w:color w:val="auto"/>
        </w:rPr>
      </w:pPr>
    </w:p>
    <w:p>
      <w:pPr>
        <w:ind w:left="1540" w:right="80" w:hanging="509"/>
        <w:spacing w:after="0" w:line="236" w:lineRule="auto"/>
        <w:rPr>
          <w:rFonts w:ascii="Arial" w:cs="Arial" w:eastAsia="Arial" w:hAnsi="Arial"/>
          <w:sz w:val="17"/>
          <w:szCs w:val="17"/>
          <w:color w:val="auto"/>
        </w:rPr>
      </w:pPr>
      <w:r>
        <w:rPr>
          <w:rFonts w:ascii="Arial" w:cs="Arial" w:eastAsia="Arial" w:hAnsi="Arial"/>
          <w:sz w:val="17"/>
          <w:szCs w:val="17"/>
          <w:color w:val="auto"/>
        </w:rPr>
        <w:t>oAn open-label phase 2 clinical trial in the United States evaluating CAN-2409 plus valacyclovir in combination with continued PD-(L)1 checkpoint inhibitors in approximately 80 patients with stage III/IV NSCLC who have inadequate response to front line PD-(L)1 checkpoint inhibitor treatments. In April 2023, we announced that the FDA granted fast track designation for CAN-2409</w:t>
      </w:r>
    </w:p>
    <w:p>
      <w:pPr>
        <w:spacing w:after="0" w:line="2" w:lineRule="exact"/>
        <w:rPr>
          <w:rFonts w:ascii="Arial" w:cs="Arial" w:eastAsia="Arial" w:hAnsi="Arial"/>
          <w:sz w:val="17"/>
          <w:szCs w:val="17"/>
          <w:color w:val="auto"/>
        </w:rPr>
      </w:pPr>
    </w:p>
    <w:p>
      <w:pPr>
        <w:ind w:left="1540" w:right="40" w:hanging="5"/>
        <w:spacing w:after="0" w:line="235" w:lineRule="auto"/>
        <w:tabs>
          <w:tab w:leader="none" w:pos="1687" w:val="left"/>
        </w:tabs>
        <w:numPr>
          <w:ilvl w:val="1"/>
          <w:numId w:val="10"/>
        </w:numPr>
        <w:rPr>
          <w:rFonts w:ascii="Arial" w:cs="Arial" w:eastAsia="Arial" w:hAnsi="Arial"/>
          <w:sz w:val="17"/>
          <w:szCs w:val="17"/>
          <w:color w:val="auto"/>
        </w:rPr>
      </w:pPr>
      <w:r>
        <w:rPr>
          <w:rFonts w:ascii="Arial" w:cs="Arial" w:eastAsia="Arial" w:hAnsi="Arial"/>
          <w:sz w:val="17"/>
          <w:szCs w:val="17"/>
          <w:color w:val="auto"/>
        </w:rPr>
        <w:t>valacyclovir in combination with pembrolizumab in order to improve survival or delay progression in patients with Stage III (not candidates for curative intent) or Stage IV NSCLC, who are resistant to first line PD-(L)1 inhibitor therapy and who do not have activating molecular driver mutations. These patients historically have had an expected median overall survival of 10-13 months (Reckamp K et al. J Clin Onc 2022;40:2295-2306). The aim of the CAN-2409 immunotherapy antitumor strategy is to raise the tail on the survival curve by increasing the number of long survivors beyond 10-13 months.</w:t>
      </w:r>
    </w:p>
    <w:p>
      <w:pPr>
        <w:spacing w:after="0" w:line="84" w:lineRule="exact"/>
        <w:rPr>
          <w:rFonts w:ascii="Arial" w:cs="Arial" w:eastAsia="Arial" w:hAnsi="Arial"/>
          <w:sz w:val="17"/>
          <w:szCs w:val="17"/>
          <w:color w:val="auto"/>
        </w:rPr>
      </w:pPr>
    </w:p>
    <w:p>
      <w:pPr>
        <w:ind w:left="1020"/>
        <w:spacing w:after="0"/>
        <w:rPr>
          <w:sz w:val="20"/>
          <w:szCs w:val="20"/>
          <w:color w:val="auto"/>
        </w:rPr>
      </w:pPr>
      <w:r>
        <w:rPr>
          <w:rFonts w:ascii="Arial" w:cs="Arial" w:eastAsia="Arial" w:hAnsi="Arial"/>
          <w:sz w:val="17"/>
          <w:szCs w:val="17"/>
          <w:color w:val="auto"/>
        </w:rPr>
        <w:t>o</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808990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28" w:name="page29"/>
    <w:bookmarkEnd w:id="28"/>
    <w:p>
      <w:pPr>
        <w:ind w:left="1023" w:right="180"/>
        <w:spacing w:after="0" w:line="245" w:lineRule="auto"/>
        <w:rPr>
          <w:sz w:val="20"/>
          <w:szCs w:val="20"/>
          <w:color w:val="auto"/>
        </w:rPr>
      </w:pPr>
      <w:r>
        <w:rPr>
          <w:rFonts w:ascii="Arial" w:cs="Arial" w:eastAsia="Arial" w:hAnsi="Arial"/>
          <w:sz w:val="17"/>
          <w:szCs w:val="17"/>
          <w:color w:val="auto"/>
        </w:rPr>
        <w:t>uninjected tumor lesions (Aggarwal C et al. Abstract #9037 ASCO June 2022 and Aggarwal C et al. Candel Virtual R&amp;D Day, December 2022). These data were further confirmed in an update released September 2023, based on a data cutoff of August 1, 2023:</w:t>
      </w:r>
    </w:p>
    <w:p>
      <w:pPr>
        <w:spacing w:after="0" w:line="76" w:lineRule="exact"/>
        <w:rPr>
          <w:sz w:val="20"/>
          <w:szCs w:val="20"/>
          <w:color w:val="auto"/>
        </w:rPr>
      </w:pPr>
    </w:p>
    <w:p>
      <w:pPr>
        <w:ind w:left="1523" w:right="60" w:hanging="505"/>
        <w:spacing w:after="0" w:line="258" w:lineRule="auto"/>
        <w:tabs>
          <w:tab w:leader="none" w:pos="15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40 patients across Cohort 1 (stable disease at enrollment; n=5) and Cohort 2 (progressive disease at enrollment; n=35) were evaluable, as they received two courses of CAN-2409 + valacyclovir and completed the 12-week treatment window.</w:t>
      </w:r>
    </w:p>
    <w:p>
      <w:pPr>
        <w:spacing w:after="0" w:line="65" w:lineRule="exact"/>
        <w:rPr>
          <w:rFonts w:ascii="Arial" w:cs="Arial" w:eastAsia="Arial" w:hAnsi="Arial"/>
          <w:sz w:val="17"/>
          <w:szCs w:val="17"/>
          <w:color w:val="auto"/>
        </w:rPr>
      </w:pPr>
    </w:p>
    <w:p>
      <w:pPr>
        <w:ind w:left="1523" w:right="160" w:hanging="505"/>
        <w:spacing w:after="0" w:line="258" w:lineRule="auto"/>
        <w:tabs>
          <w:tab w:leader="none" w:pos="15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While overall survival was not yet mature, we observed an encouraging number of long survivors. We believe that CAN-2409 may induce a new state of functional immunosurveillance and durable disease control in a subset of the patients.</w:t>
      </w:r>
    </w:p>
    <w:p>
      <w:pPr>
        <w:spacing w:after="0" w:line="65" w:lineRule="exact"/>
        <w:rPr>
          <w:rFonts w:ascii="Arial" w:cs="Arial" w:eastAsia="Arial" w:hAnsi="Arial"/>
          <w:sz w:val="17"/>
          <w:szCs w:val="17"/>
          <w:color w:val="auto"/>
        </w:rPr>
      </w:pPr>
    </w:p>
    <w:p>
      <w:pPr>
        <w:ind w:left="1523" w:right="100" w:hanging="505"/>
        <w:spacing w:after="0" w:line="245" w:lineRule="auto"/>
        <w:tabs>
          <w:tab w:leader="none" w:pos="15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Of the 40 evaluable patients, 15 patients had lived ≥ 12 months; of these, 10 patients had lived &gt; 18 months, of whom 70% (7/10) were alive as of last follow up. All 4 patients (100%) with overall survival &gt; 24 months were alive at last follow up, with the longest reaching 31.7 months (data cutoff August 1, 2023).</w:t>
      </w:r>
    </w:p>
    <w:p>
      <w:pPr>
        <w:spacing w:after="0" w:line="76" w:lineRule="exact"/>
        <w:rPr>
          <w:rFonts w:ascii="Arial" w:cs="Arial" w:eastAsia="Arial" w:hAnsi="Arial"/>
          <w:sz w:val="17"/>
          <w:szCs w:val="17"/>
          <w:color w:val="auto"/>
        </w:rPr>
      </w:pPr>
    </w:p>
    <w:p>
      <w:pPr>
        <w:ind w:left="1523" w:hanging="505"/>
        <w:spacing w:after="0"/>
        <w:tabs>
          <w:tab w:leader="none" w:pos="15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additional 18 out of the 40 evaluable patients were also alive but had not yet reached 12 months of follow up.</w:t>
      </w:r>
    </w:p>
    <w:p>
      <w:pPr>
        <w:spacing w:after="0" w:line="115" w:lineRule="exact"/>
        <w:rPr>
          <w:rFonts w:ascii="Arial" w:cs="Arial" w:eastAsia="Arial" w:hAnsi="Arial"/>
          <w:sz w:val="17"/>
          <w:szCs w:val="17"/>
          <w:color w:val="auto"/>
        </w:rPr>
      </w:pPr>
    </w:p>
    <w:p>
      <w:pPr>
        <w:ind w:left="1523" w:right="80" w:hanging="505"/>
        <w:spacing w:after="0" w:line="245" w:lineRule="auto"/>
        <w:tabs>
          <w:tab w:leader="none" w:pos="15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Notably, many patients treated with CAN-2409 had long survival (≥ 12 months) despite having disease features generally associated with advanced disease and reduced likelihood to benefit from immune checkpoint inhibitor therapy, such as low or negative PD-(L)1 expression, including:</w:t>
      </w:r>
    </w:p>
    <w:p>
      <w:pPr>
        <w:spacing w:after="0" w:line="76" w:lineRule="exact"/>
        <w:rPr>
          <w:rFonts w:ascii="Arial" w:cs="Arial" w:eastAsia="Arial" w:hAnsi="Arial"/>
          <w:sz w:val="17"/>
          <w:szCs w:val="17"/>
          <w:color w:val="auto"/>
        </w:rPr>
      </w:pPr>
    </w:p>
    <w:p>
      <w:pPr>
        <w:ind w:left="2043" w:right="280" w:hanging="516"/>
        <w:spacing w:after="0" w:line="258" w:lineRule="auto"/>
        <w:tabs>
          <w:tab w:leader="none" w:pos="2043" w:val="left"/>
        </w:tabs>
        <w:numPr>
          <w:ilvl w:val="1"/>
          <w:numId w:val="11"/>
        </w:numPr>
        <w:rPr>
          <w:rFonts w:ascii="Arial" w:cs="Arial" w:eastAsia="Arial" w:hAnsi="Arial"/>
          <w:sz w:val="17"/>
          <w:szCs w:val="17"/>
          <w:color w:val="auto"/>
        </w:rPr>
      </w:pPr>
      <w:r>
        <w:rPr>
          <w:rFonts w:ascii="Arial" w:cs="Arial" w:eastAsia="Arial" w:hAnsi="Arial"/>
          <w:sz w:val="17"/>
          <w:szCs w:val="17"/>
          <w:color w:val="auto"/>
        </w:rPr>
        <w:t>Amongst patients alive ≥ 12 months with known PD-(L)1 status (14/15), 93% had negative or low PD-(L)1 score (&lt;1 or between 1-49).</w:t>
      </w:r>
    </w:p>
    <w:p>
      <w:pPr>
        <w:spacing w:after="0" w:line="65" w:lineRule="exact"/>
        <w:rPr>
          <w:rFonts w:ascii="Arial" w:cs="Arial" w:eastAsia="Arial" w:hAnsi="Arial"/>
          <w:sz w:val="17"/>
          <w:szCs w:val="17"/>
          <w:color w:val="auto"/>
        </w:rPr>
      </w:pPr>
    </w:p>
    <w:p>
      <w:pPr>
        <w:ind w:left="2043" w:right="220" w:hanging="516"/>
        <w:spacing w:after="0"/>
        <w:tabs>
          <w:tab w:leader="none" w:pos="2043" w:val="left"/>
        </w:tabs>
        <w:numPr>
          <w:ilvl w:val="1"/>
          <w:numId w:val="11"/>
        </w:numPr>
        <w:rPr>
          <w:rFonts w:ascii="Arial" w:cs="Arial" w:eastAsia="Arial" w:hAnsi="Arial"/>
          <w:sz w:val="17"/>
          <w:szCs w:val="17"/>
          <w:color w:val="auto"/>
        </w:rPr>
      </w:pPr>
      <w:r>
        <w:rPr>
          <w:rFonts w:ascii="Arial" w:cs="Arial" w:eastAsia="Arial" w:hAnsi="Arial"/>
          <w:sz w:val="17"/>
          <w:szCs w:val="17"/>
          <w:color w:val="auto"/>
        </w:rPr>
        <w:t>Advanced disease with stage IV in 73% (11/15), lymph node involvement in 73% (11/15), pleural effusion in 40% (6/15), bone metastases in 27% (4/15), adrenal metastases in 20% (3/15), brain metastases in 13% (2/15), liver metastases in 7% (1/15), involvement of 3 or more organs in 13% (2/15), and Eastern Cooperative Oncology Group performance status 1 in 40% (6/15).</w:t>
      </w:r>
    </w:p>
    <w:p>
      <w:pPr>
        <w:spacing w:after="0" w:line="82" w:lineRule="exact"/>
        <w:rPr>
          <w:rFonts w:ascii="Arial" w:cs="Arial" w:eastAsia="Arial" w:hAnsi="Arial"/>
          <w:sz w:val="17"/>
          <w:szCs w:val="17"/>
          <w:color w:val="auto"/>
        </w:rPr>
      </w:pPr>
    </w:p>
    <w:p>
      <w:pPr>
        <w:ind w:left="1523" w:hanging="505"/>
        <w:spacing w:after="0" w:line="246" w:lineRule="auto"/>
        <w:tabs>
          <w:tab w:leader="none" w:pos="15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There was a significant increase observed in activated central memory, effector-memory, effector T cells, and natural killer (NK) cells after CAN-2409 treatment. These include CD8+Ki67+IFN</w:t>
      </w:r>
      <w:r>
        <w:rPr>
          <w:rFonts w:ascii="Arial" w:cs="Arial" w:eastAsia="Arial" w:hAnsi="Arial"/>
          <w:sz w:val="21"/>
          <w:szCs w:val="21"/>
          <w:color w:val="auto"/>
        </w:rPr>
        <w:t>g</w:t>
      </w:r>
      <w:r>
        <w:rPr>
          <w:rFonts w:ascii="Arial" w:cs="Arial" w:eastAsia="Arial" w:hAnsi="Arial"/>
          <w:sz w:val="17"/>
          <w:szCs w:val="17"/>
          <w:color w:val="auto"/>
        </w:rPr>
        <w:t xml:space="preserve">+ T cells, CD8+ granzyme B+Ki67+ T cells, CD56+CD16+granzyme B+ NK cells, and </w:t>
      </w:r>
      <w:r>
        <w:rPr>
          <w:rFonts w:ascii="Arial" w:cs="Arial" w:eastAsia="Arial" w:hAnsi="Arial"/>
          <w:sz w:val="21"/>
          <w:szCs w:val="21"/>
          <w:color w:val="auto"/>
        </w:rPr>
        <w:t>gd</w:t>
      </w:r>
      <w:r>
        <w:rPr>
          <w:rFonts w:ascii="Arial" w:cs="Arial" w:eastAsia="Arial" w:hAnsi="Arial"/>
          <w:sz w:val="17"/>
          <w:szCs w:val="17"/>
          <w:color w:val="auto"/>
        </w:rPr>
        <w:t>+ T cells. We also observed an increase in memory B cells after CAN-2409 treatment.</w:t>
      </w:r>
    </w:p>
    <w:p>
      <w:pPr>
        <w:spacing w:after="0" w:line="76" w:lineRule="exact"/>
        <w:rPr>
          <w:rFonts w:ascii="Arial" w:cs="Arial" w:eastAsia="Arial" w:hAnsi="Arial"/>
          <w:sz w:val="17"/>
          <w:szCs w:val="17"/>
          <w:color w:val="auto"/>
        </w:rPr>
      </w:pPr>
    </w:p>
    <w:p>
      <w:pPr>
        <w:ind w:left="1523" w:right="640" w:hanging="505"/>
        <w:spacing w:after="0" w:line="258" w:lineRule="auto"/>
        <w:tabs>
          <w:tab w:leader="none" w:pos="15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observed an increase in effector/cytotoxic T cells and NK cells in peripheral blood after the second CAN-2409 administration associated with subsequent improved survival (≥ 12 months).</w:t>
      </w:r>
    </w:p>
    <w:p>
      <w:pPr>
        <w:spacing w:after="0" w:line="65" w:lineRule="exact"/>
        <w:rPr>
          <w:rFonts w:ascii="Arial" w:cs="Arial" w:eastAsia="Arial" w:hAnsi="Arial"/>
          <w:sz w:val="17"/>
          <w:szCs w:val="17"/>
          <w:color w:val="auto"/>
        </w:rPr>
      </w:pPr>
    </w:p>
    <w:p>
      <w:pPr>
        <w:ind w:left="1523" w:right="120" w:hanging="505"/>
        <w:spacing w:after="0"/>
        <w:tabs>
          <w:tab w:leader="none" w:pos="15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continued to observe a favorable safety/tolerability profile after CAN-2409 treatment in NSCLC. There were no dose limiting toxicities or grade 4 or greater treatment related adverse events. Grade 3 treatment related adverse events were reported in &lt; 10% of patients receiving at least one dose of CAN-2409 (safety population), which we believe compares favorably to current standard of care options.</w:t>
      </w:r>
    </w:p>
    <w:p>
      <w:pPr>
        <w:spacing w:after="0" w:line="82" w:lineRule="exact"/>
        <w:rPr>
          <w:sz w:val="20"/>
          <w:szCs w:val="20"/>
          <w:color w:val="auto"/>
        </w:rPr>
      </w:pPr>
    </w:p>
    <w:p>
      <w:pPr>
        <w:ind w:left="1023" w:right="260" w:hanging="514"/>
        <w:spacing w:after="0" w:line="258" w:lineRule="auto"/>
        <w:tabs>
          <w:tab w:leader="none" w:pos="1023" w:val="left"/>
        </w:tabs>
        <w:numPr>
          <w:ilvl w:val="1"/>
          <w:numId w:val="12"/>
        </w:numPr>
        <w:rPr>
          <w:rFonts w:ascii="Arial" w:cs="Arial" w:eastAsia="Arial" w:hAnsi="Arial"/>
          <w:sz w:val="17"/>
          <w:szCs w:val="17"/>
          <w:color w:val="auto"/>
        </w:rPr>
      </w:pPr>
      <w:r>
        <w:rPr>
          <w:rFonts w:ascii="Arial" w:cs="Arial" w:eastAsia="Arial" w:hAnsi="Arial"/>
          <w:sz w:val="17"/>
          <w:szCs w:val="17"/>
          <w:color w:val="auto"/>
        </w:rPr>
        <w:t>Candel expects to share topline overall survival data for Cohort 2 in the second quarter of 2024, assuming data are mature at that time.</w:t>
      </w:r>
    </w:p>
    <w:p>
      <w:pPr>
        <w:spacing w:after="0" w:line="59" w:lineRule="exact"/>
        <w:rPr>
          <w:rFonts w:ascii="Arial" w:cs="Arial" w:eastAsia="Arial" w:hAnsi="Arial"/>
          <w:sz w:val="17"/>
          <w:szCs w:val="17"/>
          <w:color w:val="auto"/>
        </w:rPr>
      </w:pPr>
    </w:p>
    <w:p>
      <w:pPr>
        <w:ind w:left="503" w:hanging="503"/>
        <w:spacing w:after="0"/>
        <w:tabs>
          <w:tab w:leader="none" w:pos="503"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Pancreatic Cancer</w:t>
      </w:r>
    </w:p>
    <w:p>
      <w:pPr>
        <w:spacing w:after="0" w:line="121" w:lineRule="exact"/>
        <w:rPr>
          <w:rFonts w:ascii="Arial" w:cs="Arial" w:eastAsia="Arial" w:hAnsi="Arial"/>
          <w:sz w:val="17"/>
          <w:szCs w:val="17"/>
          <w:color w:val="auto"/>
        </w:rPr>
      </w:pPr>
    </w:p>
    <w:p>
      <w:pPr>
        <w:ind w:left="1023" w:right="280" w:hanging="514"/>
        <w:spacing w:after="0" w:line="238" w:lineRule="auto"/>
        <w:tabs>
          <w:tab w:leader="none" w:pos="1023" w:val="left"/>
        </w:tabs>
        <w:numPr>
          <w:ilvl w:val="1"/>
          <w:numId w:val="12"/>
        </w:numPr>
        <w:rPr>
          <w:rFonts w:ascii="Arial" w:cs="Arial" w:eastAsia="Arial" w:hAnsi="Arial"/>
          <w:sz w:val="17"/>
          <w:szCs w:val="17"/>
          <w:color w:val="auto"/>
        </w:rPr>
      </w:pPr>
      <w:r>
        <w:rPr>
          <w:rFonts w:ascii="Arial" w:cs="Arial" w:eastAsia="Arial" w:hAnsi="Arial"/>
          <w:sz w:val="17"/>
          <w:szCs w:val="17"/>
          <w:color w:val="auto"/>
        </w:rPr>
        <w:t>We have initiated a randomized phase 2 clinical trial in the United States evaluating CAN-2409 in borderline resectable and locally advanced pancreatic adenocarcinoma. In March 2023, in connection with our cost management and dynamic portfolio management initiatives, we elected to pause new enrollment in this randomized phase 2 clinical trial, subject to additional funding. Despite the pause in new patient enrollment, we presented initial positive interim overall survival and immunological biomarker clinical data at the Society for Immunotherapy of Cancer (SITC) Annual Meeting in the fourth quarter of 2023.</w:t>
      </w:r>
    </w:p>
    <w:p>
      <w:pPr>
        <w:spacing w:after="0" w:line="83" w:lineRule="exact"/>
        <w:rPr>
          <w:rFonts w:ascii="Arial" w:cs="Arial" w:eastAsia="Arial" w:hAnsi="Arial"/>
          <w:sz w:val="17"/>
          <w:szCs w:val="17"/>
          <w:color w:val="auto"/>
        </w:rPr>
      </w:pPr>
    </w:p>
    <w:p>
      <w:pPr>
        <w:ind w:left="1023" w:right="140" w:hanging="514"/>
        <w:spacing w:after="0"/>
        <w:tabs>
          <w:tab w:leader="none" w:pos="1023" w:val="left"/>
        </w:tabs>
        <w:numPr>
          <w:ilvl w:val="1"/>
          <w:numId w:val="12"/>
        </w:numPr>
        <w:rPr>
          <w:rFonts w:ascii="Arial" w:cs="Arial" w:eastAsia="Arial" w:hAnsi="Arial"/>
          <w:sz w:val="17"/>
          <w:szCs w:val="17"/>
          <w:color w:val="auto"/>
        </w:rPr>
      </w:pPr>
      <w:r>
        <w:rPr>
          <w:rFonts w:ascii="Arial" w:cs="Arial" w:eastAsia="Arial" w:hAnsi="Arial"/>
          <w:sz w:val="17"/>
          <w:szCs w:val="17"/>
          <w:color w:val="auto"/>
        </w:rPr>
        <w:t>In a previous phase 1b trial, a statistically significant increase in the number of CD8+ tumor infiltrating lymphocytes was observed. Initial positive phase 2 data revealed notable improvements in patients with borderline resectable pancreatic ductal adenorcarcinoma (PDAC) following CAN-2409 plus prodrug together with standard of care (SoC) chemoradiation; the following data were disclosed as of the August 21, 2023 data cutoff:</w:t>
      </w:r>
    </w:p>
    <w:p>
      <w:pPr>
        <w:spacing w:after="0" w:line="82" w:lineRule="exact"/>
        <w:rPr>
          <w:rFonts w:ascii="Arial" w:cs="Arial" w:eastAsia="Arial" w:hAnsi="Arial"/>
          <w:sz w:val="17"/>
          <w:szCs w:val="17"/>
          <w:color w:val="auto"/>
        </w:rPr>
      </w:pPr>
    </w:p>
    <w:p>
      <w:pPr>
        <w:ind w:left="1523" w:hanging="505"/>
        <w:spacing w:after="0"/>
        <w:tabs>
          <w:tab w:leader="none" w:pos="1523" w:val="left"/>
        </w:tabs>
        <w:numPr>
          <w:ilvl w:val="2"/>
          <w:numId w:val="12"/>
        </w:numPr>
        <w:rPr>
          <w:rFonts w:ascii="Arial" w:cs="Arial" w:eastAsia="Arial" w:hAnsi="Arial"/>
          <w:sz w:val="17"/>
          <w:szCs w:val="17"/>
          <w:color w:val="auto"/>
        </w:rPr>
      </w:pPr>
      <w:r>
        <w:rPr>
          <w:rFonts w:ascii="Arial" w:cs="Arial" w:eastAsia="Arial" w:hAnsi="Arial"/>
          <w:sz w:val="17"/>
          <w:szCs w:val="17"/>
          <w:color w:val="auto"/>
        </w:rPr>
        <w:t>Clinical data highlights:</w:t>
      </w:r>
    </w:p>
    <w:p>
      <w:pPr>
        <w:spacing w:after="0" w:line="115" w:lineRule="exact"/>
        <w:rPr>
          <w:rFonts w:ascii="Arial" w:cs="Arial" w:eastAsia="Arial" w:hAnsi="Arial"/>
          <w:sz w:val="17"/>
          <w:szCs w:val="17"/>
          <w:color w:val="auto"/>
        </w:rPr>
      </w:pPr>
    </w:p>
    <w:p>
      <w:pPr>
        <w:ind w:left="2043" w:right="500" w:hanging="516"/>
        <w:spacing w:after="0" w:line="258" w:lineRule="auto"/>
        <w:tabs>
          <w:tab w:leader="none" w:pos="2043" w:val="left"/>
        </w:tabs>
        <w:numPr>
          <w:ilvl w:val="3"/>
          <w:numId w:val="12"/>
        </w:numPr>
        <w:rPr>
          <w:rFonts w:ascii="Arial" w:cs="Arial" w:eastAsia="Arial" w:hAnsi="Arial"/>
          <w:sz w:val="17"/>
          <w:szCs w:val="17"/>
          <w:color w:val="auto"/>
        </w:rPr>
      </w:pPr>
      <w:r>
        <w:rPr>
          <w:rFonts w:ascii="Arial" w:cs="Arial" w:eastAsia="Arial" w:hAnsi="Arial"/>
          <w:sz w:val="17"/>
          <w:szCs w:val="17"/>
          <w:color w:val="auto"/>
        </w:rPr>
        <w:t>Prolonged and sustained survival was observed after experimental treatment with CAN-2409 in patients with borderline resectable PDAC.</w:t>
      </w:r>
    </w:p>
    <w:p>
      <w:pPr>
        <w:spacing w:after="0" w:line="179"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60960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32" w:right="339" w:bottom="1440" w:gutter="0" w:footer="0" w:header="0"/>
        </w:sectPr>
      </w:pPr>
    </w:p>
    <w:bookmarkStart w:id="29" w:name="page30"/>
    <w:bookmarkEnd w:id="29"/>
    <w:p>
      <w:pPr>
        <w:ind w:left="2560" w:right="160" w:hanging="516"/>
        <w:spacing w:after="0" w:line="245" w:lineRule="auto"/>
        <w:tabs>
          <w:tab w:leader="none" w:pos="25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 estimated survival rate of 71.4% at both 24 and 36 months was observed in patients who received CAN-2409 regimen together with SoC chemoradiation prior to surgery, versus only 16.7% estimated survival at 24 and 36 months with SoC chemoradiation prior to surgery.</w:t>
      </w:r>
    </w:p>
    <w:p>
      <w:pPr>
        <w:spacing w:after="0" w:line="76" w:lineRule="exact"/>
        <w:rPr>
          <w:rFonts w:ascii="Arial" w:cs="Arial" w:eastAsia="Arial" w:hAnsi="Arial"/>
          <w:sz w:val="17"/>
          <w:szCs w:val="17"/>
          <w:color w:val="auto"/>
        </w:rPr>
      </w:pPr>
    </w:p>
    <w:p>
      <w:pPr>
        <w:ind w:left="2560" w:right="140" w:hanging="516"/>
        <w:spacing w:after="0" w:line="245" w:lineRule="auto"/>
        <w:tabs>
          <w:tab w:leader="none" w:pos="25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Importantly, 5 out of 7 patients who received CAN-2409 were still alive at the time of data cutoff, with two patients surviving more than 45 months from enrollment. Only one patient randomized to control SoC chemotherapy remained alive at data cutoff (alive at 43 months).</w:t>
      </w:r>
    </w:p>
    <w:p>
      <w:pPr>
        <w:spacing w:after="0" w:line="76" w:lineRule="exact"/>
        <w:rPr>
          <w:rFonts w:ascii="Arial" w:cs="Arial" w:eastAsia="Arial" w:hAnsi="Arial"/>
          <w:sz w:val="17"/>
          <w:szCs w:val="17"/>
          <w:color w:val="auto"/>
        </w:rPr>
      </w:pPr>
    </w:p>
    <w:p>
      <w:pPr>
        <w:ind w:left="2560" w:right="40" w:hanging="516"/>
        <w:spacing w:after="0" w:line="258" w:lineRule="auto"/>
        <w:tabs>
          <w:tab w:leader="none" w:pos="25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Median overall survival has not been reached yet in patients who received CAN-2409; median overall survival was 12.5 months in the control arm.</w:t>
      </w:r>
    </w:p>
    <w:p>
      <w:pPr>
        <w:spacing w:after="0" w:line="65" w:lineRule="exact"/>
        <w:rPr>
          <w:rFonts w:ascii="Arial" w:cs="Arial" w:eastAsia="Arial" w:hAnsi="Arial"/>
          <w:sz w:val="17"/>
          <w:szCs w:val="17"/>
          <w:color w:val="auto"/>
        </w:rPr>
      </w:pPr>
    </w:p>
    <w:p>
      <w:pPr>
        <w:ind w:left="2560" w:right="400" w:hanging="516"/>
        <w:spacing w:after="0" w:line="258" w:lineRule="auto"/>
        <w:tabs>
          <w:tab w:leader="none" w:pos="25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Disease course was altered after salvage chemotherapy with improved CA19-9 levels and ongoing survival in CAN-2409 arm, but not in control arm.</w:t>
      </w:r>
    </w:p>
    <w:p>
      <w:pPr>
        <w:spacing w:after="0" w:line="65" w:lineRule="exact"/>
        <w:rPr>
          <w:rFonts w:ascii="Arial" w:cs="Arial" w:eastAsia="Arial" w:hAnsi="Arial"/>
          <w:sz w:val="17"/>
          <w:szCs w:val="17"/>
          <w:color w:val="auto"/>
        </w:rPr>
      </w:pPr>
    </w:p>
    <w:p>
      <w:pPr>
        <w:ind w:left="2040" w:hanging="505"/>
        <w:spacing w:after="0"/>
        <w:tabs>
          <w:tab w:leader="none" w:pos="2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Biomarker data analysis demonstrated:</w:t>
      </w:r>
    </w:p>
    <w:p>
      <w:pPr>
        <w:spacing w:after="0" w:line="115" w:lineRule="exact"/>
        <w:rPr>
          <w:rFonts w:ascii="Arial" w:cs="Arial" w:eastAsia="Arial" w:hAnsi="Arial"/>
          <w:sz w:val="17"/>
          <w:szCs w:val="17"/>
          <w:color w:val="auto"/>
        </w:rPr>
      </w:pPr>
    </w:p>
    <w:p>
      <w:pPr>
        <w:ind w:left="2560" w:hanging="516"/>
        <w:spacing w:after="0"/>
        <w:tabs>
          <w:tab w:leader="none" w:pos="25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Consistent and robust activation of immune response after dosing with CAN-2409.</w:t>
      </w:r>
    </w:p>
    <w:p>
      <w:pPr>
        <w:spacing w:after="0" w:line="115" w:lineRule="exact"/>
        <w:rPr>
          <w:rFonts w:ascii="Arial" w:cs="Arial" w:eastAsia="Arial" w:hAnsi="Arial"/>
          <w:sz w:val="17"/>
          <w:szCs w:val="17"/>
          <w:color w:val="auto"/>
        </w:rPr>
      </w:pPr>
    </w:p>
    <w:p>
      <w:pPr>
        <w:jc w:val="both"/>
        <w:ind w:left="2560" w:right="80" w:hanging="516"/>
        <w:spacing w:after="0" w:line="245" w:lineRule="auto"/>
        <w:tabs>
          <w:tab w:leader="none" w:pos="25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pancreatic tissue of patients treated with CAN-2409 plus prodrug together with SoC (but not SoC alone), dense aggregates of CD8+ granzyme B positive cytotoxic T cells, dendritic cells, and B cells were observed in the tumor microenvironment.</w:t>
      </w:r>
    </w:p>
    <w:p>
      <w:pPr>
        <w:spacing w:after="0" w:line="76" w:lineRule="exact"/>
        <w:rPr>
          <w:rFonts w:ascii="Arial" w:cs="Arial" w:eastAsia="Arial" w:hAnsi="Arial"/>
          <w:sz w:val="17"/>
          <w:szCs w:val="17"/>
          <w:color w:val="auto"/>
        </w:rPr>
      </w:pPr>
    </w:p>
    <w:p>
      <w:pPr>
        <w:ind w:left="2560" w:right="520" w:hanging="516"/>
        <w:spacing w:after="0" w:line="258" w:lineRule="auto"/>
        <w:tabs>
          <w:tab w:leader="none" w:pos="25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Increased levels of soluble granzymes B and H as well as pro-inflammatory cytokines, including IFN-γ, were observed in peripheral blood after CAN-2409 treatment, but not with control treatment.</w:t>
      </w:r>
    </w:p>
    <w:p>
      <w:pPr>
        <w:spacing w:after="0" w:line="65" w:lineRule="exact"/>
        <w:rPr>
          <w:rFonts w:ascii="Arial" w:cs="Arial" w:eastAsia="Arial" w:hAnsi="Arial"/>
          <w:sz w:val="17"/>
          <w:szCs w:val="17"/>
          <w:color w:val="auto"/>
        </w:rPr>
      </w:pPr>
    </w:p>
    <w:p>
      <w:pPr>
        <w:ind w:left="2040" w:hanging="505"/>
        <w:spacing w:after="0"/>
        <w:tabs>
          <w:tab w:leader="none" w:pos="2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Safety analysis:</w:t>
      </w:r>
    </w:p>
    <w:p>
      <w:pPr>
        <w:spacing w:after="0" w:line="115" w:lineRule="exact"/>
        <w:rPr>
          <w:rFonts w:ascii="Arial" w:cs="Arial" w:eastAsia="Arial" w:hAnsi="Arial"/>
          <w:sz w:val="17"/>
          <w:szCs w:val="17"/>
          <w:color w:val="auto"/>
        </w:rPr>
      </w:pPr>
    </w:p>
    <w:p>
      <w:pPr>
        <w:ind w:left="2560" w:hanging="516"/>
        <w:spacing w:after="0"/>
        <w:tabs>
          <w:tab w:leader="none" w:pos="25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CAN-2409 was associated with a favorable tolerability profile.</w:t>
      </w:r>
    </w:p>
    <w:p>
      <w:pPr>
        <w:spacing w:after="0" w:line="115" w:lineRule="exact"/>
        <w:rPr>
          <w:rFonts w:ascii="Arial" w:cs="Arial" w:eastAsia="Arial" w:hAnsi="Arial"/>
          <w:sz w:val="17"/>
          <w:szCs w:val="17"/>
          <w:color w:val="auto"/>
        </w:rPr>
      </w:pPr>
    </w:p>
    <w:p>
      <w:pPr>
        <w:ind w:left="2560" w:right="560" w:hanging="516"/>
        <w:spacing w:after="0" w:line="258" w:lineRule="auto"/>
        <w:tabs>
          <w:tab w:leader="none" w:pos="25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Addition of CAN-2409 regimen to SoC was generally well tolerated, with no reported dose-limiting toxicities, including no cases of pancreatitis.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lead HSV-based product candidate, CAN-3110, is currently in an ongoing investigator-sponsored phase 1 clinical trial in our initial target indication of recurrent high-grade glioma (HGG). These patients have failed standard of care treatment and have a poor prognosis (expected overall survival &lt; 6-9 months). Initial overall survival data from this clinical trial was presented in an oral presentation at the ASCO Annual Meeting in June 2021, and additional biomarker data was reported in an oral presentation at the Society for Neuro-Oncology Annual Meeting in November 2021. During our Research and Development Day in December 2022, we presented updated data demonstrating that CAN-3110 was well tolerated with no observed dose-limiting toxicity; achieved 11.6 months median overall survival (mOS) with a single dose; and showed evidence of persistent herpes simplex virus 1 (HSV-1) antigen and HSV-1 replication consistent with mechanism of action​as well as robust evidence of immune activation​. In May 2023, we presented clinical and biomarker data from this ongoing clinical trial in an oral presentation at the American Society of Gene &amp; Cell Therapy (ASGCT) Annual Meeting where we reported mOS in arm A (n=41) ongoing at 11.8 months and mOS in arm B (n=9) ongoing at 12.0 months as of the April 20, 2023 data cutoff. Safety and tolerability data reported no dose-limiting toxicities in both arm A and arm B. In October 2023, we jointly published an article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that reported extended survival associated with immune activation in patients with recurrent HGG treated with CAN-3110. Notably, new data reported an increased survival in 66% of patients with positivity for anti-HSV1 antibodies (mOS of 14.2 months). Immune status was positively associated with survival both in patients with pre-existing HSV1 antibodies (pre-treatment) and in 33% of patients that, while negative at baseline, developed anti-HSV1 antibodies after a single injection of CAN-3110. Clinical responses were observed in both injected and uninjected lesions in patients with multifocal disease. Significant tumor responses in both arm A and arm B were observed, with continued reduction in tumor volume in a patient in arm B approximately one year after CAN-3110 treatment. Clinical response for this patient, in follow-up as of data cutoff, continued without additional treatment.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treated with CAN-3110 were able to mount a diverse immune response against the virus and tumor antigens released during the oncolytic process had improved survival.</w:t>
      </w:r>
    </w:p>
    <w:p>
      <w:pPr>
        <w:spacing w:after="0" w:line="242"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We are conducting an extension of the clinical trial known as arm C, in which patients with recurrent HGG will receive a repeat dosing regimen of CAN-3110 (up to six injections over four months). Clinical data from arm C will help evaluate whether multiple injections can increase mOS. This clinical trial extension is supported by the Break Through Cancer foundation. We expect to present updated clinical and biomarker data on the multiple injections arm in the second half of 2024.</w:t>
      </w:r>
    </w:p>
    <w:p>
      <w:pPr>
        <w:spacing w:after="0" w:line="163"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We are also designing other novel viral immunotherapy candidates using our proprietary enLIGHTEN™ Discovery Platform, a systematic, iterative HSV-based discovery platform leveraging human biology and advanced analytics to create new viral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0" w:name="page31"/>
    <w:bookmarkEnd w:id="30"/>
    <w:p>
      <w:pPr>
        <w:spacing w:after="0" w:line="235" w:lineRule="auto"/>
        <w:rPr>
          <w:sz w:val="20"/>
          <w:szCs w:val="20"/>
          <w:color w:val="auto"/>
        </w:rPr>
      </w:pPr>
      <w:r>
        <w:rPr>
          <w:rFonts w:ascii="Arial" w:cs="Arial" w:eastAsia="Arial" w:hAnsi="Arial"/>
          <w:sz w:val="17"/>
          <w:szCs w:val="17"/>
          <w:color w:val="auto"/>
        </w:rPr>
        <w:t>immunotherapy candidates for solid tumors. In October 2022, we entered into a collaboration with the University of Pennsylvania (UPenn) Center for Cellular Immunotherapies to study the impact of novel viral immunotherapy candidates based on Candel’s enLIGHTEN™ Discovery Platform to strengthen the activity of UPenn’s investigational CAR-T cell therapies in difficult to treat solid tumors. In November 2023, during the SITC 2023 Annual Meeting, we presented two posters describing the key elements of the platform and the development of the first experimental agent from the enLIGHTEN Discovery Platform. The new agent, Alpha-201 Macro1, is an investigational viral immunotherapy designed to interfere with the CD47/SIRPα pathway and activate innate immune surveillance. Results demonstrated monotherapy activity following local administration in a preclinical model of breast cancer. Additional preclinical data presented at SITC confirmed the capability of the enLIGHTEN™ Advanced Analytics suite to predict optimal gene payload combinations to arm viral vectors, that enable the design of potential combination therapeutics to overcome tumor resistance especially in cancers resistant to ICI treatment.</w:t>
      </w:r>
    </w:p>
    <w:p>
      <w:pPr>
        <w:spacing w:after="0" w:line="86" w:lineRule="exact"/>
        <w:rPr>
          <w:sz w:val="20"/>
          <w:szCs w:val="20"/>
          <w:color w:val="auto"/>
        </w:rPr>
      </w:pPr>
    </w:p>
    <w:p>
      <w:pPr>
        <w:ind w:right="480"/>
        <w:spacing w:after="0" w:line="258" w:lineRule="auto"/>
        <w:rPr>
          <w:sz w:val="20"/>
          <w:szCs w:val="20"/>
          <w:color w:val="auto"/>
        </w:rPr>
      </w:pPr>
      <w:r>
        <w:rPr>
          <w:rFonts w:ascii="Arial" w:cs="Arial" w:eastAsia="Arial" w:hAnsi="Arial"/>
          <w:sz w:val="17"/>
          <w:szCs w:val="17"/>
          <w:color w:val="auto"/>
        </w:rPr>
        <w:t>We currently own development and commercialization rights for our programs in major markets, including the United States, Europe and Asia, allowing us to control development and seek approval in those areas as we prepare our commercialization efforts.</w:t>
      </w:r>
    </w:p>
    <w:p>
      <w:pPr>
        <w:spacing w:after="0" w:line="66"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(IPO) in July 2021.</w:t>
      </w:r>
    </w:p>
    <w:p>
      <w:pPr>
        <w:spacing w:after="0" w:line="8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cash and cash equivalents were $43.0 million as of September 30, 2023. In accordance with the Financial Accounting Standards Board (FASB) Accounting Standards Codification, 205-40, Presentation of Financial Statements - Going Concern, we are required to assess our ability to continue as a going concern for the one-year look forward period following the date that the condensed consolidated financial statements are issued. Based on our current operating plan and existing cash and cash equivalents, we determined that substantial doubt exists regarding our ability to continue as a going concern for the one-year period following the date these condensed consolidated financial statements are issued. To sustain its future operations beyond such one-year period, we will require additional funding. We expect to finance our cash needs through a combination of public or private equity or debt financings, government grants, and other sources, which may include collaborations, strategic alliances and licensing arrangements with third parties. There is no assurance that we will be successful in obtaining sufficient funding on acceptable terms, if at all, and could be forced to delay, reduce, or eliminate some or all of its research, clinical trials, product development or future commercialization efforts, which could materially adversely affect our business prospects or our ability to continue as a going concern.</w:t>
      </w:r>
    </w:p>
    <w:p>
      <w:pPr>
        <w:spacing w:after="0" w:line="84"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accompanying condensed consolidated financial statements do not include any adjustments that might result from the outcome of this uncertainty. Accordingly, the condensed consolidated financial statements have been prepared on a basis that assumes we will continue as a going concern and that contemplates the realization of assets and satisfaction of liabilities and commitments in the ordinary course of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08" w:lineRule="exact"/>
        <w:rPr>
          <w:sz w:val="20"/>
          <w:szCs w:val="20"/>
          <w:color w:val="auto"/>
        </w:rPr>
      </w:pPr>
    </w:p>
    <w:p>
      <w:pPr>
        <w:ind w:right="480"/>
        <w:spacing w:after="0" w:line="258" w:lineRule="auto"/>
        <w:rPr>
          <w:sz w:val="20"/>
          <w:szCs w:val="20"/>
          <w:color w:val="auto"/>
        </w:rPr>
      </w:pPr>
      <w:r>
        <w:rPr>
          <w:rFonts w:ascii="Arial" w:cs="Arial" w:eastAsia="Arial" w:hAnsi="Arial"/>
          <w:sz w:val="17"/>
          <w:szCs w:val="17"/>
          <w:color w:val="auto"/>
        </w:rPr>
        <w:t>We are a party to a number of license and collaboration agreements under which we license patents, patent applications and other intellectual property to and from third parties.</w:t>
      </w:r>
    </w:p>
    <w:p>
      <w:pPr>
        <w:spacing w:after="0" w:line="8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Periphagen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8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On June 7, 2023, we entered into an amendment to the exclusive license agreement. Under the amendment, our rights to the NT-3 Assets and Gene Transfer Neuro-Assets reverted to Periphagen, and we no longer have any obligations (including without limitation diligence obligations and payment obligations) with respect to the NT-3 Assets or Gene Transfer Neuro-Assets. With respect to the remaining Licensed IP Rights, we retained a worldwide exclusive license with the right to grant sublicenses through multiple tiers under the Licensed IP Rights to conduct research and to develop, make, have made, use, have used, offer for sale, have sold, export and import products incorporating the Licensed IP Rights in field of the treatment, diagnosis, and prevention of oncologic diseases and conditions.</w:t>
      </w:r>
    </w:p>
    <w:p>
      <w:pPr>
        <w:spacing w:after="0" w:line="120" w:lineRule="exact"/>
        <w:rPr>
          <w:sz w:val="20"/>
          <w:szCs w:val="20"/>
          <w:color w:val="auto"/>
        </w:rPr>
      </w:pPr>
    </w:p>
    <w:p>
      <w:pPr>
        <w:ind w:right="660"/>
        <w:spacing w:after="0" w:line="251" w:lineRule="auto"/>
        <w:rPr>
          <w:sz w:val="20"/>
          <w:szCs w:val="20"/>
          <w:color w:val="auto"/>
        </w:rPr>
      </w:pPr>
      <w:r>
        <w:rPr>
          <w:rFonts w:ascii="Arial" w:cs="Arial" w:eastAsia="Arial" w:hAnsi="Arial"/>
          <w:sz w:val="18"/>
          <w:szCs w:val="18"/>
          <w:b w:val="1"/>
          <w:bCs w:val="1"/>
          <w:i w:val="1"/>
          <w:iCs w:val="1"/>
          <w:color w:val="auto"/>
        </w:rPr>
        <w:t>Mass General Brigham (MGB)</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January 20, 2018, we entered into an exclusive option agreement (the Option Agreement) with MGB.</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Pursuant to the Option Agreement, we obtained the exclusive right from MGB to negotiate a world-wide,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31" w:name="page32"/>
    <w:bookmarkEnd w:id="31"/>
    <w:p>
      <w:pPr>
        <w:jc w:val="both"/>
        <w:ind w:right="140"/>
        <w:spacing w:after="0"/>
        <w:rPr>
          <w:sz w:val="20"/>
          <w:szCs w:val="20"/>
          <w:color w:val="auto"/>
        </w:rPr>
      </w:pPr>
      <w:r>
        <w:rPr>
          <w:rFonts w:ascii="Arial" w:cs="Arial" w:eastAsia="Arial" w:hAnsi="Arial"/>
          <w:sz w:val="17"/>
          <w:szCs w:val="17"/>
          <w:color w:val="auto"/>
        </w:rPr>
        <w:t>royalty-bearing license to develop and commercialize products covered by certain MGB patents, including those patents covering CAN-3110,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82" w:lineRule="exact"/>
        <w:rPr>
          <w:sz w:val="20"/>
          <w:szCs w:val="20"/>
          <w:color w:val="auto"/>
        </w:rPr>
      </w:pPr>
    </w:p>
    <w:p>
      <w:pPr>
        <w:ind w:right="80"/>
        <w:spacing w:after="0"/>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spacing w:after="0" w:line="8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and also agreed to reimburse MGB for all reasonable fees and expenses MGB had incurred and will incur for the preparation, filing, prosecution and maintenance of the licensed patent rights.</w:t>
      </w:r>
    </w:p>
    <w:p>
      <w:pPr>
        <w:spacing w:after="0" w:line="10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Ventagen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March 1, 2014, we entered into an exclusive license agreement (the Ventagen Agreement) with Ventagen a related party. The</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 Mexico, Belize, Guatemala, Honduras, El Salvador, Costa Rica, Nicaragua, Panama, Colombia and Bolivia. Ventagen is 49.5% owned by certain of our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To date, we have not generated any revenue from product sales and do not expect to generate any revenue from sales of products in the foreseeable future. We are recognizing as research and development service revenue $1.0 million that we received in 2014 and 2015 from Ventagen for an exclusive license to develop products for commercial sale and development within certain countries. We recognized revenue over the period during which we provided services under the license agreement, and the revenue has been fully recognized as of December 31,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consist primarily of costs incurred for our product development activities for our two primary drug candidates,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CAN-2409 and CAN-3110. We expense research and development costs as incurred. These include the following:</w:t>
      </w:r>
    </w:p>
    <w:p>
      <w:pPr>
        <w:spacing w:after="0" w:line="90" w:lineRule="exact"/>
        <w:rPr>
          <w:sz w:val="20"/>
          <w:szCs w:val="20"/>
          <w:color w:val="auto"/>
        </w:rPr>
      </w:pPr>
    </w:p>
    <w:p>
      <w:pPr>
        <w:ind w:left="1020" w:right="500" w:hanging="503"/>
        <w:spacing w:after="0" w:line="25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employee-related costs, including salaries, benefits and stock-based compensation expense, for personnel engaged in research, development and clinical management functions;</w:t>
      </w:r>
    </w:p>
    <w:p>
      <w:pPr>
        <w:spacing w:after="0" w:line="65" w:lineRule="exact"/>
        <w:rPr>
          <w:rFonts w:ascii="Arial" w:cs="Arial" w:eastAsia="Arial" w:hAnsi="Arial"/>
          <w:sz w:val="17"/>
          <w:szCs w:val="17"/>
          <w:color w:val="auto"/>
        </w:rPr>
      </w:pPr>
    </w:p>
    <w:p>
      <w:pPr>
        <w:ind w:left="1020" w:right="320" w:hanging="503"/>
        <w:spacing w:after="0" w:line="25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party clinical sites for the treatment and follow-up for patients enrolled in our clinical trials;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of acquiring and manufacturing preclinical study materials, including manufacturing registration and validation batches;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payments made under third-party licensing agreements;</w:t>
      </w:r>
    </w:p>
    <w:p>
      <w:pPr>
        <w:spacing w:after="0" w:line="115" w:lineRule="exact"/>
        <w:rPr>
          <w:rFonts w:ascii="Arial" w:cs="Arial" w:eastAsia="Arial" w:hAnsi="Arial"/>
          <w:sz w:val="17"/>
          <w:szCs w:val="17"/>
          <w:color w:val="auto"/>
        </w:rPr>
      </w:pPr>
    </w:p>
    <w:p>
      <w:pPr>
        <w:ind w:left="1020" w:right="320" w:hanging="503"/>
        <w:spacing w:after="0" w:line="25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costs incurred to develop the manufacturing process and capabilities for future clinical trials and commercialization. Our clinical trial material for use in our existing clinical trials was manufactured in prior years;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costs related to compliance with quality and regulatory requirements;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2" w:name="page33"/>
    <w:bookmarkEnd w:id="32"/>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costs of outside consultants, primarily related to regulatory; and</w:t>
      </w:r>
    </w:p>
    <w:p>
      <w:pPr>
        <w:spacing w:after="0" w:line="115" w:lineRule="exact"/>
        <w:rPr>
          <w:rFonts w:ascii="Arial" w:cs="Arial" w:eastAsia="Arial" w:hAnsi="Arial"/>
          <w:sz w:val="17"/>
          <w:szCs w:val="17"/>
          <w:color w:val="auto"/>
        </w:rPr>
      </w:pPr>
    </w:p>
    <w:p>
      <w:pPr>
        <w:ind w:left="1020" w:right="180" w:hanging="503"/>
        <w:spacing w:after="0" w:line="25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facility-related expenses, which include direct depreciation costs and expenses for rent and maintenance of facilities and insurance, and other operating costs if specifically identifiable to research and development activities.</w:t>
      </w:r>
    </w:p>
    <w:p>
      <w:pPr>
        <w:spacing w:after="0" w:line="6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spacing w:after="0" w:line="84"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We cannot determine with certainty the duration and costs of future clinical trials of CAN-2409 and CAN-3110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 and timing of clinical trials and development of CAN-2409 and CAN-3110 and any other product candidate we may develop will depend on a variety of factors, including:</w:t>
      </w:r>
    </w:p>
    <w:p>
      <w:pPr>
        <w:spacing w:after="0" w:line="84"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scope, rate of progress, expense and results of clinical trials;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successful enrollment in and completion of clinical trials, including our ability to generate positive data from any such trials;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add and retain key research and development personnel;</w:t>
      </w:r>
    </w:p>
    <w:p>
      <w:pPr>
        <w:spacing w:after="0" w:line="115" w:lineRule="exact"/>
        <w:rPr>
          <w:rFonts w:ascii="Arial" w:cs="Arial" w:eastAsia="Arial" w:hAnsi="Arial"/>
          <w:sz w:val="17"/>
          <w:szCs w:val="17"/>
          <w:color w:val="auto"/>
        </w:rPr>
      </w:pPr>
    </w:p>
    <w:p>
      <w:pPr>
        <w:ind w:left="1020" w:right="620" w:hanging="503"/>
        <w:spacing w:after="0" w:line="25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actual probability of success for our product candidates, including their safety and efficacy, early clinical data, competition, manufacturing capability, and commercial viability;</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significant and changing government regulation and regulatory guidance;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and receipt of any marketing approvals;</w:t>
      </w:r>
    </w:p>
    <w:p>
      <w:pPr>
        <w:spacing w:after="0" w:line="115" w:lineRule="exact"/>
        <w:rPr>
          <w:rFonts w:ascii="Arial" w:cs="Arial" w:eastAsia="Arial" w:hAnsi="Arial"/>
          <w:sz w:val="17"/>
          <w:szCs w:val="17"/>
          <w:color w:val="auto"/>
        </w:rPr>
      </w:pPr>
    </w:p>
    <w:p>
      <w:pPr>
        <w:ind w:left="1020" w:hanging="503"/>
        <w:spacing w:after="0" w:line="25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progress of the development efforts of parties with whom we may enter into collaboration agreements, and the terms and timing of any additional collaboration agreements, license or other arrangement, including the timing of any payments thereunder;</w:t>
      </w:r>
    </w:p>
    <w:p>
      <w:pPr>
        <w:spacing w:after="0" w:line="65" w:lineRule="exact"/>
        <w:rPr>
          <w:rFonts w:ascii="Arial" w:cs="Arial" w:eastAsia="Arial" w:hAnsi="Arial"/>
          <w:sz w:val="17"/>
          <w:szCs w:val="17"/>
          <w:color w:val="auto"/>
        </w:rPr>
      </w:pPr>
    </w:p>
    <w:p>
      <w:pPr>
        <w:ind w:left="1020" w:right="160" w:hanging="503"/>
        <w:spacing w:after="0" w:line="245"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enter into agreements with CMOs for the commercial manufacture of our product candidate CAN-2409 and the clinical-scale manufacture of our product candidate CAN-3110 as well as complete the development, construction and qualification of our clinical manufacturing capabilities, internally or through CMOs;</w:t>
      </w:r>
    </w:p>
    <w:p>
      <w:pPr>
        <w:spacing w:after="0" w:line="76"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costs related to manufacturing of our product candidates or to account for any future changes in our manufacturing plans;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successfully commercialize our product candidates, if and when approved;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raising additional funds necessary to complete clinical development of our product candidates;</w:t>
      </w:r>
    </w:p>
    <w:p>
      <w:pPr>
        <w:spacing w:after="0" w:line="115" w:lineRule="exact"/>
        <w:rPr>
          <w:rFonts w:ascii="Arial" w:cs="Arial" w:eastAsia="Arial" w:hAnsi="Arial"/>
          <w:sz w:val="17"/>
          <w:szCs w:val="17"/>
          <w:color w:val="auto"/>
        </w:rPr>
      </w:pPr>
    </w:p>
    <w:p>
      <w:pPr>
        <w:ind w:left="1020" w:hanging="503"/>
        <w:spacing w:after="0" w:line="25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obtain and maintain third-party insurance coverage and adequate reimbursement for our product candidates, if and when approved;</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acceptance of our product candidates, if approved, by patients, the medical community and third-party payors;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effectively competing with other products if our product candidates are approved;</w:t>
      </w:r>
    </w:p>
    <w:p>
      <w:pPr>
        <w:spacing w:after="0" w:line="115" w:lineRule="exact"/>
        <w:rPr>
          <w:rFonts w:ascii="Arial" w:cs="Arial" w:eastAsia="Arial" w:hAnsi="Arial"/>
          <w:sz w:val="17"/>
          <w:szCs w:val="17"/>
          <w:color w:val="auto"/>
        </w:rPr>
      </w:pPr>
    </w:p>
    <w:p>
      <w:pPr>
        <w:ind w:left="1020" w:right="40" w:hanging="503"/>
        <w:spacing w:after="0" w:line="25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any business interruptions to our operations, including the timing and enrollment of patients in our planned clinical trials, or to those of our manufacturers, suppliers, or other vendors resulting from any future public health crisis;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maintain a continued acceptable safety profile for our therapies following approval;</w:t>
      </w:r>
    </w:p>
    <w:p>
      <w:pPr>
        <w:spacing w:after="0" w:line="115" w:lineRule="exact"/>
        <w:rPr>
          <w:rFonts w:ascii="Arial" w:cs="Arial" w:eastAsia="Arial" w:hAnsi="Arial"/>
          <w:sz w:val="17"/>
          <w:szCs w:val="17"/>
          <w:color w:val="auto"/>
        </w:rPr>
      </w:pPr>
    </w:p>
    <w:p>
      <w:pPr>
        <w:ind w:left="1020" w:right="420" w:hanging="503"/>
        <w:spacing w:after="0" w:line="25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obtain and maintain patents, trade secret and other intellectual property protection and regulatory exclusivity for our product candidates, both in the United States and internationally; and</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115"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2"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8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personnel headcount to support our continued clinical development and manufacturing activities and to meet the requirements of a public company. We expect to incur increased expenses associated with being a public company, including costs of accounting, audit, legal, regulatory, and tax-related services associated with maintaining compliance with exchange listing and Securities and Exchange Commission (SEC) requirements; director and officer insurance costs; and investor and public relations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Grant income consists of amounts received under a grant from the Massachusetts Life Sciences Center.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amounts earned on investment of cash equivalents.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consists of interest expense on our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0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connection with the November 13, 2018 issuance of Series B preferred stock we issued warrants to the purchasers of the Series B preferred stock, to purchase up to 7,344,968 shares of our common stock with an exercise price of $6.81 per share. We also issued a warrant to the NC Incorporated Ohio Trust, an irrevocable trust funded by us, to purchase 162,740 shares of our common stock, $0.01 par value, at an exercise price of $1.46 per share, subject to adjustments as specified in the warrant 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condensed consolidated statements of operations. 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 Therefore, the fair value may not be appropriately captured by simple models.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 xml:space="preserve">Since </w:t>
      </w:r>
      <w:r>
        <w:rPr>
          <w:rFonts w:ascii="Arial" w:cs="Arial" w:eastAsia="Arial" w:hAnsi="Arial"/>
          <w:sz w:val="17"/>
          <w:szCs w:val="17"/>
          <w:color w:val="auto"/>
        </w:rPr>
        <w:t>our inception, we have generated cumulative federal and state net operating loss and research and development credit carryforwards for</w:t>
      </w:r>
      <w:r>
        <w:rPr>
          <w:rFonts w:ascii="Arial" w:cs="Arial" w:eastAsia="Arial" w:hAnsi="Arial"/>
          <w:sz w:val="18"/>
          <w:szCs w:val="18"/>
          <w:color w:val="auto"/>
        </w:rPr>
        <w:t xml:space="preserve"> </w:t>
      </w:r>
      <w:r>
        <w:rPr>
          <w:rFonts w:ascii="Arial" w:cs="Arial" w:eastAsia="Arial" w:hAnsi="Arial"/>
          <w:sz w:val="17"/>
          <w:szCs w:val="17"/>
          <w:color w:val="auto"/>
        </w:rPr>
        <w:t>which we have not recorded any net tax benefit due to uncertainty around utilizing these tax attributes within their respective carryforward periods.</w:t>
      </w:r>
    </w:p>
    <w:p>
      <w:pPr>
        <w:spacing w:after="0" w:line="8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As of December 31, 2022, we had federal net operating loss carryforwards (NOLs) of approximately $65.9 million and state NOLs of approximately $61.9 million which may be available to offset future taxable income. Our federal NOLs include $8.8 million available to reduce future taxable income through 2028 and approximately $57.1 million of NOLs that do not expire and are available to reduce future taxable income indefinitely. The state NOLs are available to offset future taxable income through 2032. As of December 31, 2022, we also had federal and state research and development tax credit carryforwards of $3.4 million and $1.8 million, respectively, which are available to offset federal and state tax liabilities through 2036 and 2028, respectively.</w:t>
      </w:r>
    </w:p>
    <w:p>
      <w:pPr>
        <w:spacing w:after="0" w:line="84"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 Management has considered our history of cumulative net losses incurred since inception, as well as our lack of product revenue since inception, and has determined that it is more likely than not that we will not realize the benefits of its deferred tax assets. As a result, a full valuation allowance has been established at September 30, 2023 and December 31, 2022.</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4" w:name="page35"/>
    <w:bookmarkEnd w:id="34"/>
    <w:p>
      <w:pPr>
        <w:ind w:right="80"/>
        <w:spacing w:after="0" w:line="236" w:lineRule="auto"/>
        <w:rPr>
          <w:sz w:val="20"/>
          <w:szCs w:val="20"/>
          <w:color w:val="auto"/>
        </w:rPr>
      </w:pPr>
      <w:r>
        <w:rPr>
          <w:rFonts w:ascii="Arial" w:cs="Arial" w:eastAsia="Arial" w:hAnsi="Arial"/>
          <w:sz w:val="17"/>
          <w:szCs w:val="17"/>
          <w:color w:val="auto"/>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w:t>
      </w:r>
      <w:r>
        <w:rPr>
          <w:rFonts w:ascii="Arial" w:cs="Arial" w:eastAsia="Arial" w:hAnsi="Arial"/>
          <w:sz w:val="17"/>
          <w:szCs w:val="17"/>
          <w:b w:val="1"/>
          <w:bCs w:val="1"/>
          <w:i w:val="1"/>
          <w:iCs w:val="1"/>
          <w:color w:val="auto"/>
        </w:rPr>
        <w:t>hree Months Ended September 30, 2023 and 2022</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three months ended September 30, 2023 and 2022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9"/>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273"/>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(DECREASE)</w:t>
            </w: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service 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5,845</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5,376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469</w:t>
            </w:r>
          </w:p>
        </w:tc>
      </w:tr>
      <w:tr>
        <w:trPr>
          <w:trHeight w:val="230"/>
        </w:trPr>
        <w:tc>
          <w:tcPr>
            <w:tcW w:w="66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3,016</w:t>
            </w:r>
          </w:p>
        </w:tc>
        <w:tc>
          <w:tcPr>
            <w:tcW w:w="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3,536</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(520 )</w:t>
            </w:r>
          </w:p>
        </w:tc>
      </w:tr>
      <w:tr>
        <w:trPr>
          <w:trHeight w:val="223"/>
        </w:trPr>
        <w:tc>
          <w:tcPr>
            <w:tcW w:w="66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8,861</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8,912</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(51 )</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(8,861 )</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(8,881 )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20</w:t>
            </w: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 income</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159</w:t>
            </w: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(669 )</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(150 )</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212</w:t>
            </w:r>
          </w:p>
        </w:tc>
      </w:tr>
      <w:tr>
        <w:trPr>
          <w:trHeight w:val="263"/>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(8,435 )</w:t>
            </w:r>
          </w:p>
        </w:tc>
        <w:tc>
          <w:tcPr>
            <w:tcW w:w="1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(8,688 )</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-916305</wp:posOffset>
            </wp:positionV>
            <wp:extent cx="10287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-916305</wp:posOffset>
            </wp:positionV>
            <wp:extent cx="94615"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4615" cy="15430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1028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946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946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04"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We had research and development service revenue of zero and $31,000 for the three months ended September 30, 2023 and 2022, respectively. This represents the recognition as research and development service revenue of a portion of the $1.0 million up-front license fee that we received in 2014 and 2015 from Ventagen, a related party, which was recognized over the period during which we provided the services, and has been fully recognized as of December 31,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three months ended September 30, 2023 and 2022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244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9"/>
        </w:trPr>
        <w:tc>
          <w:tcPr>
            <w:tcW w:w="66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294"/>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(DECREASE)</w:t>
            </w: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Employee-related</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3,176</w:t>
            </w:r>
          </w:p>
        </w:tc>
        <w:tc>
          <w:tcPr>
            <w:tcW w:w="100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3,299</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(123 )</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Clinical development</w:t>
            </w:r>
          </w:p>
        </w:tc>
        <w:tc>
          <w:tcPr>
            <w:tcW w:w="84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1,815</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1,424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391</w:t>
            </w: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impairment, and loss on the sale of fixed assets</w:t>
            </w:r>
          </w:p>
        </w:tc>
        <w:tc>
          <w:tcPr>
            <w:tcW w:w="8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Pre-clinical research</w:t>
            </w:r>
          </w:p>
        </w:tc>
        <w:tc>
          <w:tcPr>
            <w:tcW w:w="84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26</w:t>
            </w: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Occupancy</w:t>
            </w:r>
          </w:p>
        </w:tc>
        <w:tc>
          <w:tcPr>
            <w:tcW w:w="8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Recruiting</w:t>
            </w:r>
          </w:p>
        </w:tc>
        <w:tc>
          <w:tcPr>
            <w:tcW w:w="84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30"/>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32</w:t>
            </w:r>
          </w:p>
        </w:tc>
      </w:tr>
      <w:tr>
        <w:trPr>
          <w:trHeight w:val="223"/>
        </w:trPr>
        <w:tc>
          <w:tcPr>
            <w:tcW w:w="6660" w:type="dxa"/>
            <w:vAlign w:val="bottom"/>
          </w:tcPr>
          <w:p>
            <w:pPr>
              <w:spacing w:after="0"/>
              <w:rPr>
                <w:sz w:val="19"/>
                <w:szCs w:val="19"/>
                <w:color w:val="auto"/>
              </w:rPr>
            </w:pP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5,845</w:t>
            </w:r>
          </w:p>
        </w:tc>
        <w:tc>
          <w:tcPr>
            <w:tcW w:w="100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5,376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469</w:t>
            </w:r>
          </w:p>
        </w:tc>
      </w:tr>
      <w:tr>
        <w:trPr>
          <w:trHeight w:val="20"/>
        </w:trPr>
        <w:tc>
          <w:tcPr>
            <w:tcW w:w="6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-179070</wp:posOffset>
            </wp:positionV>
            <wp:extent cx="10287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-179070</wp:posOffset>
            </wp:positionV>
            <wp:extent cx="94615"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615" cy="179705"/>
                    </a:xfrm>
                    <a:prstGeom prst="rect">
                      <a:avLst/>
                    </a:prstGeom>
                    <a:noFill/>
                  </pic:spPr>
                </pic:pic>
              </a:graphicData>
            </a:graphic>
          </wp:anchor>
        </w:drawing>
      </w:r>
    </w:p>
    <w:p>
      <w:pPr>
        <w:spacing w:after="0" w:line="70"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Research and development expenses increased from $5.4 million for the three months ended September 30, 2022 to $5.8 million for the three months ended September 30, 2023. The increase was primarily attributable to a $0.4 million increase in clinical development costs driven by increased manufacturing and regulatory costs in support of CAN-2409 programs and a $0.2 million increase in fixed asset-related expenses driven by a $0.2 million impairment charge to manufacturing equipment.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three months ended September 30, 2023 and 2022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244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9"/>
        </w:trPr>
        <w:tc>
          <w:tcPr>
            <w:tcW w:w="66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294"/>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(DECREASE)</w:t>
            </w: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Employee-related</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1,720</w:t>
            </w:r>
          </w:p>
        </w:tc>
        <w:tc>
          <w:tcPr>
            <w:tcW w:w="1000" w:type="dxa"/>
            <w:vAlign w:val="bottom"/>
            <w:gridSpan w:val="2"/>
            <w:shd w:val="clear" w:color="auto" w:fill="CFF0FC"/>
          </w:tcPr>
          <w:p>
            <w:pPr>
              <w:jc w:val="right"/>
              <w:ind w:right="63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1,583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Professional and consulting fees</w:t>
            </w:r>
          </w:p>
        </w:tc>
        <w:tc>
          <w:tcPr>
            <w:tcW w:w="84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693</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(272 )</w:t>
            </w: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w:t>
            </w:r>
          </w:p>
        </w:tc>
        <w:tc>
          <w:tcPr>
            <w:tcW w:w="8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Recruiting</w:t>
            </w:r>
          </w:p>
        </w:tc>
        <w:tc>
          <w:tcPr>
            <w:tcW w:w="84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(257 )</w:t>
            </w: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Occupancy</w:t>
            </w:r>
          </w:p>
        </w:tc>
        <w:tc>
          <w:tcPr>
            <w:tcW w:w="8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w:t>
            </w:r>
          </w:p>
        </w:tc>
      </w:tr>
      <w:tr>
        <w:trPr>
          <w:trHeight w:val="263"/>
        </w:trPr>
        <w:tc>
          <w:tcPr>
            <w:tcW w:w="666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3,016</w:t>
            </w:r>
          </w:p>
        </w:tc>
        <w:tc>
          <w:tcPr>
            <w:tcW w:w="16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3,536</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-25400</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1028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946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946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70"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General and administrative expenses decreased $0.5 million from $3.5 million for the three months ended September 30, 2022 to $3.0 million for the three months ended September 30, 2023. The decrease was primarily attributable to a $0.3 million decrease in professional and consulting fees, a $0.3 million decrease in recruiting costs and a $0.2 million decrease in the cost of directors and officers insurance.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Income</w:t>
      </w:r>
    </w:p>
    <w:p>
      <w:pPr>
        <w:spacing w:after="0" w:line="104"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Grant income was $12,000 and zero for the three months ended September 30, 2023 and 2022, respectively. Grant income for the three months ended September 30, 2023 relates to the recognition of income from a grant from the Massachusetts Life Sciences Center.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0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Interest income was $0.5 million for the three months ended September 30, 2023, compared to interest income of $0.3 million for the three months ended September 30, 2022, and represents earnings on our cash equivalents. The increase in interest income is the result of rising interest rates that have generated higher returns on our cash equivalents for the three months ended September 30, 2023 compared to the three months ended September 30,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was $0.7 million for the three months ended September 30, 2023, compared to interest expense of $0.5 million for the three months ended September 30, 2022, and represents interest expense on our outstanding debt obligations. The increase in interest expense is the result of rising interest rates that are increasing the variable interest rate on our term loan for the three months ended September 30, 2023 compared to the three months ended September 30,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04" w:lineRule="exact"/>
        <w:rPr>
          <w:sz w:val="20"/>
          <w:szCs w:val="20"/>
          <w:color w:val="auto"/>
        </w:rPr>
      </w:pPr>
    </w:p>
    <w:p>
      <w:pPr>
        <w:jc w:val="both"/>
        <w:ind w:right="520"/>
        <w:spacing w:after="0" w:line="245" w:lineRule="auto"/>
        <w:rPr>
          <w:sz w:val="20"/>
          <w:szCs w:val="20"/>
          <w:color w:val="auto"/>
        </w:rPr>
      </w:pPr>
      <w:r>
        <w:rPr>
          <w:rFonts w:ascii="Arial" w:cs="Arial" w:eastAsia="Arial" w:hAnsi="Arial"/>
          <w:sz w:val="17"/>
          <w:szCs w:val="17"/>
          <w:color w:val="auto"/>
        </w:rPr>
        <w:t>The change in fair value of our warrant liability was a decrease of $0.6 million for the three months ended September 30, 2023, compared to a decrease of $0.4 million for the three months ended September 30, 2022. The change in fair value of the warrant liability is primarily driven by changes in the underlying value of our stock price.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 xml:space="preserve">Comparison of the Nine </w:t>
      </w:r>
      <w:r>
        <w:rPr>
          <w:rFonts w:ascii="Arial" w:cs="Arial" w:eastAsia="Arial" w:hAnsi="Arial"/>
          <w:sz w:val="17"/>
          <w:szCs w:val="17"/>
          <w:b w:val="1"/>
          <w:bCs w:val="1"/>
          <w:i w:val="1"/>
          <w:iCs w:val="1"/>
          <w:color w:val="auto"/>
        </w:rPr>
        <w:t>Months Ended September 30, 2023 and 2022</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nine months ended September 30, 2023 and 2022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5"/>
                <w:szCs w:val="15"/>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service 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10,825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(75 )</w:t>
            </w:r>
          </w:p>
        </w:tc>
      </w:tr>
      <w:tr>
        <w:trPr>
          <w:trHeight w:val="223"/>
        </w:trPr>
        <w:tc>
          <w:tcPr>
            <w:tcW w:w="66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28,073</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26,715</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(28,073 )</w:t>
            </w: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(26,621 )</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(1,452 )</w:t>
            </w: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 income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(1,922 )</w:t>
            </w:r>
          </w:p>
        </w:tc>
        <w:tc>
          <w:tcPr>
            <w:tcW w:w="4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(1,130 )</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(792 )</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13,626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(12,177 )</w:t>
            </w:r>
          </w:p>
        </w:tc>
      </w:tr>
      <w:tr>
        <w:trPr>
          <w:trHeight w:val="20"/>
        </w:trPr>
        <w:tc>
          <w:tcPr>
            <w:tcW w:w="6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(26,844 )</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(13,711 )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(13,133 )</w:t>
            </w: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-916305</wp:posOffset>
            </wp:positionV>
            <wp:extent cx="7747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-916305</wp:posOffset>
            </wp:positionV>
            <wp:extent cx="6858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04"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We had research and development service revenue of zero and $94,000 for the nine months ended September 30, 2023 and 2022, respectively. This represents the recognition as research and development service revenue of a portion of the $1.0 million up-front license fee that we received in 2014 and 2015 from Ventagen, a related party, which is being recognized over the period during which we provide the services, and has been fully recognized as of December 31,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nine months ended September 30, 2023 and 2022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5"/>
                <w:szCs w:val="15"/>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Employee-related</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9,904</w:t>
            </w:r>
          </w:p>
        </w:tc>
        <w:tc>
          <w:tcPr>
            <w:tcW w:w="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9,878</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Clinical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5,025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impairment, and loss on the sale of fixed assets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Pre-clinical research</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(23 )</w:t>
            </w: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Recruiting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(66 )</w:t>
            </w:r>
          </w:p>
        </w:tc>
      </w:tr>
      <w:tr>
        <w:trPr>
          <w:trHeight w:val="230"/>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17,248</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15,815</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-179070</wp:posOffset>
            </wp:positionV>
            <wp:extent cx="7747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-179070</wp:posOffset>
            </wp:positionV>
            <wp:extent cx="6858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70"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Research and development expenses increased $1.4 million from $15.8 million for the nine months ended September 30, 2022 to $17.2 million for the nine months ended September 30, 2023. The increase was primarily attributable to a $1.0 million increase in clinical development costs driven by increased manufacturing and regulatory costs in support of CAN-2409 programs and a $0.4 million increase in fixed asset-related expenses, including a $0.2 million impairment charge to manufacturing equipment.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nine months ended September 30, 2023 and 2022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5"/>
                <w:szCs w:val="15"/>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Employee-related</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5,783</w:t>
            </w:r>
          </w:p>
        </w:tc>
        <w:tc>
          <w:tcPr>
            <w:tcW w:w="7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Professional and consulting fees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(658 )</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Recruiting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(595 )</w:t>
            </w: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(27 )</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r>
      <w:tr>
        <w:trPr>
          <w:trHeight w:val="243"/>
        </w:trPr>
        <w:tc>
          <w:tcPr>
            <w:tcW w:w="66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(75 )</w:t>
            </w: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General and administrative expenses decreased $75,000 from $10.9 million for the nine months ended September 30, 2022 to $10.8 million for the nine months ended September 30, 2023. The decrease was primarily attributable to a $0.7 million decrease in the cost of directors and officers insurance and a $0.6 million decrease in recruiting costs. These decreases were offset a $0.9 million increase in employee compensation costs due to increased general and administrative headcount and severance costs and a $0.2 million increase in other expenses primarily driven by increased information technology costs.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Income</w:t>
      </w:r>
    </w:p>
    <w:p>
      <w:pPr>
        <w:spacing w:after="0" w:line="104" w:lineRule="exact"/>
        <w:rPr>
          <w:sz w:val="20"/>
          <w:szCs w:val="20"/>
          <w:color w:val="auto"/>
        </w:rPr>
      </w:pPr>
    </w:p>
    <w:p>
      <w:pPr>
        <w:ind w:right="480"/>
        <w:spacing w:after="0" w:line="258" w:lineRule="auto"/>
        <w:rPr>
          <w:sz w:val="20"/>
          <w:szCs w:val="20"/>
          <w:color w:val="auto"/>
        </w:rPr>
      </w:pPr>
      <w:r>
        <w:rPr>
          <w:rFonts w:ascii="Arial" w:cs="Arial" w:eastAsia="Arial" w:hAnsi="Arial"/>
          <w:sz w:val="17"/>
          <w:szCs w:val="17"/>
          <w:color w:val="auto"/>
        </w:rPr>
        <w:t>Grant income was $36,000 and zero for the nine months ended September 30, 2023 and 2022, respectively. Grant income for the nine months ended September 30, 2023 relates to the recognition of income from a grant from the Massachusetts Life Sciences Center.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04" w:lineRule="exact"/>
        <w:rPr>
          <w:sz w:val="20"/>
          <w:szCs w:val="20"/>
          <w:color w:val="auto"/>
        </w:rPr>
      </w:pPr>
    </w:p>
    <w:p>
      <w:pPr>
        <w:jc w:val="both"/>
        <w:ind w:right="300"/>
        <w:spacing w:after="0"/>
        <w:rPr>
          <w:sz w:val="20"/>
          <w:szCs w:val="20"/>
          <w:color w:val="auto"/>
        </w:rPr>
      </w:pPr>
      <w:r>
        <w:rPr>
          <w:rFonts w:ascii="Arial" w:cs="Arial" w:eastAsia="Arial" w:hAnsi="Arial"/>
          <w:sz w:val="17"/>
          <w:szCs w:val="17"/>
          <w:color w:val="auto"/>
        </w:rPr>
        <w:t>Interest income was $1.7 million for the nine months ended September 30, 2023, compared to interest income of $0.4 million for the nine months ended September 30, 2022, and represents earnings on our cash equivalents. The increase in interest income is the result of rising interest rates that have generated higher returns on our cash equivalents for the nine months ended September 30, 2023 compared to the nine months ended September 30,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Interest expense was $1.9 million for the nine months ended September 30, 2023, compared to interest expense of $1.1 million for the nine months ended September 30, 2022, and represents interest expense on our outstanding debt obligations. The increase in interest expense is the result of rising interest rates that are increasing the variable interest rate on our term loan for the nine months ended September 30, 2023 compared to the nine months ended September 30,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04" w:lineRule="exact"/>
        <w:rPr>
          <w:sz w:val="20"/>
          <w:szCs w:val="20"/>
          <w:color w:val="auto"/>
        </w:rPr>
      </w:pPr>
    </w:p>
    <w:p>
      <w:pPr>
        <w:jc w:val="both"/>
        <w:ind w:right="520"/>
        <w:spacing w:after="0" w:line="245" w:lineRule="auto"/>
        <w:rPr>
          <w:sz w:val="20"/>
          <w:szCs w:val="20"/>
          <w:color w:val="auto"/>
        </w:rPr>
      </w:pPr>
      <w:r>
        <w:rPr>
          <w:rFonts w:ascii="Arial" w:cs="Arial" w:eastAsia="Arial" w:hAnsi="Arial"/>
          <w:sz w:val="17"/>
          <w:szCs w:val="17"/>
          <w:color w:val="auto"/>
        </w:rPr>
        <w:t>The change in fair value of our warrant liability was a decrease of $1.4 million for the nine months ended September 30, 2023, compared to a decrease of $13.6 million for the nine months ended September 30, 2022. The change in fair value of the warrant liability is primarily driven by changes in the underlying value of our stock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CAN-2409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w:t>
      </w:r>
    </w:p>
    <w:p>
      <w:pPr>
        <w:spacing w:after="0" w:line="82"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September 30, 2023, we have raised approximately $160.6 million, including $15.4 million of government grants, $66.1 million from the sale of convertible preferred stock, and $79.1 million from the sale 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8" w:name="page39"/>
    <w:bookmarkEnd w:id="38"/>
    <w:p>
      <w:pPr>
        <w:ind w:right="320"/>
        <w:spacing w:after="0" w:line="258" w:lineRule="auto"/>
        <w:rPr>
          <w:sz w:val="20"/>
          <w:szCs w:val="20"/>
          <w:color w:val="auto"/>
        </w:rPr>
      </w:pPr>
      <w:r>
        <w:rPr>
          <w:rFonts w:ascii="Arial" w:cs="Arial" w:eastAsia="Arial" w:hAnsi="Arial"/>
          <w:sz w:val="17"/>
          <w:szCs w:val="17"/>
          <w:color w:val="auto"/>
        </w:rPr>
        <w:t>our common stock in our IPO. Our cash and cash equivalents totaled $43.0 million as of September 30, 2023. We had $21.2 million of debt as of September 30, 2023.</w:t>
      </w:r>
    </w:p>
    <w:p>
      <w:pPr>
        <w:spacing w:after="0" w:line="66" w:lineRule="exact"/>
        <w:rPr>
          <w:sz w:val="20"/>
          <w:szCs w:val="20"/>
          <w:color w:val="auto"/>
        </w:rPr>
      </w:pPr>
    </w:p>
    <w:p>
      <w:pPr>
        <w:ind w:right="320"/>
        <w:spacing w:after="0" w:line="236" w:lineRule="auto"/>
        <w:rPr>
          <w:sz w:val="20"/>
          <w:szCs w:val="20"/>
          <w:color w:val="auto"/>
        </w:rPr>
      </w:pPr>
      <w:r>
        <w:rPr>
          <w:rFonts w:ascii="Arial" w:cs="Arial" w:eastAsia="Arial" w:hAnsi="Arial"/>
          <w:sz w:val="17"/>
          <w:szCs w:val="17"/>
          <w:color w:val="auto"/>
        </w:rPr>
        <w:t>On February 24, 2022, we entered into a loan and security agreement Loan Agreement with SVB pursuant to which SVB agreed to provide term loans to us in an aggregate principal amount of $20.0 million. We borrowed $20.0 million upon entering into the Loan Agreement. We could have borrowed up to an additional aggregate principal amount not to exceed $5.0 million, at any time on or prior to December 31, 2022, upon the achievement of all of the following milestones, inclusively: (a) positive phase 2 clinical activity data from our CAN-2409 NSCLC clinical trial, (b) dosing of our first patient in our phase 3 CAN-2409 high-grade glioma clinical trial; and (c) receipt on or prior to December 31, 2022, of net cash proceeds in an amount equal to at least $75.0 million from the issuance and sale of equity securities to investors acceptable to SVB. We did not borrow any of the additional aggregate principal amount on or prior to December 31, 2022. The term loans are secured by substantially all of our properties, rights and assets, except for its intellectual property, which is subject to a negative pledge under the Loan Agreement.</w:t>
      </w:r>
    </w:p>
    <w:p>
      <w:pPr>
        <w:spacing w:after="0" w:line="8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We are required to make monthly interest payments, and commencing on February 1, 2024, 24 consecutive installments of principal plus monthly payments of accrued interest. The term loans mature on January 1, 2026. Upon repayment in full of the term loans, we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prepayment.</w:t>
      </w:r>
    </w:p>
    <w:p>
      <w:pPr>
        <w:spacing w:after="0" w:line="8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On August 5, 2022, we filed a shelf registration statement on Form S-3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the date hereof, no sales have been made pursuant to the ATM Program.</w:t>
      </w:r>
    </w:p>
    <w:p>
      <w:pPr>
        <w:spacing w:after="0" w:line="8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As of the date of this Form 10-Q, we had an accumulated deficit of $125.9 million and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and contract manufacturing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will require substantial additional financing to fund our operations and to continue to execute our strategy, and we will pursue a range of options to secure additional capital.</w:t>
      </w:r>
    </w:p>
    <w:p>
      <w:pPr>
        <w:spacing w:after="0" w:line="86"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it would have a negative impact on our financial condition and we could be forced to delay, reduce or eliminate our research, clinical trials, product development or future commercialization efforts.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the periods presented (in thousands):</w:t>
      </w:r>
    </w:p>
    <w:p>
      <w:pPr>
        <w:spacing w:after="0" w:line="21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2022</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(26,822 )</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(24,534 )</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(1,021 )</w:t>
            </w:r>
          </w:p>
        </w:tc>
      </w:tr>
      <w:tr>
        <w:trPr>
          <w:trHeight w:val="23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19,938</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(27,075 )</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(5,617 )</w:t>
            </w: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-179070</wp:posOffset>
            </wp:positionV>
            <wp:extent cx="111125"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179705"/>
                    </a:xfrm>
                    <a:prstGeom prst="rect">
                      <a:avLst/>
                    </a:prstGeom>
                    <a:noFill/>
                  </pic:spPr>
                </pic:pic>
              </a:graphicData>
            </a:graphic>
          </wp:anchor>
        </w:drawing>
      </w:r>
    </w:p>
    <w:p>
      <w:pPr>
        <w:spacing w:after="0" w:line="295" w:lineRule="exact"/>
        <w:rPr>
          <w:sz w:val="20"/>
          <w:szCs w:val="20"/>
          <w:color w:val="auto"/>
        </w:rPr>
      </w:pPr>
    </w:p>
    <w:p>
      <w:pPr>
        <w:ind w:right="5380"/>
        <w:spacing w:after="0" w:line="386" w:lineRule="auto"/>
        <w:rPr>
          <w:sz w:val="20"/>
          <w:szCs w:val="20"/>
          <w:color w:val="auto"/>
        </w:rPr>
      </w:pPr>
      <w:r>
        <w:rPr>
          <w:rFonts w:ascii="Arial" w:cs="Arial" w:eastAsia="Arial" w:hAnsi="Arial"/>
          <w:sz w:val="18"/>
          <w:szCs w:val="18"/>
          <w:b w:val="1"/>
          <w:bCs w:val="1"/>
          <w:i w:val="1"/>
          <w:iCs w:val="1"/>
          <w:color w:val="auto"/>
        </w:rPr>
        <w:t>Cash Flows for the nine months ended September 30, 2023 and 2022 Operating Activities</w:t>
      </w:r>
    </w:p>
    <w:p>
      <w:pPr>
        <w:ind w:right="200"/>
        <w:spacing w:after="0" w:line="245" w:lineRule="auto"/>
        <w:rPr>
          <w:sz w:val="20"/>
          <w:szCs w:val="20"/>
          <w:color w:val="auto"/>
        </w:rPr>
      </w:pPr>
      <w:r>
        <w:rPr>
          <w:rFonts w:ascii="Arial" w:cs="Arial" w:eastAsia="Arial" w:hAnsi="Arial"/>
          <w:sz w:val="17"/>
          <w:szCs w:val="17"/>
          <w:color w:val="auto"/>
        </w:rPr>
        <w:t>Net cash used in operating activities for the nine months ended September 30, 2023 was $26.8 million, primarily consisting of a net loss of $26.8 million as we incurred expenses associated with our clinical programs, increased our headcount and incurred costs associated with operating as a public company. In addition, we had non-cash income of $1.4 million as a result of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9" w:name="page40"/>
    <w:bookmarkEnd w:id="39"/>
    <w:p>
      <w:pPr>
        <w:jc w:val="both"/>
        <w:ind w:right="60"/>
        <w:spacing w:after="0" w:line="245" w:lineRule="auto"/>
        <w:rPr>
          <w:sz w:val="20"/>
          <w:szCs w:val="20"/>
          <w:color w:val="auto"/>
        </w:rPr>
      </w:pPr>
      <w:r>
        <w:rPr>
          <w:rFonts w:ascii="Arial" w:cs="Arial" w:eastAsia="Arial" w:hAnsi="Arial"/>
          <w:sz w:val="17"/>
          <w:szCs w:val="17"/>
          <w:color w:val="auto"/>
        </w:rPr>
        <w:t>change in the fair value of our warrant liability. Non-cash income was offset by $3.6 million in non-cash charges primarily related to depreciation and non-cash stock compensation expense. Net cash used in operating activities was also impacted by $2.1 million in changes in operating assets and liabilities, primarily driven by a decrease of $1.2 million in accrued expenses.</w:t>
      </w:r>
    </w:p>
    <w:p>
      <w:pPr>
        <w:spacing w:after="0" w:line="76"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Net cash used in operating activities for the nine months ended September 30, 2022 was $24.5 million, primarily consisting of a net loss of $13.7 million as we incurred expenses associated with our clinical programs, increased our headcount and incurred costs associated with operating as a public company. In addition, we had non-cash income of $13.6 million as a result of the change in the fair value of our warrant liability. Non-cash income was partially offset by $2.7 million in non-cash charges primarily related to depreciation and non-cash stock compensation expense. Net cash used in operating activities was also impacted by $0.1 million in changes in operating assets and liabilities, primarily driven by an increase of $0.8 million in accrued expenses, which was partially offset by a decrease of $0.7 million in accounts payable.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8"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Net cash used in investing activities for the nine months ended September 30, 2023 was $0.3 million and consisted of the purchase of fixed assets, which was partially offset by proceeds from the sale of fixed assets.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for the nine months ended September 30, 2022 was $1.0 million and consisted of the purchase of fixed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There were no financing activities for the nine months ended September 30, 2023.</w:t>
      </w:r>
    </w:p>
    <w:p>
      <w:pPr>
        <w:spacing w:after="0" w:line="10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Net cash provided by financing activities for the nine months ended September 30, 2022 was $19.9 million and primarily consisted of $19.9 million of net proceeds from a term loan with a bank.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7"/>
          <w:szCs w:val="17"/>
          <w:color w:val="auto"/>
        </w:rPr>
        <w:t>expect our operating expenses to increase substantially in the future in connection with our ongoing activities, particularly as we advance CAN-2409 and CAN-3110 through research and development, clinical trials, develop our manufacturing capabilities and build our laboratory and clinical manufacturing facility, as we research and develop additional product candidates including preclinical activities and as we prepare for marketing approval and commercialization. We also expect to incur additional costs associated with operating as a public company.</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costs and expenses will increase as we:</w:t>
      </w:r>
    </w:p>
    <w:p>
      <w:pPr>
        <w:spacing w:after="0" w:line="102"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advance the clinical development of CAN-2409 and CAN-3110;</w:t>
      </w:r>
    </w:p>
    <w:p>
      <w:pPr>
        <w:spacing w:after="0" w:line="115" w:lineRule="exact"/>
        <w:rPr>
          <w:rFonts w:ascii="Arial" w:cs="Arial" w:eastAsia="Arial" w:hAnsi="Arial"/>
          <w:sz w:val="17"/>
          <w:szCs w:val="17"/>
          <w:color w:val="auto"/>
        </w:rPr>
      </w:pPr>
    </w:p>
    <w:p>
      <w:pPr>
        <w:ind w:left="1020" w:right="440" w:hanging="503"/>
        <w:spacing w:after="0" w:line="258"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pursue the preclinical and clinical development of other product candidates using our enLIGHTEN™ Discovery Platform, an HSV-based platform;</w:t>
      </w:r>
    </w:p>
    <w:p>
      <w:pPr>
        <w:spacing w:after="0" w:line="65" w:lineRule="exact"/>
        <w:rPr>
          <w:rFonts w:ascii="Arial" w:cs="Arial" w:eastAsia="Arial" w:hAnsi="Arial"/>
          <w:sz w:val="17"/>
          <w:szCs w:val="17"/>
          <w:color w:val="auto"/>
        </w:rPr>
      </w:pPr>
    </w:p>
    <w:p>
      <w:pPr>
        <w:ind w:left="1020" w:right="240" w:hanging="503"/>
        <w:spacing w:after="0" w:line="245"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 our manufacturing capabilities, including through relationships with contract manufacturers for commercial manufacturing of our product candidate CAN-2409 and the development, construction and qualification of our clinical manufacturing capabilities, internally or through CMOs for our product candidate CAN-3110; and</w:t>
      </w:r>
    </w:p>
    <w:p>
      <w:pPr>
        <w:spacing w:after="0" w:line="76" w:lineRule="exact"/>
        <w:rPr>
          <w:rFonts w:ascii="Arial" w:cs="Arial" w:eastAsia="Arial" w:hAnsi="Arial"/>
          <w:sz w:val="17"/>
          <w:szCs w:val="17"/>
          <w:color w:val="auto"/>
        </w:rPr>
      </w:pPr>
    </w:p>
    <w:p>
      <w:pPr>
        <w:ind w:left="1020" w:right="60" w:hanging="503"/>
        <w:spacing w:after="0" w:line="258"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expand our operational, financial, and management systems and increase personnel, including personnel to support our operations as a public company.</w:t>
      </w:r>
    </w:p>
    <w:p>
      <w:pPr>
        <w:spacing w:after="0" w:line="66"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We believe that our existing cash and cash equivalents as of September 30, 2023, will enable us to fund our operating expenses and capital expense requirements into the second quarter of 2024. We have based this estimate on assumptions that may prove to be incorrect, and we could utilize our available capital resources sooner than we currently expect.</w:t>
      </w:r>
    </w:p>
    <w:p>
      <w:pPr>
        <w:spacing w:after="0" w:line="76"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spacing w:after="0" w:line="66"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progress, costs, and results of our clinical development and clinical trials for CAN-2409 and CAN-3110;</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progress, costs, and results of our additional research and preclinical development programs;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115" w:lineRule="exact"/>
        <w:rPr>
          <w:rFonts w:ascii="Arial" w:cs="Arial" w:eastAsia="Arial" w:hAnsi="Arial"/>
          <w:sz w:val="17"/>
          <w:szCs w:val="17"/>
          <w:color w:val="auto"/>
        </w:rPr>
      </w:pPr>
    </w:p>
    <w:p>
      <w:pPr>
        <w:ind w:left="1020" w:right="840" w:hanging="503"/>
        <w:spacing w:after="0" w:line="258"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outcome, timing and cost of meeting regulatory requirements established by the FDA and comparable foreign regulatory authorities, if applicable, for our product candidates;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costs and timing of internal and external process development for our manufacturing capabilities;</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0" w:name="page41"/>
    <w:bookmarkEnd w:id="40"/>
    <w:p>
      <w:pPr>
        <w:ind w:left="1020" w:right="1000" w:hanging="503"/>
        <w:spacing w:after="0" w:line="258"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scope, progress, results, and costs of any product candidates that we may derive from our HSV-based platform or with collaborators;</w:t>
      </w:r>
    </w:p>
    <w:p>
      <w:pPr>
        <w:spacing w:after="0" w:line="65" w:lineRule="exact"/>
        <w:rPr>
          <w:rFonts w:ascii="Arial" w:cs="Arial" w:eastAsia="Arial" w:hAnsi="Arial"/>
          <w:sz w:val="17"/>
          <w:szCs w:val="17"/>
          <w:color w:val="auto"/>
        </w:rPr>
      </w:pPr>
    </w:p>
    <w:p>
      <w:pPr>
        <w:ind w:left="1020" w:right="260" w:hanging="503"/>
        <w:spacing w:after="0" w:line="245"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spacing w:after="0" w:line="76" w:lineRule="exact"/>
        <w:rPr>
          <w:rFonts w:ascii="Arial" w:cs="Arial" w:eastAsia="Arial" w:hAnsi="Arial"/>
          <w:sz w:val="17"/>
          <w:szCs w:val="17"/>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additions or departures of key scientific or management personnel;</w:t>
      </w:r>
    </w:p>
    <w:p>
      <w:pPr>
        <w:spacing w:after="0" w:line="115" w:lineRule="exact"/>
        <w:rPr>
          <w:rFonts w:ascii="Arial" w:cs="Arial" w:eastAsia="Arial" w:hAnsi="Arial"/>
          <w:sz w:val="17"/>
          <w:szCs w:val="17"/>
          <w:color w:val="auto"/>
        </w:rPr>
      </w:pPr>
    </w:p>
    <w:p>
      <w:pPr>
        <w:ind w:left="1020" w:right="40" w:hanging="503"/>
        <w:spacing w:after="0" w:line="258"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65" w:lineRule="exact"/>
        <w:rPr>
          <w:rFonts w:ascii="Arial" w:cs="Arial" w:eastAsia="Arial" w:hAnsi="Arial"/>
          <w:sz w:val="17"/>
          <w:szCs w:val="17"/>
          <w:color w:val="auto"/>
        </w:rPr>
      </w:pPr>
    </w:p>
    <w:p>
      <w:pPr>
        <w:ind w:left="1020" w:right="40" w:hanging="503"/>
        <w:spacing w:after="0" w:line="258"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amount of revenue, if any, received from commercial sales of our product candidates, should any of our product candidates receive marketing approval; and</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of operating as a public company.</w:t>
      </w:r>
    </w:p>
    <w:p>
      <w:pPr>
        <w:spacing w:after="0" w:line="115"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Loan Agreement.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Our primary contractual obligations are our facility lease, the Loan Agreement with SVB, and the Periphagen Note. The table below summarizes the contractual obligations that will become due as of September 30, 2023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4"/>
          </w:tcPr>
          <w:p>
            <w:pPr>
              <w:jc w:val="right"/>
              <w:ind w:right="796"/>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62"/>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79"/>
              <w:spacing w:after="0"/>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76"/>
              <w:spacing w:after="0"/>
              <w:rPr>
                <w:sz w:val="20"/>
                <w:szCs w:val="20"/>
                <w:color w:val="auto"/>
              </w:rPr>
            </w:pPr>
            <w:r>
              <w:rPr>
                <w:rFonts w:ascii="Arial" w:cs="Arial" w:eastAsia="Arial" w:hAnsi="Arial"/>
                <w:sz w:val="14"/>
                <w:szCs w:val="14"/>
                <w:b w:val="1"/>
                <w:bCs w:val="1"/>
                <w:color w:val="auto"/>
              </w:rPr>
              <w:t>1 TO 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3 TO 5</w:t>
            </w:r>
          </w:p>
        </w:tc>
      </w:tr>
      <w:tr>
        <w:trPr>
          <w:trHeight w:val="189"/>
        </w:trPr>
        <w:tc>
          <w:tcPr>
            <w:tcW w:w="5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YEARS</w:t>
            </w:r>
          </w:p>
        </w:tc>
      </w:tr>
      <w:tr>
        <w:trPr>
          <w:trHeight w:val="223"/>
        </w:trPr>
        <w:tc>
          <w:tcPr>
            <w:tcW w:w="5860" w:type="dxa"/>
            <w:vAlign w:val="bottom"/>
            <w:shd w:val="clear" w:color="auto" w:fill="CFF0FC"/>
          </w:tcPr>
          <w:p>
            <w:pPr>
              <w:ind w:left="20"/>
              <w:spacing w:after="0" w:line="222" w:lineRule="exact"/>
              <w:rPr>
                <w:sz w:val="20"/>
                <w:szCs w:val="20"/>
                <w:color w:val="auto"/>
              </w:rPr>
            </w:pPr>
            <w:r>
              <w:rPr>
                <w:rFonts w:ascii="Arial" w:cs="Arial" w:eastAsia="Arial" w:hAnsi="Arial"/>
                <w:sz w:val="18"/>
                <w:szCs w:val="18"/>
                <w:color w:val="auto"/>
              </w:rPr>
              <w:t xml:space="preserve">Operating lease obligation </w:t>
            </w:r>
            <w:r>
              <w:rPr>
                <w:rFonts w:ascii="Arial" w:cs="Arial" w:eastAsia="Arial" w:hAnsi="Arial"/>
                <w:sz w:val="24"/>
                <w:szCs w:val="24"/>
                <w:color w:val="auto"/>
                <w:vertAlign w:val="superscript"/>
              </w:rPr>
              <w:t>(1)</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1,774</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594</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1,180</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Loan Agreement with SVB </w:t>
            </w:r>
            <w:r>
              <w:rPr>
                <w:rFonts w:ascii="Arial" w:cs="Arial" w:eastAsia="Arial" w:hAnsi="Arial"/>
                <w:sz w:val="22"/>
                <w:szCs w:val="22"/>
                <w:color w:val="auto"/>
                <w:vertAlign w:val="superscript"/>
              </w:rPr>
              <w:t>(2)</w:t>
            </w:r>
          </w:p>
        </w:tc>
        <w:tc>
          <w:tcPr>
            <w:tcW w:w="24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24,015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8,431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15,584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18"/>
                <w:szCs w:val="18"/>
                <w:color w:val="auto"/>
              </w:rPr>
              <w:t xml:space="preserve">Periphagen Note </w:t>
            </w:r>
            <w:r>
              <w:rPr>
                <w:rFonts w:ascii="Arial" w:cs="Arial" w:eastAsia="Arial" w:hAnsi="Arial"/>
                <w:sz w:val="22"/>
                <w:szCs w:val="22"/>
                <w:color w:val="auto"/>
                <w:vertAlign w:val="superscript"/>
              </w:rPr>
              <w:t>(3)</w:t>
            </w: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1,352</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1,352</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27,141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9,025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16,764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1,352</w:t>
            </w: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-179705</wp:posOffset>
            </wp:positionV>
            <wp:extent cx="93980" cy="180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3980" cy="18034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-179705</wp:posOffset>
            </wp:positionV>
            <wp:extent cx="85725"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-179705</wp:posOffset>
            </wp:positionV>
            <wp:extent cx="85725" cy="180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164" w:lineRule="exact"/>
        <w:rPr>
          <w:sz w:val="20"/>
          <w:szCs w:val="20"/>
          <w:color w:val="auto"/>
        </w:rPr>
      </w:pPr>
    </w:p>
    <w:p>
      <w:pPr>
        <w:ind w:left="380" w:right="120" w:hanging="372"/>
        <w:spacing w:after="0" w:line="203" w:lineRule="auto"/>
        <w:tabs>
          <w:tab w:leader="none" w:pos="38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Represents future minimum lease payments under our operating lease for office and laboratory space at our Needham, Massachusetts facility. Our facility lease extends to August of 2026.</w:t>
      </w:r>
    </w:p>
    <w:p>
      <w:pPr>
        <w:ind w:left="380" w:hanging="372"/>
        <w:spacing w:after="0" w:line="187" w:lineRule="auto"/>
        <w:tabs>
          <w:tab w:leader="none" w:pos="38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Represents future principal, interest payments, and the final payment fee on our Loan Agreement with SVB, which matures on January 1, 2026.</w:t>
      </w:r>
    </w:p>
    <w:p>
      <w:pPr>
        <w:ind w:left="380" w:right="40" w:hanging="372"/>
        <w:spacing w:after="0" w:line="205" w:lineRule="auto"/>
        <w:tabs>
          <w:tab w:leader="none" w:pos="38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Represents a $1.0 million promissory note under the terms of our asset purchase agreements with Periphagen, Inc. The promissory note is due upon maturity in November 2027.</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See our financial statements and related footnotes elsewhere in this Form 10-Q for additional information on these agreements.</w:t>
      </w:r>
    </w:p>
    <w:p>
      <w:pPr>
        <w:spacing w:after="0" w:line="102"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We also enter into contracts in the normal course of business with hospitals, clinics, universities, and other third parties for clinical trials and testing and with construction contractors and process developers for the construction of our manufacturing facility. These contracts do not contain minimum purchase commitments and are cancelable by us upon prior written notice. Payments due upon cancelation consist only of payments for services provided or expenses incurred, including noncancelable obligations of our service providers, up to the date of cancelation. These payments are not included in the table above as the amount and timing of such payments are not known.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4"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7"/>
          <w:szCs w:val="17"/>
          <w:color w:val="auto"/>
        </w:rPr>
        <w:t>management’s discussion and analysis of financial condition and results of operations is based on our financial statements, which have been</w:t>
      </w:r>
      <w:r>
        <w:rPr>
          <w:rFonts w:ascii="Arial" w:cs="Arial" w:eastAsia="Arial" w:hAnsi="Arial"/>
          <w:sz w:val="18"/>
          <w:szCs w:val="18"/>
          <w:color w:val="auto"/>
        </w:rPr>
        <w:t xml:space="preserve"> </w:t>
      </w:r>
      <w:r>
        <w:rPr>
          <w:rFonts w:ascii="Arial" w:cs="Arial" w:eastAsia="Arial" w:hAnsi="Arial"/>
          <w:sz w:val="17"/>
          <w:szCs w:val="17"/>
          <w:color w:val="auto"/>
        </w:rPr>
        <w:t>prepared in accordance with U.S. GAAP. The preparation of our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spacing w:after="0" w:line="8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While our significant accounting policies are described in more detail in the notes to our condensed consolidated financial statements included elsewhere in this Form 10-Q, we believe that the following accounting policies are those most significant to the judgments and estimates used in the preparation of our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 xml:space="preserve">As </w:t>
      </w:r>
      <w:r>
        <w:rPr>
          <w:rFonts w:ascii="Arial" w:cs="Arial" w:eastAsia="Arial" w:hAnsi="Arial"/>
          <w:sz w:val="17"/>
          <w:szCs w:val="17"/>
          <w:color w:val="auto"/>
        </w:rPr>
        <w:t>part of the process of preparing our financial statements, we are required to estimate our accrued research and development expenses. This</w:t>
      </w:r>
      <w:r>
        <w:rPr>
          <w:rFonts w:ascii="Arial" w:cs="Arial" w:eastAsia="Arial" w:hAnsi="Arial"/>
          <w:sz w:val="18"/>
          <w:szCs w:val="18"/>
          <w:color w:val="auto"/>
        </w:rPr>
        <w:t xml:space="preserve"> </w:t>
      </w:r>
      <w:r>
        <w:rPr>
          <w:rFonts w:ascii="Arial" w:cs="Arial" w:eastAsia="Arial" w:hAnsi="Arial"/>
          <w:sz w:val="17"/>
          <w:szCs w:val="17"/>
          <w:color w:val="auto"/>
        </w:rPr>
        <w:t>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Most of our service providers invoice us in arrears for services performed, on a pre-determined schedule or when contractual milestones are met; however, some require advance payments. We make estimates of our accrued expenses as of each balance sheet date in our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 the following:</w:t>
      </w:r>
    </w:p>
    <w:p>
      <w:pPr>
        <w:spacing w:after="0" w:line="81"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clinical trial sites where patients are being treated with our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consultants providing services related to process development, regulatory and other services;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CMOs who are manufacturing commercial-scale quantities of our product candidates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Actual services performed may vary from our estimates, resulting in adjustments to research and development costs or inventories in future periods.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Changes in these estimates that result in material changes to our accruals could materially affect our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 of Warrants</w:t>
      </w:r>
    </w:p>
    <w:p>
      <w:pPr>
        <w:spacing w:after="0" w:line="11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7"/>
          <w:szCs w:val="17"/>
          <w:color w:val="auto"/>
        </w:rPr>
        <w:t>connection with the Series B convertible preferred stock issuance in November 2018, the Company issued warrants to purchase shares of</w:t>
      </w:r>
      <w:r>
        <w:rPr>
          <w:rFonts w:ascii="Arial" w:cs="Arial" w:eastAsia="Arial" w:hAnsi="Arial"/>
          <w:sz w:val="18"/>
          <w:szCs w:val="18"/>
          <w:color w:val="auto"/>
        </w:rPr>
        <w:t xml:space="preserve"> </w:t>
      </w:r>
      <w:r>
        <w:rPr>
          <w:rFonts w:ascii="Arial" w:cs="Arial" w:eastAsia="Arial" w:hAnsi="Arial"/>
          <w:sz w:val="17"/>
          <w:szCs w:val="17"/>
          <w:color w:val="auto"/>
        </w:rPr>
        <w:t>common stock of which certain warrants are shown as a liability on the balance sheet. The fair value of the warrants was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prior to the IPO, risk-free interest rate, expected dividend yield, expected volatility of the price of the underlying preferred stock, and the remaining contractual term of the warrants. The most significant assumption in the model impacting the fair value of the common stock warrants is the fair value of the Company’s common stock as of each remeasurement date. Prior to the IPO, the Company determined the fair value per share of the underlying common stock by taking into consideration the most recent sales of preferred stock, results obtained from third-party valuations and additional factors that were deemed relevant.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We measure stock options and other stock-based awards granted to our employees, directors, consultants, advisors based on the fair value on the date of the grant, awards, net of actual forfeitures, over the requisite service period, which is generally the vesting period of the respective award. For stock-based awards granted to non-employees, compensation expense is recognized over the vesting period which approximates the period over which services are rendered by such non-employees.</w:t>
      </w:r>
    </w:p>
    <w:p>
      <w:pPr>
        <w:spacing w:after="0" w:line="8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estimate the fair value of each stock option grant on the date of grant using the Black-Scholes option-pricing model, which uses as inputs the fair value of our common stock and assumptions we make for the expected volatility of our common stock,</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42" w:name="page43"/>
    <w:bookmarkEnd w:id="42"/>
    <w:p>
      <w:pPr>
        <w:ind w:right="460"/>
        <w:spacing w:after="0" w:line="258" w:lineRule="auto"/>
        <w:rPr>
          <w:sz w:val="20"/>
          <w:szCs w:val="20"/>
          <w:color w:val="auto"/>
        </w:rPr>
      </w:pPr>
      <w:r>
        <w:rPr>
          <w:rFonts w:ascii="Arial" w:cs="Arial" w:eastAsia="Arial" w:hAnsi="Arial"/>
          <w:sz w:val="17"/>
          <w:szCs w:val="17"/>
          <w:color w:val="auto"/>
        </w:rPr>
        <w:t>the expected term of our stock options, the risk-free interest rate for a period that approximates the expected term of our stock options, and our expected dividend yield.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4" w:lineRule="exact"/>
        <w:rPr>
          <w:sz w:val="20"/>
          <w:szCs w:val="20"/>
          <w:color w:val="auto"/>
        </w:rPr>
      </w:pPr>
    </w:p>
    <w:p>
      <w:pPr>
        <w:ind w:right="760"/>
        <w:spacing w:after="0" w:line="260" w:lineRule="auto"/>
        <w:rPr>
          <w:sz w:val="20"/>
          <w:szCs w:val="20"/>
          <w:color w:val="auto"/>
        </w:rPr>
      </w:pPr>
      <w:r>
        <w:rPr>
          <w:rFonts w:ascii="Arial" w:cs="Arial" w:eastAsia="Arial" w:hAnsi="Arial"/>
          <w:sz w:val="18"/>
          <w:szCs w:val="18"/>
          <w:color w:val="auto"/>
        </w:rPr>
        <w:t xml:space="preserve">A </w:t>
      </w:r>
      <w:r>
        <w:rPr>
          <w:rFonts w:ascii="Arial" w:cs="Arial" w:eastAsia="Arial" w:hAnsi="Arial"/>
          <w:sz w:val="17"/>
          <w:szCs w:val="17"/>
          <w:color w:val="auto"/>
        </w:rPr>
        <w:t>description of recent accounting pronouncements that may potentially impact our financial position, results of operations, or cash flows is</w:t>
      </w:r>
      <w:r>
        <w:rPr>
          <w:rFonts w:ascii="Arial" w:cs="Arial" w:eastAsia="Arial" w:hAnsi="Arial"/>
          <w:sz w:val="18"/>
          <w:szCs w:val="18"/>
          <w:color w:val="auto"/>
        </w:rPr>
        <w:t xml:space="preserve"> </w:t>
      </w:r>
      <w:r>
        <w:rPr>
          <w:rFonts w:ascii="Arial" w:cs="Arial" w:eastAsia="Arial" w:hAnsi="Arial"/>
          <w:sz w:val="17"/>
          <w:szCs w:val="17"/>
          <w:color w:val="auto"/>
        </w:rPr>
        <w:t>disclosed in Note 2 to our condensed consolidated financial statements included elsewhere in this Form 10-Q.</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8"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08" w:lineRule="exact"/>
        <w:rPr>
          <w:sz w:val="20"/>
          <w:szCs w:val="20"/>
          <w:color w:val="auto"/>
        </w:rPr>
      </w:pPr>
    </w:p>
    <w:p>
      <w:pPr>
        <w:jc w:val="both"/>
        <w:ind w:right="40"/>
        <w:spacing w:after="0"/>
        <w:rPr>
          <w:sz w:val="20"/>
          <w:szCs w:val="20"/>
          <w:color w:val="auto"/>
        </w:rPr>
      </w:pPr>
      <w:r>
        <w:rPr>
          <w:rFonts w:ascii="Arial" w:cs="Arial" w:eastAsia="Arial" w:hAnsi="Arial"/>
          <w:sz w:val="17"/>
          <w:szCs w:val="17"/>
          <w:color w:val="auto"/>
        </w:rPr>
        <w:t>Inflation has increased during the periods covered by this Form 10-Q, and is expected to continue to increase for the near future. Inflationary factors, such as increases in the cost of our product components, interest rates and overhead costs may adversely affect our operating results. Although we do not believe that inflation has had a material impact on our financial position or results of operations to date, we may experience some effect in the future, especially if inflation rates continue to rise.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as amended, and are not required to provide the information under this item.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08"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86"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2023. Based on the evaluation of our disclosure controls and procedures as of September 30, 2023, our Chief Executive Officer and Chief Financial Officer concluded that, as of such date, our disclosure controls and procedures were effective at the reasonable assurance level.</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0"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From </w:t>
      </w:r>
      <w:r>
        <w:rPr>
          <w:rFonts w:ascii="Arial" w:cs="Arial" w:eastAsia="Arial" w:hAnsi="Arial"/>
          <w:sz w:val="17"/>
          <w:szCs w:val="17"/>
          <w:color w:val="auto"/>
        </w:rPr>
        <w:t>time to time, we may become involved in litigation or other legal proceedings.</w:t>
      </w:r>
    </w:p>
    <w:p>
      <w:pPr>
        <w:spacing w:after="0" w:line="98"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r>
        <w:rPr>
          <w:rFonts w:ascii="Arial" w:cs="Arial" w:eastAsia="Arial" w:hAnsi="Arial"/>
          <w:sz w:val="21"/>
          <w:szCs w:val="21"/>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Financial Position and Capital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to date from product sales.</w:t>
      </w:r>
    </w:p>
    <w:p>
      <w:pPr>
        <w:spacing w:after="0" w:line="110"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were incorporated under the laws of the State of Delaware in June 2003. Since inception, we have focused substantially all of our efforts and financial resources on raising capital and developing our initial product candidates. To date, we have financed our operations primarily through the issuance and sale of our convertible preferred stock to outside investors in private equity financings and from the proceeds of the initial public offering of our common stock (the IPO). From our inception through September 30, 2023, we raised an aggregate of $145.2 million of gross proceeds from such transactions. In addition, in February 2022, we borrowed $20.0 million under the Loan Agreement with SVB. As of September 30, 2023, our cash and cash equivalents were $43.0 million. We have incurred net losses in each year since our inception, and we had an accumulated deficit of $125.9 million as of September 30, 2023. For the nine months ended September 30, 2023 and 2022, we reported net losses of $26.8 million and $13.7 million, respectively. We have no products approved for commercial sale and therefore have never generated any revenue from product sales, and we do not expect to do so in the foreseeable future. We have not obtained regulatory approvals for any of our product candidates, and even if our clinical development efforts result in positive data, our product candidates may not receive regulatory approval or be successfully introduced and marketed at prices that would permit us to operate profitably.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p>
    <w:p>
      <w:pPr>
        <w:spacing w:after="0" w:line="78" w:lineRule="exact"/>
        <w:rPr>
          <w:sz w:val="20"/>
          <w:szCs w:val="20"/>
          <w:color w:val="auto"/>
        </w:rPr>
      </w:pPr>
    </w:p>
    <w:p>
      <w:pPr>
        <w:ind w:right="260"/>
        <w:spacing w:after="0" w:line="285" w:lineRule="auto"/>
        <w:rPr>
          <w:sz w:val="20"/>
          <w:szCs w:val="20"/>
          <w:color w:val="auto"/>
        </w:rPr>
      </w:pPr>
      <w:r>
        <w:rPr>
          <w:rFonts w:ascii="Arial" w:cs="Arial" w:eastAsia="Arial" w:hAnsi="Arial"/>
          <w:sz w:val="17"/>
          <w:szCs w:val="17"/>
          <w:b w:val="1"/>
          <w:bCs w:val="1"/>
          <w:i w:val="1"/>
          <w:iCs w:val="1"/>
          <w:color w:val="auto"/>
        </w:rPr>
        <w:t>We have incurred significant operating losses since our inception and anticipate that we will incur continued losses for the foreseeable future.</w:t>
      </w:r>
    </w:p>
    <w:p>
      <w:pPr>
        <w:spacing w:after="0" w:line="3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82" w:lineRule="exact"/>
        <w:rPr>
          <w:sz w:val="20"/>
          <w:szCs w:val="20"/>
          <w:color w:val="auto"/>
        </w:rPr>
      </w:pPr>
    </w:p>
    <w:p>
      <w:pPr>
        <w:ind w:right="700"/>
        <w:spacing w:after="0" w:line="258" w:lineRule="auto"/>
        <w:rPr>
          <w:sz w:val="20"/>
          <w:szCs w:val="20"/>
          <w:color w:val="auto"/>
        </w:rPr>
      </w:pPr>
      <w:r>
        <w:rPr>
          <w:rFonts w:ascii="Arial" w:cs="Arial" w:eastAsia="Arial" w:hAnsi="Arial"/>
          <w:sz w:val="17"/>
          <w:szCs w:val="17"/>
          <w:color w:val="auto"/>
        </w:rPr>
        <w:t>The amount of our future losses is uncertain, and our quarterly and annual operating results may fluctuate significantly or may fall below the expectations of investors or securities analysts, each of which may cause our stock price to fluctuate or decline.</w:t>
      </w:r>
    </w:p>
    <w:p>
      <w:pPr>
        <w:spacing w:after="0" w:line="66" w:lineRule="exact"/>
        <w:rPr>
          <w:sz w:val="20"/>
          <w:szCs w:val="20"/>
          <w:color w:val="auto"/>
        </w:rPr>
      </w:pPr>
    </w:p>
    <w:p>
      <w:pPr>
        <w:ind w:left="1020" w:right="20" w:hanging="503"/>
        <w:spacing w:after="0" w:line="258"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5" w:name="page46"/>
    <w:bookmarkEnd w:id="45"/>
    <w:p>
      <w:pPr>
        <w:ind w:left="1020" w:right="260" w:hanging="503"/>
        <w:spacing w:after="0" w:line="258"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successfully enroll and retain subjects for clinical trials, and any delays caused by difficulties in such efforts;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changing and volatile U.S. and global economic environments, including as a result of any future public health crisis;</w:t>
      </w:r>
    </w:p>
    <w:p>
      <w:pPr>
        <w:spacing w:after="0" w:line="115" w:lineRule="exact"/>
        <w:rPr>
          <w:rFonts w:ascii="Arial" w:cs="Arial" w:eastAsia="Arial" w:hAnsi="Arial"/>
          <w:sz w:val="17"/>
          <w:szCs w:val="17"/>
          <w:color w:val="auto"/>
        </w:rPr>
      </w:pPr>
    </w:p>
    <w:p>
      <w:pPr>
        <w:ind w:left="1020" w:right="260" w:hanging="503"/>
        <w:spacing w:after="0" w:line="258"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65" w:lineRule="exact"/>
        <w:rPr>
          <w:rFonts w:ascii="Arial" w:cs="Arial" w:eastAsia="Arial" w:hAnsi="Arial"/>
          <w:sz w:val="17"/>
          <w:szCs w:val="17"/>
          <w:color w:val="auto"/>
        </w:rPr>
      </w:pPr>
    </w:p>
    <w:p>
      <w:pPr>
        <w:ind w:left="1020" w:right="400" w:hanging="503"/>
        <w:spacing w:after="0" w:line="245"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 of manufacturing our product candidates, which may vary depending on the quantity of production, and the success of achieving clinical-scale manufacturing operations in our new facility or through CMOs and commercial manufacturing at third-party manufacturers</w:t>
      </w:r>
    </w:p>
    <w:p>
      <w:pPr>
        <w:spacing w:after="0" w:line="76"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attract, hire and retain qualified personnel;</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15" w:lineRule="exact"/>
        <w:rPr>
          <w:rFonts w:ascii="Arial" w:cs="Arial" w:eastAsia="Arial" w:hAnsi="Arial"/>
          <w:sz w:val="17"/>
          <w:szCs w:val="17"/>
          <w:color w:val="auto"/>
        </w:rPr>
      </w:pPr>
    </w:p>
    <w:p>
      <w:pPr>
        <w:ind w:left="1020" w:right="140" w:hanging="503"/>
        <w:spacing w:after="0" w:line="258"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 and</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w:t>
      </w:r>
    </w:p>
    <w:p>
      <w:pPr>
        <w:spacing w:after="0" w:line="11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products approved for commercial sale and have not generated any revenue from product sales.</w:t>
      </w:r>
    </w:p>
    <w:p>
      <w:pPr>
        <w:spacing w:after="0" w:line="110"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82"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successfully complete our ongoing and planned preclinical studies and clinical trials for our viral immunotherapy programs;</w:t>
      </w:r>
    </w:p>
    <w:p>
      <w:pPr>
        <w:spacing w:after="0" w:line="115" w:lineRule="exact"/>
        <w:rPr>
          <w:rFonts w:ascii="Arial" w:cs="Arial" w:eastAsia="Arial" w:hAnsi="Arial"/>
          <w:sz w:val="17"/>
          <w:szCs w:val="17"/>
          <w:color w:val="auto"/>
        </w:rPr>
      </w:pPr>
    </w:p>
    <w:p>
      <w:pPr>
        <w:ind w:left="1020" w:right="60" w:hanging="503"/>
        <w:spacing w:after="0" w:line="258"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timely file and receive acceptance of our Investigational New Drug applications (INDs), in order to commence our planned clinical trials or future clinical trials;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successfully enroll subjects in, and complete, clinical trials for our viral immunotherapy programs;</w:t>
      </w:r>
    </w:p>
    <w:p>
      <w:pPr>
        <w:spacing w:after="0" w:line="115" w:lineRule="exact"/>
        <w:rPr>
          <w:rFonts w:ascii="Arial" w:cs="Arial" w:eastAsia="Arial" w:hAnsi="Arial"/>
          <w:sz w:val="17"/>
          <w:szCs w:val="17"/>
          <w:color w:val="auto"/>
        </w:rPr>
      </w:pPr>
    </w:p>
    <w:p>
      <w:pPr>
        <w:ind w:left="1020" w:right="280" w:hanging="503"/>
        <w:spacing w:after="0" w:line="258"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timely file marketing applications and receive regulatory approvals for our product candidates from the FDA and comparable foreign regulatory authorities;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115" w:lineRule="exact"/>
        <w:rPr>
          <w:rFonts w:ascii="Arial" w:cs="Arial" w:eastAsia="Arial" w:hAnsi="Arial"/>
          <w:sz w:val="17"/>
          <w:szCs w:val="17"/>
          <w:color w:val="auto"/>
        </w:rPr>
      </w:pPr>
    </w:p>
    <w:p>
      <w:pPr>
        <w:ind w:left="1020" w:right="900" w:hanging="503"/>
        <w:spacing w:after="0" w:line="258"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 clinical supply capabilities through arrangements with third-party manufacturers for clinical supply and commercial manufacturing;</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 and maintain patent and trade secret protection or regulatory exclusivity for our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launch commercial sales of our product candidates, if and when approved, whether alone or in collaboration with others;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maintain a continued acceptable safety profile of the product candidates following approval;</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6" w:name="page47"/>
    <w:bookmarkEnd w:id="46"/>
    <w:p>
      <w:pPr>
        <w:ind w:left="1020" w:right="200" w:hanging="503"/>
        <w:spacing w:after="0" w:line="258"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and maintain acceptance of the product candidates, if and when approved, by patients, the medical community and third-party payors;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position our products to effectively compete with other therapies;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and maintain favorable coverage and adequate reimbursement by third-party payors for our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enforce and defend intellectual property rights and claims with respect to our product candidates;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hire additional staff, including clinical, scientific and management personnel.</w:t>
      </w:r>
    </w:p>
    <w:p>
      <w:pPr>
        <w:spacing w:after="0" w:line="115"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8"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There is substantial doubt regarding our ability to continue as a going concern. We will need to raise substantial additional funding, which may not be available on acceptable terms, or at all. If we are unable to raise capital when needed, we would be forced to delay, reduce or eliminate some of our product development programs or commercialization efforts.</w:t>
      </w:r>
    </w:p>
    <w:p>
      <w:pPr>
        <w:spacing w:after="0" w:line="53"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development of pharmaceutical products is capital-intensive. We are currently advancing our product candidates through clinical development across a number of potential indications. We are currently conducting a phase 3 clinical trial for CAN-2409 as first-line treatment in newly diagnosed localized prostate cancer in intermediate to high-risk patients for which we completed enrollment in September of 2021 and expect to present topline data in the fourth quarter of 2024. Our second program evaluating CAN-2409 is for the treatment of NSCLC. We have an ongoing phase 2 clinical trial and we presented initial clinical data at the ASCO Annual Meeting in June 2022, an update during our Research and Development Day in December 2022, and an update about trial design and dosing regimen at the ASCO Annual Meeting in June 2023. Initial survival data were presented in September 2023. We expect to present topline overall survival data in the second quarter of 2024. If the final data from the phase 2 clinical trial is positive, this may warrant the initiation of a potentially registrational phase 3 clinical trial. We are also studying CAN-2409 in a randomized phase 2 clinical trial in borderline resectable pancreatic cancer. Consequently,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 In March 2023, in connection with our cost management and dynamic portfolio management initiatives, we elected to pause new enrollment in our phase 2 clinical trial of CAN-2409 in borderline resectable pancreatic cancer, subject to additional funding. Despite this pause in patient enrollment, we presented initial clinical data on survival earlier in the fourth quarter of 2023.</w:t>
      </w:r>
    </w:p>
    <w:p>
      <w:pPr>
        <w:spacing w:after="0" w:line="92"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We expect that our existing cash and cash equivalents will be sufficient to fund our current operating plan into the second quarter of 2024. However, our future capital requirements will depend on and could increase significantly as a result of many factors, including:</w:t>
      </w:r>
    </w:p>
    <w:p>
      <w:pPr>
        <w:spacing w:after="0" w:line="66" w:lineRule="exact"/>
        <w:rPr>
          <w:sz w:val="20"/>
          <w:szCs w:val="20"/>
          <w:color w:val="auto"/>
        </w:rPr>
      </w:pPr>
    </w:p>
    <w:p>
      <w:pPr>
        <w:ind w:left="1020" w:right="80" w:hanging="503"/>
        <w:spacing w:after="0" w:line="258"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scope, progress, results and costs of product discovery, preclinical and clinical development, laboratory testing, manufacturing and clinical trials for the development of CAN-2409, CAN-3110, or our other potential product candidates;</w:t>
      </w:r>
    </w:p>
    <w:p>
      <w:pPr>
        <w:spacing w:after="0" w:line="65" w:lineRule="exact"/>
        <w:rPr>
          <w:rFonts w:ascii="Arial" w:cs="Arial" w:eastAsia="Arial" w:hAnsi="Arial"/>
          <w:sz w:val="17"/>
          <w:szCs w:val="17"/>
          <w:color w:val="auto"/>
        </w:rPr>
      </w:pPr>
    </w:p>
    <w:p>
      <w:pPr>
        <w:jc w:val="both"/>
        <w:ind w:left="1020" w:right="380" w:hanging="503"/>
        <w:spacing w:after="0" w:line="245"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CAN-2409 in newly diagnosed localized prostate cancer, NSCLC, and borderline resectable pancreatic cancer as well as for CAN-3110 in our initial target indication of recurrent high-grade glioma (HGG) and our other potential product candidates that we may develop;</w:t>
      </w:r>
    </w:p>
    <w:p>
      <w:pPr>
        <w:spacing w:after="0" w:line="76" w:lineRule="exact"/>
        <w:rPr>
          <w:rFonts w:ascii="Arial" w:cs="Arial" w:eastAsia="Arial" w:hAnsi="Arial"/>
          <w:sz w:val="17"/>
          <w:szCs w:val="17"/>
          <w:color w:val="auto"/>
        </w:rPr>
      </w:pPr>
    </w:p>
    <w:p>
      <w:pPr>
        <w:ind w:left="1020" w:right="260" w:hanging="503"/>
        <w:spacing w:after="0" w:line="245"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approved, the costs of commercialization activities for CAN-2409 or CAN-3110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spacing w:after="0" w:line="76"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scope, prioritization and number of our research and development programs;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7" w:name="page48"/>
    <w:bookmarkEnd w:id="47"/>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15" w:lineRule="exact"/>
        <w:rPr>
          <w:rFonts w:ascii="Arial" w:cs="Arial" w:eastAsia="Arial" w:hAnsi="Arial"/>
          <w:sz w:val="17"/>
          <w:szCs w:val="17"/>
          <w:color w:val="auto"/>
        </w:rPr>
      </w:pPr>
    </w:p>
    <w:p>
      <w:pPr>
        <w:ind w:left="1020" w:right="820" w:hanging="503"/>
        <w:spacing w:after="0" w:line="258"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achievement of milestones or occurrence of other developments that trigger payments under any additional collaboration agreements we may enter into;</w:t>
      </w:r>
    </w:p>
    <w:p>
      <w:pPr>
        <w:spacing w:after="0" w:line="65" w:lineRule="exact"/>
        <w:rPr>
          <w:rFonts w:ascii="Arial" w:cs="Arial" w:eastAsia="Arial" w:hAnsi="Arial"/>
          <w:sz w:val="17"/>
          <w:szCs w:val="17"/>
          <w:color w:val="auto"/>
        </w:rPr>
      </w:pPr>
    </w:p>
    <w:p>
      <w:pPr>
        <w:ind w:left="1020" w:right="720" w:hanging="503"/>
        <w:spacing w:after="0" w:line="258"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65" w:lineRule="exact"/>
        <w:rPr>
          <w:rFonts w:ascii="Arial" w:cs="Arial" w:eastAsia="Arial" w:hAnsi="Arial"/>
          <w:sz w:val="17"/>
          <w:szCs w:val="17"/>
          <w:color w:val="auto"/>
        </w:rPr>
      </w:pPr>
    </w:p>
    <w:p>
      <w:pPr>
        <w:ind w:left="1020" w:right="720" w:hanging="503"/>
        <w:spacing w:after="0" w:line="258"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costs of securing manufacturing arrangements for commercial production;</w:t>
      </w:r>
    </w:p>
    <w:p>
      <w:pPr>
        <w:spacing w:after="0" w:line="115" w:lineRule="exact"/>
        <w:rPr>
          <w:rFonts w:ascii="Arial" w:cs="Arial" w:eastAsia="Arial" w:hAnsi="Arial"/>
          <w:sz w:val="17"/>
          <w:szCs w:val="17"/>
          <w:color w:val="auto"/>
        </w:rPr>
      </w:pPr>
    </w:p>
    <w:p>
      <w:pPr>
        <w:ind w:left="1020" w:right="600" w:hanging="503"/>
        <w:spacing w:after="0" w:line="258"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emergence of competing viral immunotherapies as well as immuno-oncology therapies in general and other adverse market developments;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costs of establishing clinical manufacturing operations at our new facility or through CMOs;</w:t>
      </w:r>
    </w:p>
    <w:p>
      <w:pPr>
        <w:spacing w:after="0" w:line="115" w:lineRule="exact"/>
        <w:rPr>
          <w:rFonts w:ascii="Arial" w:cs="Arial" w:eastAsia="Arial" w:hAnsi="Arial"/>
          <w:sz w:val="17"/>
          <w:szCs w:val="17"/>
          <w:color w:val="auto"/>
        </w:rPr>
      </w:pPr>
    </w:p>
    <w:p>
      <w:pPr>
        <w:ind w:left="1020" w:right="420" w:hanging="503"/>
        <w:spacing w:after="0" w:line="258"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costs of establishing or contracting for sales and marketing capabilities if we obtain regulatory approvals to market our product candidates; and</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impact of any future public health crisis, which may exacerbate the magnitude of the factors discussed above.</w:t>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84"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As of September 30, 2023, our cash and cash equivalents were $43.0 million. Based on our current business plan, there is substantial doubt regarding our ability to continue as a going concern for a period of one year after the date that our financial statements for the quarter ended September 30, 2023 are issued and we need to raise significant amounts of additional funding to complete all of our ongoing trials and execute on our business plan. Financing may not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In addition, our efforts to raise additional capital may divert our management from their day-to-day activities, which may adversely affect our ability to develop our product candidates in a timely manner.</w:t>
      </w:r>
    </w:p>
    <w:p>
      <w:pPr>
        <w:spacing w:after="0" w:line="85"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84" w:lineRule="exact"/>
        <w:rPr>
          <w:sz w:val="20"/>
          <w:szCs w:val="20"/>
          <w:color w:val="auto"/>
        </w:rPr>
      </w:pPr>
    </w:p>
    <w:p>
      <w:pPr>
        <w:jc w:val="both"/>
        <w:ind w:right="260"/>
        <w:spacing w:after="0"/>
        <w:rPr>
          <w:sz w:val="20"/>
          <w:szCs w:val="20"/>
          <w:color w:val="auto"/>
        </w:rPr>
      </w:pPr>
      <w:r>
        <w:rPr>
          <w:rFonts w:ascii="Arial" w:cs="Arial" w:eastAsia="Arial" w:hAnsi="Arial"/>
          <w:sz w:val="17"/>
          <w:szCs w:val="17"/>
          <w:color w:val="auto"/>
        </w:rPr>
        <w:t>If we are unable to obtain adequate funding on a timely basis, we may be required to revise our business plan and strategy and potentially curtail, delay, or discontinue one or more of our clinical trials, our research efforts, product development, future commercialization efforts, or may result in our being unable to expand our operations or otherwise capitalize on our business opportunities. As a result, our business, financial condition and results of operations could be materially affected.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indebtedness, and we may incur additional indebtedness, which could adversely affect our financial condition.</w:t>
      </w:r>
    </w:p>
    <w:p>
      <w:pPr>
        <w:spacing w:after="0" w:line="110"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On February 24, 2022, we entered into a loan and security agreement (the SVB Loan Agreement) with Silicon Valley Bank, as lender (SVB), pursuant to which SVB has agreed to provide term loans to us in an aggregate principal amount of up to $25.0 million. Our indebtedness could have important consequences to our stockholders. For example, it:</w:t>
      </w:r>
    </w:p>
    <w:p>
      <w:pPr>
        <w:spacing w:after="0" w:line="76"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increases our vulnerability to adverse general economic and industry conditions;</w:t>
      </w:r>
    </w:p>
    <w:p>
      <w:pPr>
        <w:spacing w:after="0" w:line="115" w:lineRule="exact"/>
        <w:rPr>
          <w:rFonts w:ascii="Arial" w:cs="Arial" w:eastAsia="Arial" w:hAnsi="Arial"/>
          <w:sz w:val="17"/>
          <w:szCs w:val="17"/>
          <w:color w:val="auto"/>
        </w:rPr>
      </w:pPr>
    </w:p>
    <w:p>
      <w:pPr>
        <w:ind w:left="1020" w:right="80" w:hanging="503"/>
        <w:spacing w:after="0" w:line="25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65" w:lineRule="exact"/>
        <w:rPr>
          <w:rFonts w:ascii="Arial" w:cs="Arial" w:eastAsia="Arial" w:hAnsi="Arial"/>
          <w:sz w:val="17"/>
          <w:szCs w:val="17"/>
          <w:color w:val="auto"/>
        </w:rPr>
      </w:pPr>
    </w:p>
    <w:p>
      <w:pPr>
        <w:ind w:left="1020" w:right="200" w:hanging="503"/>
        <w:spacing w:after="0" w:line="25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limits our ability to obtain additional financing or refinancing in the future for working capital, clinical trials, research and development, or other purposes.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8" w:name="page49"/>
    <w:bookmarkEnd w:id="48"/>
    <w:p>
      <w:pPr>
        <w:ind w:right="20"/>
        <w:spacing w:after="0" w:line="237" w:lineRule="auto"/>
        <w:rPr>
          <w:sz w:val="20"/>
          <w:szCs w:val="20"/>
          <w:color w:val="auto"/>
        </w:rPr>
      </w:pPr>
      <w:r>
        <w:rPr>
          <w:rFonts w:ascii="Arial" w:cs="Arial" w:eastAsia="Arial" w:hAnsi="Arial"/>
          <w:sz w:val="17"/>
          <w:szCs w:val="17"/>
          <w:color w:val="auto"/>
        </w:rPr>
        <w:t>Any of the above-listed factors could materially adversely affect our business, financial condition, results of operations, and cash flows. The SVB Loan Agreement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SVB Loan Agreement may limit our ability to draw upon additional tranches of term loans and may result in an event of default under such agreement entitling the lender to accelerate our indebtedness, which could have a material adverse effect on our business, financial condition, and results of operations.</w:t>
      </w:r>
    </w:p>
    <w:p>
      <w:pPr>
        <w:spacing w:after="0" w:line="84"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p>
    <w:p>
      <w:pPr>
        <w:spacing w:after="0" w:line="76"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A portion of our outstanding debt under the SVB Loan Agreement, bears interest at variable interest rates. To meet our liquidity needs, we have relied in part on borrowed funds with variable interest rates and may continue to do so in the future. Continued increase in interest rates may increase the cost of new indebtedness and the servicing of our outstanding indebtedness, and could materially and adversely affect our results of operations, financial condition, liquidity and cash flows.</w:t>
      </w:r>
    </w:p>
    <w:p>
      <w:pPr>
        <w:spacing w:after="0" w:line="74"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5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We currently have a $20 million loan outstanding pursuant to a $25 million term loan facility with SVB, which was entered into in February 2022 and amended in June 2023. We no longer have access to borrow the $5 million of additional aggregate principle per the terms of our Loan and Security Agreement.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such as us,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8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82"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49" w:name="page50"/>
    <w:bookmarkEnd w:id="49"/>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Delayed access to deposits or other financial assets or the uninsured loss of deposits or other financial assets;</w:t>
      </w:r>
    </w:p>
    <w:p>
      <w:pPr>
        <w:spacing w:after="0" w:line="115" w:lineRule="exact"/>
        <w:rPr>
          <w:rFonts w:ascii="Arial" w:cs="Arial" w:eastAsia="Arial" w:hAnsi="Arial"/>
          <w:sz w:val="17"/>
          <w:szCs w:val="17"/>
          <w:color w:val="auto"/>
        </w:rPr>
      </w:pPr>
    </w:p>
    <w:p>
      <w:pPr>
        <w:ind w:left="1020" w:right="20" w:hanging="503"/>
        <w:spacing w:after="0" w:line="245"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spacing w:after="0" w:line="76" w:lineRule="exact"/>
        <w:rPr>
          <w:rFonts w:ascii="Arial" w:cs="Arial" w:eastAsia="Arial" w:hAnsi="Arial"/>
          <w:sz w:val="17"/>
          <w:szCs w:val="17"/>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Potential or actual breach of contractual obligations that require us to maintain letters of credit or other credit support arrangements;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Potential or actual breach of financial covenants in our credit agreements or credit arrangements;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Potential or actual cross-defaults in other credit agreements, credit arrangements or operating or financing agreements; or</w:t>
      </w:r>
    </w:p>
    <w:p>
      <w:pPr>
        <w:spacing w:after="0" w:line="115" w:lineRule="exact"/>
        <w:rPr>
          <w:rFonts w:ascii="Arial" w:cs="Arial" w:eastAsia="Arial" w:hAnsi="Arial"/>
          <w:sz w:val="17"/>
          <w:szCs w:val="17"/>
          <w:color w:val="auto"/>
        </w:rPr>
      </w:pPr>
    </w:p>
    <w:p>
      <w:pPr>
        <w:ind w:left="1020" w:right="580" w:hanging="503"/>
        <w:spacing w:after="0" w:line="258"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Termination of cash management arrangements and/or delays in accessing or actual loss of funds subject to cash management arrangements.</w:t>
      </w:r>
    </w:p>
    <w:p>
      <w:pPr>
        <w:spacing w:after="0" w:line="6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85" w:lineRule="exact"/>
        <w:rPr>
          <w:sz w:val="20"/>
          <w:szCs w:val="20"/>
          <w:color w:val="auto"/>
        </w:rPr>
      </w:pPr>
    </w:p>
    <w:p>
      <w:pPr>
        <w:ind w:right="20" w:firstLine="47"/>
        <w:spacing w:after="0" w:line="235"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Product Development</w:t>
      </w:r>
    </w:p>
    <w:p>
      <w:pPr>
        <w:spacing w:after="0" w:line="102"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b w:val="1"/>
          <w:bCs w:val="1"/>
          <w:i w:val="1"/>
          <w:iCs w:val="1"/>
          <w:color w:val="auto"/>
        </w:rPr>
        <w:t>Our business is dependent on the success of our lead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5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expect that a substantial portion of our efforts and expenditures over the next several years will be devoted to our CAN-2409 program, which is currently our lead product candidate. We are currently conducting, as part of our most advanced CAN-2409 program, a phase 3 clinical trial under an SPA for CAN-2409 as first-line therapy in combination with radiotherapy in patients with newly diagnosed localized prostate cancer who have an intermediate to high-risk for progression. We completed enrollment for this trial in September 2021 and expect to report topline data at the end of 2024. We are conducting a phase 2 clinical trial of CAN-2409 in patients with NSCLC who have had an inadequate response to ICI treatment and continue the same ICI treatment in combination with CAN-2409. We presented initial clinical data from this clinical trial at the ASCO Annual Meeting in June 2022, an update during our Research and Development Day in December 2022, and an update on trial design and dosing regimen at the ASCO Annual Meeting in June 2023. Initial survival and immunological biomarker data from the phase 2 clinical trial data were reported in September 2023. We expect to report topline overall survival data in the second quarter of 2024. We are also studying CAN-2409 in a randomized phase 2 clinical trial in borderline resectable pancreatic cancer, for which we elected to pause new enrollment in March 2023, subject to additional funding. Additionally, we have an ongoing investigator-sponsored phase 1 clinical trial of CAN-3110, a herpes simplex virus 1 (HSV1), in recurrent HGG and reported biomarker data in November of 2021. Additional data was presented at the Annual Meeting of Society for Immunotherapy of Cancer (SITC) in November 2022, during the Company's Research and Development Day on December 6, 2022, and at the American Society of Gene &amp; Cell Therapy (ASGCT) Annual Meeting in May 2023. In October 2023, we published an in-depth analysis of 41 patients with recurrent HGG in arm A, including updated survival data in patients who have antibodies against HSV1 and new biomarker data supporting the proposed mechanism of action of CAN-3110 in Nature. If CAN-2409, CAN-3110 or any other product candidate we develop encounters safety or efficacy issues, development delays, regulatory issues or other problems, our development plans and business would be significantly harmed. We can provide no assurance that CAN-2409, CAN-3110 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0" w:name="page51"/>
    <w:bookmarkEnd w:id="50"/>
    <w:p>
      <w:pPr>
        <w:ind w:right="120"/>
        <w:spacing w:after="0"/>
        <w:rPr>
          <w:sz w:val="20"/>
          <w:szCs w:val="20"/>
          <w:color w:val="auto"/>
        </w:rPr>
      </w:pPr>
      <w:r>
        <w:rPr>
          <w:rFonts w:ascii="Arial" w:cs="Arial" w:eastAsia="Arial" w:hAnsi="Arial"/>
          <w:sz w:val="17"/>
          <w:szCs w:val="17"/>
          <w:color w:val="auto"/>
        </w:rPr>
        <w:t>any other product candidates we develop will receive regulatory approval or be successfully commercialized even if we receive regulatory approval. If we were required to discontinue development of CAN-2409, CAN-3110 or any future product candidate, or if CAN-2409, CAN-3110, or any future product candidate do not receive regulatory approval or fail to achieve significant market acceptance, we would be delayed by many years in our ability to achieve profitability, if ever.</w:t>
      </w:r>
    </w:p>
    <w:p>
      <w:pPr>
        <w:spacing w:after="0" w:line="8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Furthermore, even if we obtain regulatory approval for CAN-2409, CAN-3110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CAN-2409, CAN-3110 or any other product candidates we develop, we may not be able to generate sufficient revenue to continue our business.</w:t>
      </w:r>
    </w:p>
    <w:p>
      <w:pPr>
        <w:spacing w:after="0" w:line="76" w:lineRule="exact"/>
        <w:rPr>
          <w:sz w:val="20"/>
          <w:szCs w:val="20"/>
          <w:color w:val="auto"/>
        </w:rPr>
      </w:pPr>
    </w:p>
    <w:p>
      <w:pPr>
        <w:ind w:right="420"/>
        <w:spacing w:after="0" w:line="285"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3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Before obtaining regulatory approvals for the commercial sale of our product candidates, including CAN-2409, CAN-3110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a phase 3 clinical trial for CAN-2409 for prostate cancer and are in early stages of clinical development for CAN-3110,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8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Our product candidates have caused side effects in clinical trials related to on-target toxicity such as fever, chills and muscle aches and other flu-like symptoms. The most common side effects observed in our clinical trials have been transient, injection site-related reactions, and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 / alanine transaminase (AST/ALT), increased bilirubin, hemiparesis or worsening of speech impairment (in studies of HGG),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CAN-2409 and CAN-3110, patients have been, and may continue to be, treated with CAN-2409 and/or CAN-3110 under an expanded access or “compassionate use” program. To the extent the experiences of patients being treated in this program are inconsistent with or less favorable than the results of our ongoing or planned company-sponsored trials with CAN-2409 and/or CAN-3110, it may negatively affect perceptions of CAN-2409 and/or CAN-3110, our other product candidates, or our business. In addition, the FDA or comparable foreign regulatory authorities may require us to obtain and submit additional clinical data due to these inconsistent or unfavorable results, which could delay clinical development or marketing approval of CAN-2409 and/or CAN-3110 or potentially our other product candidates.</w:t>
      </w:r>
    </w:p>
    <w:p>
      <w:pPr>
        <w:spacing w:after="0" w:line="86" w:lineRule="exact"/>
        <w:rPr>
          <w:sz w:val="20"/>
          <w:szCs w:val="20"/>
          <w:color w:val="auto"/>
        </w:rPr>
      </w:pPr>
    </w:p>
    <w:p>
      <w:pPr>
        <w:jc w:val="both"/>
        <w:ind w:right="320"/>
        <w:spacing w:after="0" w:line="25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spacing w:after="0" w:line="53" w:lineRule="exact"/>
        <w:rPr>
          <w:sz w:val="20"/>
          <w:szCs w:val="20"/>
          <w:color w:val="auto"/>
        </w:rPr>
      </w:pPr>
    </w:p>
    <w:p>
      <w:pPr>
        <w:jc w:val="both"/>
        <w:ind w:right="320"/>
        <w:spacing w:after="0" w:line="258" w:lineRule="auto"/>
        <w:rPr>
          <w:sz w:val="20"/>
          <w:szCs w:val="20"/>
          <w:color w:val="auto"/>
        </w:rPr>
      </w:pPr>
      <w:r>
        <w:rPr>
          <w:rFonts w:ascii="Arial" w:cs="Arial" w:eastAsia="Arial" w:hAnsi="Arial"/>
          <w:sz w:val="17"/>
          <w:szCs w:val="17"/>
          <w:color w:val="auto"/>
        </w:rPr>
        <w:t>From time to time, we may publish interim, topline or preliminary data from our clinical trials. We may decide to conduct an interim analysis of the data after a certain number or percentage of patients have been enrolled, or after only a part of the full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1" w:name="page52"/>
    <w:bookmarkEnd w:id="51"/>
    <w:p>
      <w:pPr>
        <w:ind w:right="140"/>
        <w:spacing w:after="0" w:line="236" w:lineRule="auto"/>
        <w:rPr>
          <w:sz w:val="20"/>
          <w:szCs w:val="20"/>
          <w:color w:val="auto"/>
        </w:rPr>
      </w:pPr>
      <w:r>
        <w:rPr>
          <w:rFonts w:ascii="Arial" w:cs="Arial" w:eastAsia="Arial" w:hAnsi="Arial"/>
          <w:sz w:val="17"/>
          <w:szCs w:val="17"/>
          <w:color w:val="auto"/>
        </w:rPr>
        <w:t>follow-up period but before completion of the trial. Similarly, we may report topline or preliminary results of primary and key secondary endpoints before the final trial results are completed. Preliminary, topline and interim data from our clinical trials may change as more patient data or analyses become available. Preliminary, topline or interim data from our clinical trials are not necessarily predictive of final results and are subject to the risk that one or more of the clinical outcomes may materially change 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spacing w:after="0" w:line="8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84" w:lineRule="exact"/>
        <w:rPr>
          <w:sz w:val="20"/>
          <w:szCs w:val="20"/>
          <w:color w:val="auto"/>
        </w:rPr>
      </w:pPr>
    </w:p>
    <w:p>
      <w:pPr>
        <w:jc w:val="both"/>
        <w:ind w:right="140"/>
        <w:spacing w:after="0" w:line="245" w:lineRule="auto"/>
        <w:rPr>
          <w:sz w:val="20"/>
          <w:szCs w:val="20"/>
          <w:color w:val="auto"/>
        </w:rPr>
      </w:pPr>
      <w:r>
        <w:rPr>
          <w:rFonts w:ascii="Arial" w:cs="Arial" w:eastAsia="Arial" w:hAnsi="Arial"/>
          <w:sz w:val="17"/>
          <w:szCs w:val="17"/>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68" w:lineRule="exact"/>
        <w:rPr>
          <w:sz w:val="20"/>
          <w:szCs w:val="20"/>
          <w:color w:val="auto"/>
        </w:rPr>
      </w:pPr>
    </w:p>
    <w:p>
      <w:pPr>
        <w:jc w:val="both"/>
        <w:ind w:right="40"/>
        <w:spacing w:after="0" w:line="258" w:lineRule="auto"/>
        <w:rPr>
          <w:sz w:val="20"/>
          <w:szCs w:val="20"/>
          <w:color w:val="auto"/>
        </w:rPr>
      </w:pPr>
      <w:r>
        <w:rPr>
          <w:rFonts w:ascii="Arial" w:cs="Arial" w:eastAsia="Arial" w:hAnsi="Arial"/>
          <w:sz w:val="17"/>
          <w:szCs w:val="17"/>
          <w:b w:val="1"/>
          <w:bCs w:val="1"/>
          <w:i w:val="1"/>
          <w:iCs w:val="1"/>
          <w:color w:val="auto"/>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spacing w:after="0" w:line="53"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p>
    <w:p>
      <w:pPr>
        <w:spacing w:after="0" w:line="76"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82"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research methodology used may not be successful in identifying potential indications and/or product candidates;</w:t>
      </w:r>
    </w:p>
    <w:p>
      <w:pPr>
        <w:spacing w:after="0" w:line="115" w:lineRule="exact"/>
        <w:rPr>
          <w:rFonts w:ascii="Arial" w:cs="Arial" w:eastAsia="Arial" w:hAnsi="Arial"/>
          <w:sz w:val="17"/>
          <w:szCs w:val="17"/>
          <w:color w:val="auto"/>
        </w:rPr>
      </w:pPr>
    </w:p>
    <w:p>
      <w:pPr>
        <w:ind w:left="1020" w:right="300" w:hanging="503"/>
        <w:spacing w:after="0" w:line="258"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potential product candidates may, after further study, be shown to have harmful adverse effects or other characteristics that indicate they are unlikely to be effective drugs; or</w:t>
      </w:r>
    </w:p>
    <w:p>
      <w:pPr>
        <w:spacing w:after="0" w:line="65" w:lineRule="exact"/>
        <w:rPr>
          <w:rFonts w:ascii="Arial" w:cs="Arial" w:eastAsia="Arial" w:hAnsi="Arial"/>
          <w:sz w:val="17"/>
          <w:szCs w:val="17"/>
          <w:color w:val="auto"/>
        </w:rPr>
      </w:pPr>
    </w:p>
    <w:p>
      <w:pPr>
        <w:ind w:left="1020" w:right="460" w:hanging="503"/>
        <w:spacing w:after="0" w:line="245"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76"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at the Annual Meeting of SITC in Boston in November 2022, due to promising clinical activity of CAN-3110 in recurrent HGG, we made a portfolio and resource decision to prioritize CAN-3110 in recurrent HGG and not to pursue a phase 3 clinical trial of CAN-2409 in HGG.</w:t>
      </w:r>
    </w:p>
    <w:p>
      <w:pPr>
        <w:spacing w:after="0" w:line="81"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earlier studies and trials of our product candidates may not be predictive of future trial results.</w:t>
      </w:r>
    </w:p>
    <w:p>
      <w:pPr>
        <w:spacing w:after="0" w:line="110"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Success in preclinical studies and early clinical trials does not ensure that later clinical trials will be successful. Product candidates in later stages of clinical trials may fail to show the desired safety and efficacy traits despite having progressed through preclinical studies and initial clinical trials. As we commence new clinical trials and continue our 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2" w:name="page53"/>
    <w:bookmarkEnd w:id="52"/>
    <w:p>
      <w:pPr>
        <w:ind w:right="80"/>
        <w:spacing w:after="0" w:line="238" w:lineRule="auto"/>
        <w:rPr>
          <w:sz w:val="20"/>
          <w:szCs w:val="20"/>
          <w:color w:val="auto"/>
        </w:rPr>
      </w:pPr>
      <w:r>
        <w:rPr>
          <w:rFonts w:ascii="Arial" w:cs="Arial" w:eastAsia="Arial" w:hAnsi="Arial"/>
          <w:sz w:val="17"/>
          <w:szCs w:val="17"/>
          <w:color w:val="auto"/>
        </w:rPr>
        <w:t>Notwithstanding any potential promising results in earlier studies and trials, we cannot be certain that we will not face similar setbacks. In addition, the results of our preclinical animal studies, including our oncology mouse studies and other animal studies, may not be predictive of the results of outcomes in human clinical trials. For example, our oncology product candidates that are in preclinical development may demonstrate different chemical and biological properties in patients than they do in laboratory animal studies or may interact with human biological systems in unforeseen or harmful ways.</w:t>
      </w:r>
    </w:p>
    <w:p>
      <w:pPr>
        <w:spacing w:after="0" w:line="8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Additionally, some of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spacing w:after="0" w:line="114"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b w:val="1"/>
          <w:bCs w:val="1"/>
          <w:i w:val="1"/>
          <w:iCs w:val="1"/>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30" w:lineRule="exact"/>
        <w:rPr>
          <w:sz w:val="20"/>
          <w:szCs w:val="20"/>
          <w:color w:val="auto"/>
        </w:rPr>
      </w:pPr>
    </w:p>
    <w:p>
      <w:pPr>
        <w:jc w:val="both"/>
        <w:ind w:right="160"/>
        <w:spacing w:after="0" w:line="245" w:lineRule="auto"/>
        <w:rPr>
          <w:sz w:val="20"/>
          <w:szCs w:val="20"/>
          <w:color w:val="auto"/>
        </w:rPr>
      </w:pPr>
      <w:r>
        <w:rPr>
          <w:rFonts w:ascii="Arial" w:cs="Arial" w:eastAsia="Arial" w:hAnsi="Arial"/>
          <w:sz w:val="17"/>
          <w:szCs w:val="17"/>
          <w:color w:val="auto"/>
        </w:rPr>
        <w:t>We have concentrated our research and development efforts on our CAN-2409 and CAN-3110 product candidates, and our future success largely depends on the successful development of these therapeutic approaches. In particular, CAN-2409 utilizes an adenovirus to activate the innate and adaptive immune system. To our knowledge, there are no FDA-approved products for the treatment of cancer that utilize the adenovirus.</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Few viral immunotherapies have been approved globally or by the FDA to date. While the first oncolytic viral immunotherapy, talimogene laherparepvec (Imlygic, Amgen), has received FDA approval, regulatory agencies have reviewed relatively few viral immunotherapy product candidates such as CAN-2409 and CAN-3110.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85" w:lineRule="exact"/>
        <w:rPr>
          <w:sz w:val="20"/>
          <w:szCs w:val="20"/>
          <w:color w:val="auto"/>
        </w:rPr>
      </w:pPr>
    </w:p>
    <w:p>
      <w:pPr>
        <w:jc w:val="both"/>
        <w:ind w:right="40"/>
        <w:spacing w:after="0"/>
        <w:rPr>
          <w:sz w:val="20"/>
          <w:szCs w:val="20"/>
          <w:color w:val="auto"/>
        </w:rPr>
      </w:pPr>
      <w:r>
        <w:rPr>
          <w:rFonts w:ascii="Arial" w:cs="Arial" w:eastAsia="Arial" w:hAnsi="Arial"/>
          <w:sz w:val="17"/>
          <w:szCs w:val="17"/>
          <w:color w:val="auto"/>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spacing w:after="0" w:line="8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our product candidates are live, gene-modified viruses for which the FDA, the European Medicines Agency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85"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 diagnosed localized prostate cancer in intermediate- to high-risk patients in combination with the standard of care. As a result, there is substantial risk that the design or outcomes of our clinical trials will not be satisfactory to support marketing approval. For example, the endpoint in our phase 3 clinical trial investigating CAN-2409 in prostate cancer is a disease-free survival (DFS) endpoint with final results expected 24 months after last patient treated, which has not been utilized in prior trials and may not be accepted by regulators as a basis for approval despite the existence of the SPA. Even if this type of novel endpoint is accepted as a basis for approval in the United States, we cannot be certain that regulators outside of the United States will accept such endpoints or will not require us to conduct additional validation studies to support the suitability of such endpoints for approval in these jurisdictions.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3" w:name="page54"/>
    <w:bookmarkEnd w:id="53"/>
    <w:p>
      <w:pPr>
        <w:ind w:right="320"/>
        <w:spacing w:after="0" w:line="285" w:lineRule="auto"/>
        <w:rPr>
          <w:sz w:val="20"/>
          <w:szCs w:val="20"/>
          <w:color w:val="auto"/>
        </w:rPr>
      </w:pPr>
      <w:r>
        <w:rPr>
          <w:rFonts w:ascii="Arial" w:cs="Arial" w:eastAsia="Arial" w:hAnsi="Arial"/>
          <w:sz w:val="17"/>
          <w:szCs w:val="17"/>
          <w:b w:val="1"/>
          <w:bCs w:val="1"/>
          <w:i w:val="1"/>
          <w:iCs w:val="1"/>
          <w:color w:val="auto"/>
        </w:rPr>
        <w:t>We are developing, and in the future may develop, other product candidates, in combination with other therapies, which exposes us to additional risks related to any prodrugs or any agents used in combination with our product candidates.</w:t>
      </w:r>
    </w:p>
    <w:p>
      <w:pPr>
        <w:spacing w:after="0" w:line="3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CAN-2409 product candidate is being developed to be used in combination with the prodrug valacyclovir, which is an oral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82"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spacing w:after="0" w:line="76"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spacing w:after="0" w:line="76"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i w:val="1"/>
          <w:iCs w:val="1"/>
          <w:color w:val="auto"/>
        </w:rPr>
        <w:t>Negative developments in the field of immuno-oncology and, in particular, viral immunotherapy, could damage public perception of any of our product candidates and negatively affect our business.</w:t>
      </w:r>
    </w:p>
    <w:p>
      <w:pPr>
        <w:spacing w:after="0" w:line="3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commercial success of adenovirus- or HSV-based product candidates will depend in part on public acceptance of the use of immuno-oncology, and, in particular, viral immunotherapy. Adverse events in clinical trials of CAN-2409, CAN-3110 or any other adenovirus- or HSV-based product candidates which we may develop,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87"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76"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and ultimately delay or prevent regulatory approval.</w:t>
      </w:r>
    </w:p>
    <w:p>
      <w:pPr>
        <w:spacing w:after="0" w:line="3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brain cancer for the development of CAN-3110, our ability to enroll eligible patients may be limited or enrollment may be slower than we anticipate due to the small eligible patient population. In addition, our ability to enroll patients may be delayed by any future public health crisis and we are unable to predict the full extent and scope of such delays.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4" w:right="339" w:bottom="1440" w:gutter="0" w:footer="0" w:header="0"/>
        </w:sectPr>
      </w:pPr>
    </w:p>
    <w:bookmarkStart w:id="54" w:name="page55"/>
    <w:bookmarkEnd w:id="54"/>
    <w:p>
      <w:pPr>
        <w:spacing w:after="0" w:line="236" w:lineRule="auto"/>
        <w:rPr>
          <w:sz w:val="20"/>
          <w:szCs w:val="20"/>
          <w:color w:val="auto"/>
        </w:rPr>
      </w:pPr>
      <w:r>
        <w:rPr>
          <w:rFonts w:ascii="Arial" w:cs="Arial" w:eastAsia="Arial" w:hAnsi="Arial"/>
          <w:sz w:val="17"/>
          <w:szCs w:val="17"/>
          <w:color w:val="auto"/>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 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The enrollment of patients further depends on many factors, including:</w:t>
      </w:r>
    </w:p>
    <w:p>
      <w:pPr>
        <w:spacing w:after="0" w:line="102"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proximity of patients to clinical trial sites;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patient referral practices of physicians;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design of the clinical trial, including the number of site visits and invasive assessments required;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obtain and maintain patient consents;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reporting of the preliminary results of any of our clinical trials;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clinical trials before clinical trial completion; and</w:t>
      </w:r>
    </w:p>
    <w:p>
      <w:pPr>
        <w:spacing w:after="0" w:line="115" w:lineRule="exact"/>
        <w:rPr>
          <w:rFonts w:ascii="Arial" w:cs="Arial" w:eastAsia="Arial" w:hAnsi="Arial"/>
          <w:sz w:val="17"/>
          <w:szCs w:val="17"/>
          <w:color w:val="auto"/>
        </w:rPr>
      </w:pPr>
    </w:p>
    <w:p>
      <w:pPr>
        <w:ind w:left="1020" w:right="480" w:hanging="503"/>
        <w:spacing w:after="0" w:line="258"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factors we may not be able to control, such as any future public health crisis, that may limit patient participation, hiring of principal investigators or staff or clinical site availability.</w:t>
      </w:r>
    </w:p>
    <w:p>
      <w:pPr>
        <w:spacing w:after="0" w:line="6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spacing w:after="0" w:line="82"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58" w:lineRule="exact"/>
        <w:rPr>
          <w:sz w:val="20"/>
          <w:szCs w:val="20"/>
          <w:color w:val="auto"/>
        </w:rPr>
      </w:pPr>
    </w:p>
    <w:p>
      <w:pPr>
        <w:ind w:right="440"/>
        <w:spacing w:after="0" w:line="285" w:lineRule="auto"/>
        <w:rPr>
          <w:sz w:val="20"/>
          <w:szCs w:val="20"/>
          <w:color w:val="auto"/>
        </w:rPr>
      </w:pPr>
      <w:r>
        <w:rPr>
          <w:rFonts w:ascii="Arial" w:cs="Arial" w:eastAsia="Arial" w:hAnsi="Arial"/>
          <w:sz w:val="17"/>
          <w:szCs w:val="17"/>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3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82" w:lineRule="exact"/>
        <w:rPr>
          <w:sz w:val="20"/>
          <w:szCs w:val="20"/>
          <w:color w:val="auto"/>
        </w:rPr>
      </w:pPr>
    </w:p>
    <w:p>
      <w:pPr>
        <w:ind w:left="1020" w:right="240" w:hanging="503"/>
        <w:spacing w:after="0" w:line="245"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spacing w:after="0" w:line="76" w:lineRule="exact"/>
        <w:rPr>
          <w:rFonts w:ascii="Arial" w:cs="Arial" w:eastAsia="Arial" w:hAnsi="Arial"/>
          <w:sz w:val="17"/>
          <w:szCs w:val="17"/>
          <w:color w:val="auto"/>
        </w:rPr>
      </w:pPr>
    </w:p>
    <w:p>
      <w:pPr>
        <w:ind w:left="1020" w:right="220" w:hanging="503"/>
        <w:spacing w:after="0" w:line="258"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for our current or future product candidates by the FDA or other applicable regulatory authorities;</w:t>
      </w:r>
    </w:p>
    <w:p>
      <w:pPr>
        <w:spacing w:after="0" w:line="65" w:lineRule="exact"/>
        <w:rPr>
          <w:rFonts w:ascii="Arial" w:cs="Arial" w:eastAsia="Arial" w:hAnsi="Arial"/>
          <w:sz w:val="17"/>
          <w:szCs w:val="17"/>
          <w:color w:val="auto"/>
        </w:rPr>
      </w:pPr>
    </w:p>
    <w:p>
      <w:pPr>
        <w:ind w:left="1020" w:right="260" w:hanging="503"/>
        <w:spacing w:after="0" w:line="258"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prevalence and severity of adverse events associated with our product candidates or those products with which they may be co-administered in immuno-oncology and, in particular, viral immunotherapies;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clinical indications for which our current or future product candidates are approved;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availability of alternative treatments already approved or expected to be commercially launched in the near future;</w:t>
      </w:r>
    </w:p>
    <w:p>
      <w:pPr>
        <w:spacing w:after="0" w:line="115" w:lineRule="exact"/>
        <w:rPr>
          <w:rFonts w:ascii="Arial" w:cs="Arial" w:eastAsia="Arial" w:hAnsi="Arial"/>
          <w:sz w:val="17"/>
          <w:szCs w:val="17"/>
          <w:color w:val="auto"/>
        </w:rPr>
      </w:pPr>
    </w:p>
    <w:p>
      <w:pPr>
        <w:ind w:left="1020" w:right="640" w:hanging="503"/>
        <w:spacing w:after="0" w:line="258"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potential and perceived advantages of our current or future product candidates over current treatment options or alternative treatments, including future alternative treatments;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5" w:name="page56"/>
    <w:bookmarkEnd w:id="55"/>
    <w:p>
      <w:pPr>
        <w:ind w:left="1020" w:right="680" w:hanging="503"/>
        <w:spacing w:after="0" w:line="258"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willingness of the target patient populations to try new therapies or treatment methods and of physicians to prescribe these therapies or methods in immuno-oncology and, in particular, viral immunotherapies;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need to dose such product candidates in combination with other therapeutic agents, and related costs;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 and timing of market introduction of competitive products;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publicity concerning our products or competing products and treatments;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pricing and cost effectiveness;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effectiveness of our sales and marketing strategies;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increase awareness of our current or future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obtain sufficient third-party coverage or reimbursement;</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ability or willingness of patients to pay out-of-pocket in the absence of third-party coverage;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potential product liability claims.</w:t>
      </w:r>
    </w:p>
    <w:p>
      <w:pPr>
        <w:spacing w:after="0" w:line="115"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76" w:lineRule="exact"/>
        <w:rPr>
          <w:sz w:val="20"/>
          <w:szCs w:val="20"/>
          <w:color w:val="auto"/>
        </w:rPr>
      </w:pPr>
    </w:p>
    <w:p>
      <w:pPr>
        <w:ind w:right="360"/>
        <w:spacing w:after="0" w:line="285"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 candidates before or more successfully than we do.</w:t>
      </w:r>
    </w:p>
    <w:p>
      <w:pPr>
        <w:spacing w:after="0" w:line="3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spacing w:after="0" w:line="8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Oncorus, Replimune, Amgen, ImmVira, FerGene and IconOVir,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85"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 and Commercialization of Our Product Candidates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6" w:name="page57"/>
    <w:bookmarkEnd w:id="56"/>
    <w:p>
      <w:pPr>
        <w:ind w:right="100"/>
        <w:spacing w:after="0" w:line="249"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6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8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It is possible that CAN-2409, CAN-3110 and future product candidates will never obtain the appropriate regulatory approvals necessary for us to commence product sales.</w:t>
      </w:r>
    </w:p>
    <w:p>
      <w:pPr>
        <w:spacing w:after="0" w:line="86"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If we experience delays in obtaining approval, if we fail to obtain regulatory approval of CAN-2409, CAN-3110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8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CAN-2409, CAN-3110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CAN-2409, CAN-3110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CAN-2409 and CAN-3110 have experienced mild to moderate adverse events, consisting mainly of flu-like symptoms and injection site reactions. In response to these adverse events, we have implemented prophylactic measures, including intravenous fluids, antiemetics and antipyretics. The FDA’s or a comparable foreign regulatory authority’s requests for additional data or information could also result in substantial delays in the approval of CAN-2409, CAN-3110 and future product candidates.</w:t>
      </w:r>
    </w:p>
    <w:p>
      <w:pPr>
        <w:spacing w:after="0" w:line="8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a product candidate may only be uncovered when a significantly larger number of patients are exposed to the product candidate or when patients are exposed for a longer period of time.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Undesirable side effects caused by CAN-2409, CAN-3110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the submission of a Risk Evaluation and Mitigation Strategy (REMS), to monitor the safety or efficacy of the products, and in turn prevent us from commercializing and generating revenues from the sale of CAN-2409, CAN-3110 and future product candidates. Any such limitations or restrictions could similarly impact any supplemental marketing approvals we may obtain for CAN-2409 and CAN-3110. Undesirable side effects may limit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4" w:right="359" w:bottom="1440" w:gutter="0" w:footer="0" w:header="0"/>
        </w:sectPr>
      </w:pPr>
    </w:p>
    <w:bookmarkStart w:id="57" w:name="page58"/>
    <w:bookmarkEnd w:id="57"/>
    <w:p>
      <w:pPr>
        <w:ind w:right="40"/>
        <w:spacing w:after="0" w:line="245" w:lineRule="auto"/>
        <w:rPr>
          <w:sz w:val="20"/>
          <w:szCs w:val="20"/>
          <w:color w:val="auto"/>
        </w:rPr>
      </w:pPr>
      <w:r>
        <w:rPr>
          <w:rFonts w:ascii="Arial" w:cs="Arial" w:eastAsia="Arial" w:hAnsi="Arial"/>
          <w:sz w:val="17"/>
          <w:szCs w:val="17"/>
          <w:color w:val="auto"/>
        </w:rPr>
        <w:t>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spacing w:after="0" w:line="76"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If CAN-2409, CAN-3110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76"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b w:val="1"/>
          <w:bCs w:val="1"/>
          <w:i w:val="1"/>
          <w:iCs w:val="1"/>
          <w:color w:val="auto"/>
        </w:rPr>
        <w:t>The FDA’s agreement to a Special Protocol Assessment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53"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We have obtained agreement from the FDA on the design and size of our pivotal phase 3 clinical trial of CAN-2409 in newly diagnosed localized prostate cancer in intermediate- and high-risk patients in combination with the standard of care through a Special Protocol Assessment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spacing w:after="0" w:line="8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have subsequently made minor amendments to the protocol and have not obtained an SPA amendment in connection with the amended protocol.</w:t>
      </w:r>
    </w:p>
    <w:p>
      <w:pPr>
        <w:spacing w:after="0" w:line="85"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82"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Moreover, if the FDA revokes or alters its agreement under the SPA, or interprets the data collected from the clinical trial differently than we do, the FDA may not deem the data sufficient to support an application for regulatory approval of CAN-2409 in prostate cancer.</w:t>
      </w:r>
    </w:p>
    <w:p>
      <w:pPr>
        <w:spacing w:after="0" w:line="58" w:lineRule="exact"/>
        <w:rPr>
          <w:sz w:val="20"/>
          <w:szCs w:val="20"/>
          <w:color w:val="auto"/>
        </w:rPr>
      </w:pPr>
    </w:p>
    <w:p>
      <w:pPr>
        <w:jc w:val="both"/>
        <w:ind w:right="200"/>
        <w:spacing w:after="0" w:line="258" w:lineRule="auto"/>
        <w:rPr>
          <w:sz w:val="20"/>
          <w:szCs w:val="20"/>
          <w:color w:val="auto"/>
        </w:rPr>
      </w:pPr>
      <w:r>
        <w:rPr>
          <w:rFonts w:ascii="Arial" w:cs="Arial" w:eastAsia="Arial" w:hAnsi="Arial"/>
          <w:sz w:val="17"/>
          <w:szCs w:val="17"/>
          <w:b w:val="1"/>
          <w:bCs w:val="1"/>
          <w:i w:val="1"/>
          <w:iCs w:val="1"/>
          <w:color w:val="auto"/>
        </w:rPr>
        <w:t>A fast track designation by the FDA, even though granted for CAN-2409, or if received for any other future product candidates, may not lead to a faster development or regulatory review or approval process, and does not increase the likelihood that our product candidates will receive marketing approval.</w:t>
      </w:r>
    </w:p>
    <w:p>
      <w:pPr>
        <w:spacing w:after="0" w:line="5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CAN-2409 for the treatment of localized, primary prostate cancer in combination with radiation therapy to improve the local control rate and with valacyclovir in combination with pembrolizumab in order to improve survival or delay progression in patients with stage III/IV NSCLC who are resistant to first line PD-(L)1 inhibitor therapy and who do not have activating molecular driver mutations. We may also seek fast track designation for CAN-3110 or certain of our future product candidates or for CAN-2409 in additional indications, as appropriate. However, there is no assurance that the FDA will grant this status to CAN-3110, CAN-2409, or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though we have received fast track designation for CAN-2409 and even if we do receive fast track designation for CAN-3110 or any other of our future product candidates or for CAN-2409 in additional indications, we may not experience a</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p>
      <w:pPr>
        <w:ind w:right="120"/>
        <w:spacing w:after="0" w:line="245" w:lineRule="auto"/>
        <w:rPr>
          <w:sz w:val="20"/>
          <w:szCs w:val="20"/>
          <w:color w:val="auto"/>
        </w:rPr>
      </w:pPr>
      <w:r>
        <w:rPr>
          <w:rFonts w:ascii="Arial" w:cs="Arial" w:eastAsia="Arial" w:hAnsi="Arial"/>
          <w:sz w:val="17"/>
          <w:szCs w:val="17"/>
          <w:color w:val="auto"/>
        </w:rPr>
        <w:t>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68"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53"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may seek breakthrough therapy designation for some or all of our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designated as breakthrough therapies by the FDA may also be eligible for other expedited approval programs, including accelerated approval.</w:t>
      </w:r>
    </w:p>
    <w:p>
      <w:pPr>
        <w:spacing w:after="0" w:line="85"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even if one or more of our product candidates qualify as breakthrough therapies, the FDA may later decide that the product no longer meets the conditions for qualification. Thus, even though we may seek breakthrough therapy designation for CAN-2409, CAN-3110 or some or all of our future product candidates for the treatment of various cancers, there can be no assurance that we will receive breakthrough therapy designation.</w:t>
      </w:r>
    </w:p>
    <w:p>
      <w:pPr>
        <w:spacing w:after="0" w:line="74" w:lineRule="exact"/>
        <w:rPr>
          <w:sz w:val="20"/>
          <w:szCs w:val="20"/>
          <w:color w:val="auto"/>
        </w:rPr>
      </w:pPr>
    </w:p>
    <w:p>
      <w:pPr>
        <w:ind w:right="400"/>
        <w:spacing w:after="0" w:line="258" w:lineRule="auto"/>
        <w:rPr>
          <w:sz w:val="20"/>
          <w:szCs w:val="20"/>
          <w:color w:val="auto"/>
        </w:rPr>
      </w:pPr>
      <w:r>
        <w:rPr>
          <w:rFonts w:ascii="Arial" w:cs="Arial" w:eastAsia="Arial" w:hAnsi="Arial"/>
          <w:sz w:val="17"/>
          <w:szCs w:val="17"/>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5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Reform Act of 2022 (FDORA), the FDA is permitted to require, as appropriate,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that the product's accelerated approval will eventually be converted to a traditional FDA approval.</w:t>
      </w:r>
    </w:p>
    <w:p>
      <w:pPr>
        <w:spacing w:after="0" w:line="75"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b w:val="1"/>
          <w:bCs w:val="1"/>
          <w:i w:val="1"/>
          <w:iCs w:val="1"/>
          <w:color w:val="auto"/>
        </w:rPr>
        <w:t>Even if our development efforts are successful, we may not obtain regulatory approval of CAN-2409, CAN-3110 or any future product candidates in the United States or other jurisdictions, which would prevent us from commercializing CAN-2409, CAN-3110 and future product candidates. Even if we obtain regulatory approval for CAN-2409, CAN-3110 and future product candidates, any such approval may be subject to limitations, including with respect to the approved indications or patient populations, which could impair our ability to successfully commercialize CAN-2409, CAN-3110 or any future product candidates.</w:t>
      </w:r>
    </w:p>
    <w:p>
      <w:pPr>
        <w:spacing w:after="0" w:line="63"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are not permitted to market or promote or sell CAN-2409, CAN-3110 or any future product candidates before we receive regulatory approval from the FDA or comparable foreign regulatory authorities, and we may never receive such regulatory 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9" w:name="page60"/>
    <w:bookmarkEnd w:id="59"/>
    <w:p>
      <w:pPr>
        <w:ind w:right="80"/>
        <w:spacing w:after="0" w:line="238" w:lineRule="auto"/>
        <w:rPr>
          <w:sz w:val="20"/>
          <w:szCs w:val="20"/>
          <w:color w:val="auto"/>
        </w:rPr>
      </w:pPr>
      <w:r>
        <w:rPr>
          <w:rFonts w:ascii="Arial" w:cs="Arial" w:eastAsia="Arial" w:hAnsi="Arial"/>
          <w:sz w:val="17"/>
          <w:szCs w:val="17"/>
          <w:color w:val="auto"/>
        </w:rPr>
        <w:t>approval from the FDA and comparable foreign regulatory authorities for any of CAN-2409, CAN-3110 and future product candidates, we will not be able to commercialize such product candidates in the United States or in other jurisdictions. If significant delays in obtaining approval for and commercializing CAN-2409, CAN-3110 and future product candidates occur in any jurisdictions, our business, financial condition, results of operations, stock price and prospects will be materially harmed. Even if CAN-2409, CAN-3110 and future product candidates are approved, they may:</w:t>
      </w:r>
    </w:p>
    <w:p>
      <w:pPr>
        <w:spacing w:after="0" w:line="84" w:lineRule="exact"/>
        <w:rPr>
          <w:sz w:val="20"/>
          <w:szCs w:val="20"/>
          <w:color w:val="auto"/>
        </w:rPr>
      </w:pPr>
    </w:p>
    <w:p>
      <w:pPr>
        <w:ind w:left="1020" w:right="100" w:hanging="503"/>
        <w:spacing w:after="0" w:line="258"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be subject to limitations on the indicated uses or patient populations for which they may be marketed, distribution restrictions, or other conditions of approval;</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 be approved with label statements necessary or desirable for successful commercialization; or</w:t>
      </w:r>
    </w:p>
    <w:p>
      <w:pPr>
        <w:spacing w:after="0" w:line="115" w:lineRule="exact"/>
        <w:rPr>
          <w:rFonts w:ascii="Arial" w:cs="Arial" w:eastAsia="Arial" w:hAnsi="Arial"/>
          <w:sz w:val="17"/>
          <w:szCs w:val="17"/>
          <w:color w:val="auto"/>
        </w:rPr>
      </w:pPr>
    </w:p>
    <w:p>
      <w:pPr>
        <w:ind w:left="1020" w:right="260" w:hanging="503"/>
        <w:spacing w:after="0" w:line="258"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contain requirements for costly post-market testing and surveillance, or other requirements, including the submission of a REMS, to monitor the safety or efficacy of the products.</w:t>
      </w:r>
    </w:p>
    <w:p>
      <w:pPr>
        <w:spacing w:after="0" w:line="66"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We have not previously submitted a Biologics License Application (BLA), to the FDA, or a similar marketing application to comparable foreign regulatory authorities, for CAN-2409, CAN-3110 or any product candidate, and we can provide no assurance that we will ultimately be successful in obtaining regulatory approval for claims that are necessary or desirable for successful marketing, if at all.</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product candidate manufacturing or formulation may result in additional costs or delay.</w:t>
      </w:r>
    </w:p>
    <w:p>
      <w:pPr>
        <w:spacing w:after="0" w:line="11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CAN-2409, CAN-3110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 require the repetition of one or more clinical trials, increase clinical trial costs, delay approval of CAN-2409, CAN-3110 and future product candidates and jeopardize our ability to commence product sales and generate revenue.</w:t>
      </w:r>
    </w:p>
    <w:p>
      <w:pPr>
        <w:spacing w:after="0" w:line="78"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8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federal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A potential U.S. federal government shutdown may also increase uncertainty and volatility in the global economy and financial markets, which could negatively impact our business. Further, future government shutdowns could impact our ability to access the public markets and obtain necessary capital in order to properly capitalize and continue our operations.</w:t>
      </w:r>
    </w:p>
    <w:p>
      <w:pPr>
        <w:spacing w:after="0" w:line="74" w:lineRule="exact"/>
        <w:rPr>
          <w:sz w:val="20"/>
          <w:szCs w:val="20"/>
          <w:color w:val="auto"/>
        </w:rPr>
      </w:pPr>
    </w:p>
    <w:p>
      <w:pPr>
        <w:jc w:val="both"/>
        <w:ind w:right="120"/>
        <w:spacing w:after="0" w:line="285" w:lineRule="auto"/>
        <w:rPr>
          <w:sz w:val="20"/>
          <w:szCs w:val="20"/>
          <w:color w:val="auto"/>
        </w:rPr>
      </w:pPr>
      <w:r>
        <w:rPr>
          <w:rFonts w:ascii="Arial" w:cs="Arial" w:eastAsia="Arial" w:hAnsi="Arial"/>
          <w:sz w:val="17"/>
          <w:szCs w:val="17"/>
          <w:b w:val="1"/>
          <w:bCs w:val="1"/>
          <w:i w:val="1"/>
          <w:iCs w:val="1"/>
          <w:color w:val="auto"/>
        </w:rPr>
        <w:t>Even if CAN-2409, CAN-3110 or any future product candidates receive regulatory approval, we will be subject to ongoing obligations and continued regulatory review, which may result in significant additional expense and limit how we manufacture and market our products.</w:t>
      </w:r>
    </w:p>
    <w:p>
      <w:pPr>
        <w:spacing w:after="0" w:line="3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Any product candidate for which we may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 that we conduct post-approval.</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60" w:name="page61"/>
    <w:bookmarkEnd w:id="60"/>
    <w:p>
      <w:pPr>
        <w:ind w:right="40"/>
        <w:spacing w:after="0" w:line="238" w:lineRule="auto"/>
        <w:rPr>
          <w:sz w:val="20"/>
          <w:szCs w:val="20"/>
          <w:color w:val="auto"/>
        </w:rPr>
      </w:pPr>
      <w:r>
        <w:rPr>
          <w:rFonts w:ascii="Arial" w:cs="Arial" w:eastAsia="Arial" w:hAnsi="Arial"/>
          <w:sz w:val="17"/>
          <w:szCs w:val="17"/>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CAN-2409, CAN-3110 and future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8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We and any of our suppliers or collaborators, including our CMOs,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spacing w:after="0" w:line="84"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spacing w:after="0" w:line="76"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restrictions on manufacturing, distribution, or marketing of such products;</w:t>
      </w:r>
    </w:p>
    <w:p>
      <w:pPr>
        <w:spacing w:after="0" w:line="115" w:lineRule="exact"/>
        <w:rPr>
          <w:rFonts w:ascii="Arial" w:cs="Arial" w:eastAsia="Arial" w:hAnsi="Arial"/>
          <w:sz w:val="17"/>
          <w:szCs w:val="17"/>
          <w:color w:val="auto"/>
        </w:rPr>
      </w:pPr>
    </w:p>
    <w:p>
      <w:pPr>
        <w:ind w:left="1020" w:right="600" w:hanging="503"/>
        <w:spacing w:after="0" w:line="25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restrictions on the labeling, including required additional warnings, such as boxed warnings, contraindications, precautions, and restrictions on the approved indication or use;</w:t>
      </w:r>
    </w:p>
    <w:p>
      <w:pPr>
        <w:spacing w:after="0" w:line="65" w:lineRule="exact"/>
        <w:rPr>
          <w:rFonts w:ascii="Arial" w:cs="Arial" w:eastAsia="Arial" w:hAnsi="Arial"/>
          <w:sz w:val="17"/>
          <w:szCs w:val="17"/>
          <w:color w:val="auto"/>
        </w:rPr>
      </w:pPr>
    </w:p>
    <w:p>
      <w:pPr>
        <w:ind w:left="1020" w:right="900" w:hanging="503"/>
        <w:spacing w:after="0" w:line="25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modifications to promotional pieces;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issuance of corrective information;</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requirements to conduct post-marketing studies or other clinical trials;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clinical holds or termination of clinical trials;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requirements to establish or modify a REMS or similar strategy;</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to the way the product is administered to patients;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liability for harm caused to patients or subjects;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reputational harm;</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product becoming less competitive;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warning or untitled letters;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suspension of marketing or withdrawal of the products from the market;</w:t>
      </w:r>
    </w:p>
    <w:p>
      <w:pPr>
        <w:spacing w:after="0" w:line="115" w:lineRule="exact"/>
        <w:rPr>
          <w:rFonts w:ascii="Arial" w:cs="Arial" w:eastAsia="Arial" w:hAnsi="Arial"/>
          <w:sz w:val="17"/>
          <w:szCs w:val="17"/>
          <w:color w:val="auto"/>
        </w:rPr>
      </w:pPr>
    </w:p>
    <w:p>
      <w:pPr>
        <w:ind w:left="1020" w:right="320" w:hanging="503"/>
        <w:spacing w:after="0" w:line="25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product;</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recalls of products;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refusal to permit the import or export of our products;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product seizure or detention;</w:t>
      </w:r>
    </w:p>
    <w:p>
      <w:pPr>
        <w:spacing w:after="0" w:line="115" w:lineRule="exact"/>
        <w:rPr>
          <w:rFonts w:ascii="Arial" w:cs="Arial" w:eastAsia="Arial" w:hAnsi="Arial"/>
          <w:sz w:val="17"/>
          <w:szCs w:val="17"/>
          <w:color w:val="auto"/>
        </w:rPr>
      </w:pPr>
    </w:p>
    <w:p>
      <w:pPr>
        <w:ind w:left="1020" w:right="240" w:hanging="503"/>
        <w:spacing w:after="0" w:line="25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injunctions or the imposition of civil, criminal or administrative penalties, including imprisonment.</w:t>
      </w:r>
    </w:p>
    <w:p>
      <w:pPr>
        <w:spacing w:after="0" w:line="115"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Any of these events could prevent us from achieving or maintaining market acceptance of any particular product or could substantially increase the costs and expenses of commercializing such product, which in turn could delay or prevent us from</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1" w:name="page62"/>
    <w:bookmarkEnd w:id="61"/>
    <w:p>
      <w:pPr>
        <w:ind w:right="600"/>
        <w:spacing w:after="0" w:line="258" w:lineRule="auto"/>
        <w:rPr>
          <w:sz w:val="20"/>
          <w:szCs w:val="20"/>
          <w:color w:val="auto"/>
        </w:rPr>
      </w:pPr>
      <w:r>
        <w:rPr>
          <w:rFonts w:ascii="Arial" w:cs="Arial" w:eastAsia="Arial" w:hAnsi="Arial"/>
          <w:sz w:val="17"/>
          <w:szCs w:val="17"/>
          <w:color w:val="auto"/>
        </w:rPr>
        <w:t>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66"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spacing w:after="0" w:line="76" w:lineRule="exact"/>
        <w:rPr>
          <w:sz w:val="20"/>
          <w:szCs w:val="20"/>
          <w:color w:val="auto"/>
        </w:rPr>
      </w:pPr>
    </w:p>
    <w:p>
      <w:pPr>
        <w:spacing w:after="0" w:line="249" w:lineRule="auto"/>
        <w:rPr>
          <w:sz w:val="20"/>
          <w:szCs w:val="20"/>
          <w:color w:val="auto"/>
        </w:rPr>
      </w:pPr>
      <w:r>
        <w:rPr>
          <w:rFonts w:ascii="Arial" w:cs="Arial" w:eastAsia="Arial" w:hAnsi="Arial"/>
          <w:sz w:val="17"/>
          <w:szCs w:val="17"/>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6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CAN-2409, CAN-3110 and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spacing w:after="0" w:line="86"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8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If we are found to have impermissibly promoted any of CAN-2409, CAN-3110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9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the United States, the promotion of biopharmaceutical products is subject to additional FDA requirements and restrictions on promotional statements. If, after CAN-2409, CAN-3110 or any future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regulatory and enforcement actions, our business, financial condition, results of operations, stock price and prospects will be materially harmed.</w:t>
      </w:r>
    </w:p>
    <w:p>
      <w:pPr>
        <w:spacing w:after="0" w:line="94" w:lineRule="exact"/>
        <w:rPr>
          <w:sz w:val="20"/>
          <w:szCs w:val="20"/>
          <w:color w:val="auto"/>
        </w:rPr>
      </w:pPr>
    </w:p>
    <w:p>
      <w:pPr>
        <w:ind w:right="180"/>
        <w:spacing w:after="0" w:line="285" w:lineRule="auto"/>
        <w:rPr>
          <w:sz w:val="20"/>
          <w:szCs w:val="20"/>
          <w:color w:val="auto"/>
        </w:rPr>
      </w:pPr>
      <w:r>
        <w:rPr>
          <w:rFonts w:ascii="Arial" w:cs="Arial" w:eastAsia="Arial" w:hAnsi="Arial"/>
          <w:sz w:val="17"/>
          <w:szCs w:val="17"/>
          <w:b w:val="1"/>
          <w:bCs w:val="1"/>
          <w:i w:val="1"/>
          <w:iCs w:val="1"/>
          <w:color w:val="auto"/>
        </w:rPr>
        <w:t>We may not be able to file INDs or IND amendments to commence additional clinical trials on the timelines we expect, and even if we are able to, the FDA or a comparable foreign regulatory may not permit us to proceed.</w:t>
      </w:r>
    </w:p>
    <w:p>
      <w:pPr>
        <w:spacing w:after="0" w:line="3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FDA or comparable foreign regulatory authorities may require us to file separate INDs for additional clinical trials we plan to conduct with our current lead product candidates, CAN-2409 and CAN-3110. We may not be able to file any additional INDs required for our current product candidates and any future product candidates on the timelines we expect. For example, we may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spacing w:after="0" w:line="76"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b w:val="1"/>
          <w:bCs w:val="1"/>
          <w:i w:val="1"/>
          <w:iCs w:val="1"/>
          <w:color w:val="auto"/>
        </w:rPr>
        <w:t>If approved, our investigational products regulated as biologics may face competition from biosimilars approved through an abbreviated regulatory pathway.</w:t>
      </w:r>
    </w:p>
    <w:p>
      <w:pPr>
        <w:spacing w:after="0" w:line="3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 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2"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70"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b w:val="1"/>
          <w:bCs w:val="1"/>
          <w:i w:val="1"/>
          <w:i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 candidates, because the potential target populations could be small, we may never achieve profitability without obtaining regulatory approval for additional indications.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 may have a material adverse effect on our business and results of operations.</w:t>
      </w:r>
    </w:p>
    <w:p>
      <w:pPr>
        <w:spacing w:after="0" w:line="110"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3" w:name="page64"/>
    <w:bookmarkEnd w:id="63"/>
    <w:p>
      <w:pPr>
        <w:ind w:right="20"/>
        <w:spacing w:after="0" w:line="238" w:lineRule="auto"/>
        <w:rPr>
          <w:sz w:val="20"/>
          <w:szCs w:val="20"/>
          <w:color w:val="auto"/>
        </w:rPr>
      </w:pPr>
      <w:r>
        <w:rPr>
          <w:rFonts w:ascii="Arial" w:cs="Arial" w:eastAsia="Arial" w:hAnsi="Arial"/>
          <w:sz w:val="17"/>
          <w:szCs w:val="17"/>
          <w:color w:val="auto"/>
        </w:rPr>
        <w:t>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For more information, see “</w:t>
      </w:r>
      <w:r>
        <w:rPr>
          <w:rFonts w:ascii="Arial" w:cs="Arial" w:eastAsia="Arial" w:hAnsi="Arial"/>
          <w:sz w:val="17"/>
          <w:szCs w:val="17"/>
          <w:i w:val="1"/>
          <w:iCs w:val="1"/>
          <w:color w:val="auto"/>
        </w:rPr>
        <w:t>Business – Government Regulations – Healthcare Reform</w:t>
      </w:r>
      <w:r>
        <w:rPr>
          <w:rFonts w:ascii="Arial" w:cs="Arial" w:eastAsia="Arial" w:hAnsi="Arial"/>
          <w:sz w:val="17"/>
          <w:szCs w:val="17"/>
          <w:color w:val="auto"/>
        </w:rPr>
        <w:t>” in our annual report on Form 10-K for the year ended December 31, 2022.</w:t>
      </w:r>
    </w:p>
    <w:p>
      <w:pPr>
        <w:spacing w:after="0" w:line="84"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payers of healthcare services to contain or reduce costs of healthcare may adversely affect:</w:t>
      </w:r>
    </w:p>
    <w:p>
      <w:pPr>
        <w:spacing w:after="0" w:line="66"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demand for any of our product candidates, if approved;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ability to set a price that we believe is fair for any of our product candidates, if approved;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generate revenues and achieve or maintain profitability;</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level of taxes that we are required to pay;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availability of capital.</w:t>
      </w:r>
    </w:p>
    <w:p>
      <w:pPr>
        <w:spacing w:after="0" w:line="115"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8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The Inflation Reduction Act of 2022 (the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86"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In addition,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8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6"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53"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We do not currently have a sales or marketing infrastructure and have limited experience in the sales, marketing, patient support or distribution of products. To achieve commercial success for any approved product candidate for which we retain sales and marketing responsibilities, we must build our sales, marketing, patient support, managerial and other non-technical capabilities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4" w:name="page65"/>
    <w:bookmarkEnd w:id="64"/>
    <w:p>
      <w:pPr>
        <w:ind w:right="60"/>
        <w:spacing w:after="0" w:line="245" w:lineRule="auto"/>
        <w:rPr>
          <w:sz w:val="20"/>
          <w:szCs w:val="20"/>
          <w:color w:val="auto"/>
        </w:rPr>
      </w:pPr>
      <w:r>
        <w:rPr>
          <w:rFonts w:ascii="Arial" w:cs="Arial" w:eastAsia="Arial" w:hAnsi="Arial"/>
          <w:sz w:val="17"/>
          <w:szCs w:val="17"/>
          <w:color w:val="auto"/>
        </w:rPr>
        <w:t>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7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current or future product candidates on our own include:</w:t>
      </w:r>
    </w:p>
    <w:p>
      <w:pPr>
        <w:spacing w:after="0" w:line="102"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use any future products;</w:t>
      </w:r>
    </w:p>
    <w:p>
      <w:pPr>
        <w:spacing w:after="0" w:line="115" w:lineRule="exact"/>
        <w:rPr>
          <w:rFonts w:ascii="Arial" w:cs="Arial" w:eastAsia="Arial" w:hAnsi="Arial"/>
          <w:sz w:val="17"/>
          <w:szCs w:val="17"/>
          <w:color w:val="auto"/>
        </w:rPr>
      </w:pPr>
    </w:p>
    <w:p>
      <w:pPr>
        <w:ind w:left="1020" w:right="500" w:hanging="503"/>
        <w:spacing w:after="0" w:line="258"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15"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74"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30"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The degree of market acceptance of any approved product would depend on a number of factors, including:</w:t>
      </w:r>
    </w:p>
    <w:p>
      <w:pPr>
        <w:spacing w:after="0" w:line="82"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efficacy, safety and tolerability as demonstrated in clinical trials;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timing of market introduction of such product candidate as well as competitive products;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clinical indications for which the product is approved;</w:t>
      </w:r>
    </w:p>
    <w:p>
      <w:pPr>
        <w:spacing w:after="0" w:line="115" w:lineRule="exact"/>
        <w:rPr>
          <w:rFonts w:ascii="Arial" w:cs="Arial" w:eastAsia="Arial" w:hAnsi="Arial"/>
          <w:sz w:val="17"/>
          <w:szCs w:val="17"/>
          <w:color w:val="auto"/>
        </w:rPr>
      </w:pPr>
    </w:p>
    <w:p>
      <w:pPr>
        <w:ind w:left="1020" w:right="120" w:hanging="503"/>
        <w:spacing w:after="0" w:line="258"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acceptance by physicians, major operators of cancer or neurology clinics and patients of the product as a safe, tolerable and effective treatment;</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potential and perceived advantages of the product candidate over alternative treatments;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safety and tolerability of the product candidate in a broader patient group;</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cost of treatment in relation to alternative treatments;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availability of adequate reimbursement by third party payors and government authorities;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regulatory requirements by government authorities for the product candidate;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prevalence and severity of side effects and adverse events;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effectiveness of our sales and marketing efforts;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favorable or unfavorable publicity relating to the product or relating to the Company.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5" w:name="page66"/>
    <w:bookmarkEnd w:id="65"/>
    <w:p>
      <w:pPr>
        <w:ind w:right="20"/>
        <w:spacing w:after="0" w:line="245"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develop additional product candidates, our commercial opportunity could be limited.</w:t>
      </w:r>
    </w:p>
    <w:p>
      <w:pPr>
        <w:spacing w:after="0" w:line="1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expect initially to develop our lead product candidates, CAN-2409 and CAN-3110. A key part of our strategy, however, is to pursue clinical development of additional product candidates.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spacing w:after="0" w:line="83"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76"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5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Although we do not currently have any drugs on the market, if we begin commercializing our current or future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w:t>
      </w:r>
    </w:p>
    <w:p>
      <w:pPr>
        <w:spacing w:after="0" w:line="85"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potential liability if we obtain identifiable patient health information from clinical trials sponsored by us.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232"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spacing w:after="0" w:line="76"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The GDPR imposes stringent requirements for controllers and processors of personal data of individuals within the European Economic Area (the EEA) or the UK. The GDPR applies to any company established in the EEA or UK as well as to those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6" w:name="page67"/>
    <w:bookmarkEnd w:id="66"/>
    <w:p>
      <w:pPr>
        <w:spacing w:after="0" w:line="234" w:lineRule="auto"/>
        <w:rPr>
          <w:sz w:val="20"/>
          <w:szCs w:val="20"/>
          <w:color w:val="auto"/>
        </w:rPr>
      </w:pPr>
      <w:r>
        <w:rPr>
          <w:rFonts w:ascii="Arial" w:cs="Arial" w:eastAsia="Arial" w:hAnsi="Arial"/>
          <w:sz w:val="17"/>
          <w:szCs w:val="17"/>
          <w:color w:val="auto"/>
        </w:rPr>
        <w:t>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8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GDPR also imposes restrictions in relation to the international transfer of personal data from the EEA and UK and other countries in respect of which the European Commission or the UK government has not issued a so-called “adequacy decision” or “ adequacy regulation” (known as “third countries”), unless the parties to the transfer have implemented specific safeguards to protect the transferred personal data. This includes putting in place the European 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 The EU Standard Contractual Clauses had to be in place by December 27, 2022, whereas the IDTA must be implemented in all existing contracts March 21, 2024. Finalizing the implementation of the updated Standard Contractual Clauses and UK IDTA, and conducting the required risk assessments, may continue to necessitate significant contractual overhaul of our data transfer arrangements with customers, sub-processors and vendors.</w:t>
      </w:r>
    </w:p>
    <w:p>
      <w:pPr>
        <w:spacing w:after="0" w:line="8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w:t>
      </w:r>
    </w:p>
    <w:p>
      <w:pPr>
        <w:spacing w:after="0" w:line="8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In addition, governments in the United States are increasingly passing stringent privacy laws. California recently enacted and has proposed companion regulations to the California Consumer Privacy Act (CCPA), which went into effect January 1, 2020. The CCPA creates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As of March 28, 2020, the California State Attorney General has proposed varying versions of companion draft regulations which are not yet finalized. Despite the delay in adopting regulations, the California State Attorney General commenced enforcement actions against violators on July 1, 2020. While there are currently exceptions for protected health information that is subject to HIPAA and clinical trial regulations, as currently written, the CCPA may impact our business activities. On August 14, 2020, implementing regulations were finalized and became effective as of that date. While clinical trial data and information governed by HIPAA are currently exempt from the current version of the CCPA, other personal information may be applicable and possible changes to the CCPA may broaden its scope. We continue to monitor the impact the CCPA may have on our business activities.</w:t>
      </w:r>
    </w:p>
    <w:p>
      <w:pPr>
        <w:spacing w:after="0" w:line="89"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84"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Also, on March 2, 2021, Virginia enacted the Consumer Data Protection Act (CDPA). The CDPA will become effective January 1, 2023. The CDPA will regulate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7" w:name="page68"/>
    <w:bookmarkEnd w:id="67"/>
    <w:p>
      <w:pPr>
        <w:ind w:right="80"/>
        <w:spacing w:after="0" w:line="237" w:lineRule="auto"/>
        <w:rPr>
          <w:sz w:val="20"/>
          <w:szCs w:val="20"/>
          <w:color w:val="auto"/>
        </w:rPr>
      </w:pPr>
      <w:r>
        <w:rPr>
          <w:rFonts w:ascii="Arial" w:cs="Arial" w:eastAsia="Arial" w:hAnsi="Arial"/>
          <w:sz w:val="17"/>
          <w:szCs w:val="17"/>
          <w:color w:val="auto"/>
        </w:rPr>
        <w:t>personal data to affiliates, and respond to consumer rights requests. In addition, on July 8, 2021, Colorado’s governor signed the Colorado Privacy Act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 (1) 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p>
    <w:p>
      <w:pPr>
        <w:spacing w:after="0" w:line="8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Moreover, on March 24, 2022, Utah’s governor signed the Utah Consumer Privacy Act (UCPA) into law. The UCPA will take effect on December 31, 2023. Also, in May 2022, Connecticut Governor Lamont signed the Connecticut Data Privacy Act (CTDPA) into laws. The UCPA and CTDPA draw heavily upon their predecessors in Virginia and Colorado. With the CTDPA, Connecticut became the fifth state to enact a comprehensive privacy law.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86"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8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85"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If we or third-party contract research organizations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2"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Additionally, we are subject to other state and foreign equivalents of each of the healthcare laws described above, among others, some of which may be broader in scope and may apply regardless of the payor.</w:t>
      </w:r>
    </w:p>
    <w:p>
      <w:pPr>
        <w:spacing w:after="0" w:line="70" w:lineRule="exact"/>
        <w:rPr>
          <w:sz w:val="20"/>
          <w:szCs w:val="20"/>
          <w:color w:val="auto"/>
        </w:rPr>
      </w:pPr>
    </w:p>
    <w:p>
      <w:pPr>
        <w:ind w:right="360"/>
        <w:spacing w:after="0" w:line="285"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0"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Managing Growth and General Business Operations</w:t>
      </w:r>
    </w:p>
    <w:p>
      <w:pPr>
        <w:spacing w:after="0" w:line="102"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b w:val="1"/>
          <w:bCs w:val="1"/>
          <w:i w:val="1"/>
          <w:iCs w:val="1"/>
          <w:color w:val="auto"/>
        </w:rPr>
        <w:t>Any future public health crisis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any future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8" w:name="page69"/>
    <w:bookmarkEnd w:id="68"/>
    <w:p>
      <w:pPr>
        <w:ind w:right="300"/>
        <w:spacing w:after="0" w:line="285" w:lineRule="auto"/>
        <w:rPr>
          <w:sz w:val="20"/>
          <w:szCs w:val="20"/>
          <w:color w:val="auto"/>
        </w:rPr>
      </w:pPr>
      <w:r>
        <w:rPr>
          <w:rFonts w:ascii="Arial" w:cs="Arial" w:eastAsia="Arial" w:hAnsi="Arial"/>
          <w:sz w:val="17"/>
          <w:szCs w:val="17"/>
          <w:b w:val="1"/>
          <w:bCs w:val="1"/>
          <w:i w:val="1"/>
          <w:iCs w:val="1"/>
          <w:color w:val="auto"/>
        </w:rPr>
        <w:t>public health crisis may cause substantial disruption in the financial markets and may adversely impact economies worldwide, both of which could result in adverse effects on our business, operations and ability to raise capital.</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Any future public health crisis may cause governments to implement measures to slow the spread of the public health crisis through quarantines, travel restrictions, heightened border scrutiny and other measures. Government measures taken in response to any future public health crisis may also have a significant impact, both directly and indirectly, on businesses and commerce, as worker shortages may occur; supply chains may be disrupted; facilities and production may be suspended; and demand for certain goods and services, such as medical services and supplies, may spike, while demand for other goods and services, such as travel may fall. The extent to which any future public health crisis may in the future have an impact on our operations or those of the third parties on which we rely depends on many factors, which are highly uncertain and cannot be predicted with confidence. Additionally, the conduct of our clinical trials, preclinical studies and manufacturing activities is dependent upon the availability of clinical trial sites, CROs, CMOs, researchers and investigators, regulatory agency personnel and logistics providers, all of which may in the future be adversely affected by any future public health crisis.</w:t>
      </w:r>
    </w:p>
    <w:p>
      <w:pPr>
        <w:spacing w:after="0" w:line="86"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Any negative impact that any future public health crisis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spacing w:after="0" w:line="82" w:lineRule="exact"/>
        <w:rPr>
          <w:sz w:val="20"/>
          <w:szCs w:val="20"/>
          <w:color w:val="auto"/>
        </w:rPr>
      </w:pPr>
    </w:p>
    <w:p>
      <w:pPr>
        <w:jc w:val="both"/>
        <w:ind w:right="180"/>
        <w:spacing w:after="0" w:line="245" w:lineRule="auto"/>
        <w:rPr>
          <w:sz w:val="20"/>
          <w:szCs w:val="20"/>
          <w:color w:val="auto"/>
        </w:rPr>
      </w:pPr>
      <w:r>
        <w:rPr>
          <w:rFonts w:ascii="Arial" w:cs="Arial" w:eastAsia="Arial" w:hAnsi="Arial"/>
          <w:sz w:val="17"/>
          <w:szCs w:val="17"/>
          <w:color w:val="auto"/>
        </w:rPr>
        <w:t>Any future public health crisis may cause disruptions in the future, which could adversely impact our ability to raise additional funds through public offerings or private placements and may also impact the volatility of our stock price and trading in our stock. Moreover, it is possible that any future public health crisis could impact economies worldwide, which could result in adverse effects on our business and operations.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110"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8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81" w:lineRule="exact"/>
        <w:rPr>
          <w:sz w:val="20"/>
          <w:szCs w:val="20"/>
          <w:color w:val="auto"/>
        </w:rPr>
      </w:pPr>
    </w:p>
    <w:p>
      <w:pPr>
        <w:ind w:right="520"/>
        <w:spacing w:after="0" w:line="285" w:lineRule="auto"/>
        <w:rPr>
          <w:sz w:val="20"/>
          <w:szCs w:val="20"/>
          <w:color w:val="auto"/>
        </w:rPr>
      </w:pPr>
      <w:r>
        <w:rPr>
          <w:rFonts w:ascii="Arial" w:cs="Arial" w:eastAsia="Arial" w:hAnsi="Arial"/>
          <w:sz w:val="17"/>
          <w:szCs w:val="17"/>
          <w:b w:val="1"/>
          <w:bCs w:val="1"/>
          <w:i w:val="1"/>
          <w:iCs w:val="1"/>
          <w:color w:val="auto"/>
        </w:rPr>
        <w:t>We expect to expand our development, manufacturing and regulatory capabilities and potentially implement sales, marketing and distribution capabilities, and as a result, we may encounter difficulties in managing our growth, which could disrupt our operations.</w:t>
      </w:r>
    </w:p>
    <w:p>
      <w:pPr>
        <w:spacing w:after="0" w:line="3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use of social media platforms presents new risks and challenges.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4" w:right="359" w:bottom="1440" w:gutter="0" w:footer="0" w:header="0"/>
        </w:sectPr>
      </w:pPr>
    </w:p>
    <w:bookmarkStart w:id="69" w:name="page70"/>
    <w:bookmarkEnd w:id="69"/>
    <w:p>
      <w:pPr>
        <w:ind w:right="20"/>
        <w:spacing w:after="0" w:line="234" w:lineRule="auto"/>
        <w:rPr>
          <w:sz w:val="20"/>
          <w:szCs w:val="20"/>
          <w:color w:val="auto"/>
        </w:rPr>
      </w:pPr>
      <w:r>
        <w:rPr>
          <w:rFonts w:ascii="Arial" w:cs="Arial" w:eastAsia="Arial" w:hAnsi="Arial"/>
          <w:sz w:val="17"/>
          <w:szCs w:val="17"/>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spacing w:after="0" w:line="79" w:lineRule="exact"/>
        <w:rPr>
          <w:sz w:val="20"/>
          <w:szCs w:val="20"/>
          <w:color w:val="auto"/>
        </w:rPr>
      </w:pPr>
    </w:p>
    <w:p>
      <w:pPr>
        <w:ind w:right="180"/>
        <w:spacing w:after="0" w:line="285"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that we may use in the future, or other contractors or consultants, may fail or suffer security breaches, which could result in a material disruption of our product candidates’ development programs.</w:t>
      </w:r>
    </w:p>
    <w:p>
      <w:pPr>
        <w:spacing w:after="0" w:line="3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 In addition, our liability and cyber insurance may not be sufficient in type or amount to cover us against claims related to security breaches, cyber-attacks or other related liabilities.</w:t>
      </w:r>
    </w:p>
    <w:p>
      <w:pPr>
        <w:spacing w:after="0" w:line="8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Cyberattacks are increasing in their frequency, sophistication, and intensity, and are becoming increasingly difficult to detect. They are often carried out by well-resourced and skilled parties, including nation states, organized crime groups, “hacktivists” and employees or contractors acting carelessly or with malicious intent. Cyber-attacks include deployment of harmful malware and key loggers, ransomware, denial-of-service attacks, malicious websites, the use of social engineering,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breach. Our business partners face similar risks, and any security breach of their systems could adversely affect our security.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cyber-attack is increased with employees working remotely. Remote work increases the risk we may be vulnerable to cybersecurity-related events such as phishing attacks and other security threats.</w:t>
      </w:r>
    </w:p>
    <w:p>
      <w:pPr>
        <w:spacing w:after="0" w:line="74"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b w:val="1"/>
          <w:bCs w:val="1"/>
          <w:i w:val="1"/>
          <w:iCs w:val="1"/>
          <w:color w:val="auto"/>
        </w:rPr>
        <w:t>Our operations or those of the third parties upon whom we depend might be affected by the occurrence of a natural disaster, pandemic, war or other catastrophic event.</w:t>
      </w:r>
    </w:p>
    <w:p>
      <w:pPr>
        <w:spacing w:after="0" w:line="3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For example, in late February 2022, Russian military forces launched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In addition, in October 2023, Hamas launched an attack on Israel, and Israel declared war on Hamas, with the armed conflict ongoing as of the date of this filing. The effects of disruptive events could affect the global economy and financial and commodities markets in ways that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0" w:name="page71"/>
    <w:bookmarkEnd w:id="70"/>
    <w:p>
      <w:pPr>
        <w:ind w:right="40"/>
        <w:spacing w:after="0"/>
        <w:rPr>
          <w:sz w:val="20"/>
          <w:szCs w:val="20"/>
          <w:color w:val="auto"/>
        </w:rPr>
      </w:pPr>
      <w:r>
        <w:rPr>
          <w:rFonts w:ascii="Arial" w:cs="Arial" w:eastAsia="Arial" w:hAnsi="Arial"/>
          <w:sz w:val="17"/>
          <w:szCs w:val="17"/>
          <w:color w:val="auto"/>
        </w:rPr>
        <w:t>cannot necessarily be foreseen at the present time.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or CROs, regulatory agencies or other parties with which we are engaged could have a significant negative impact on our operations and financial performance.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1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6"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b w:val="1"/>
          <w:bCs w:val="1"/>
          <w:i w:val="1"/>
          <w:iCs w:val="1"/>
          <w:color w:val="auto"/>
        </w:rPr>
        <w:t>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spacing w:after="0" w:line="53" w:lineRule="exact"/>
        <w:rPr>
          <w:sz w:val="20"/>
          <w:szCs w:val="20"/>
          <w:color w:val="auto"/>
        </w:rPr>
      </w:pPr>
    </w:p>
    <w:p>
      <w:pPr>
        <w:jc w:val="both"/>
        <w:ind w:right="280"/>
        <w:spacing w:after="0"/>
        <w:rPr>
          <w:sz w:val="20"/>
          <w:szCs w:val="20"/>
          <w:color w:val="auto"/>
        </w:rPr>
      </w:pPr>
      <w:r>
        <w:rPr>
          <w:rFonts w:ascii="Arial" w:cs="Arial" w:eastAsia="Arial" w:hAnsi="Arial"/>
          <w:sz w:val="17"/>
          <w:szCs w:val="17"/>
          <w:color w:val="auto"/>
        </w:rPr>
        <w:t>We are subject to the requirements of the Sarbanes-Oxley Act and the applicable SEC rules and regulations that require an annual management report on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8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cannot assure you that we will not identify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 identified in our internal control over financial reporting, or if we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74"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5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85"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 over financial reporting. Material weaknesses in our internal control over financial reporting may go undetected and could lead to financial statement restatements and require us to incur the expense of remediation, which could have a negative effect on the trading price of our stock.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Compliance Matters</w:t>
      </w:r>
    </w:p>
    <w:p>
      <w:pPr>
        <w:spacing w:after="0" w:line="102"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1" w:name="page72"/>
    <w:bookmarkEnd w:id="71"/>
    <w:p>
      <w:pPr>
        <w:ind w:right="140"/>
        <w:spacing w:after="0" w:line="235" w:lineRule="auto"/>
        <w:rPr>
          <w:sz w:val="20"/>
          <w:szCs w:val="20"/>
          <w:color w:val="auto"/>
        </w:rPr>
      </w:pPr>
      <w:r>
        <w:rPr>
          <w:rFonts w:ascii="Arial" w:cs="Arial" w:eastAsia="Arial" w:hAnsi="Arial"/>
          <w:sz w:val="17"/>
          <w:szCs w:val="17"/>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84"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loss of revenue from decreased demand for our products and/or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impairment of our business reputation or financial stability;</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costs of related litigation;</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substantial monetary awards to patients or other claimants;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diversion of management attention;</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inability to commercialize our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significant negative media attention;</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decreases in our stock price;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initiation of investigations and enforcement actions by regulators;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 including withdrawal of marketing approval.</w:t>
      </w:r>
    </w:p>
    <w:p>
      <w:pPr>
        <w:spacing w:after="0" w:line="11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76" w:lineRule="exact"/>
        <w:rPr>
          <w:sz w:val="20"/>
          <w:szCs w:val="20"/>
          <w:color w:val="auto"/>
        </w:rPr>
      </w:pPr>
    </w:p>
    <w:p>
      <w:pPr>
        <w:spacing w:after="0" w:line="249" w:lineRule="auto"/>
        <w:rPr>
          <w:sz w:val="20"/>
          <w:szCs w:val="20"/>
          <w:color w:val="auto"/>
        </w:rPr>
      </w:pPr>
      <w:r>
        <w:rPr>
          <w:rFonts w:ascii="Arial" w:cs="Arial" w:eastAsia="Arial" w:hAnsi="Arial"/>
          <w:sz w:val="17"/>
          <w:szCs w:val="17"/>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6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2"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spacing w:after="0" w:line="8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2" w:name="page73"/>
    <w:bookmarkEnd w:id="72"/>
    <w:p>
      <w:pPr>
        <w:ind w:right="240"/>
        <w:spacing w:after="0" w:line="245" w:lineRule="auto"/>
        <w:rPr>
          <w:sz w:val="20"/>
          <w:szCs w:val="20"/>
          <w:color w:val="auto"/>
        </w:rPr>
      </w:pPr>
      <w:r>
        <w:rPr>
          <w:rFonts w:ascii="Arial" w:cs="Arial" w:eastAsia="Arial" w:hAnsi="Arial"/>
          <w:sz w:val="17"/>
          <w:szCs w:val="17"/>
          <w:color w:val="auto"/>
        </w:rPr>
        <w:t>and legal expenses, which could have an adverse impact on our business, financial condition, results of operations, stock price and prospects. Likewise, any investigation of any potential violations of these anti-corruption laws or trade control laws by United States or other authorities could also have an adverse impact on our reputation, our business, financial condition, results of operations, stock price and prospects.</w:t>
      </w:r>
    </w:p>
    <w:p>
      <w:pPr>
        <w:spacing w:after="0" w:line="68"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5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 For more information, see “</w:t>
      </w:r>
      <w:r>
        <w:rPr>
          <w:rFonts w:ascii="Arial" w:cs="Arial" w:eastAsia="Arial" w:hAnsi="Arial"/>
          <w:sz w:val="17"/>
          <w:szCs w:val="17"/>
          <w:i w:val="1"/>
          <w:iCs w:val="1"/>
          <w:color w:val="auto"/>
        </w:rPr>
        <w:t>Business –</w:t>
      </w:r>
      <w:r>
        <w:rPr>
          <w:rFonts w:ascii="Arial" w:cs="Arial" w:eastAsia="Arial" w:hAnsi="Arial"/>
          <w:sz w:val="17"/>
          <w:szCs w:val="17"/>
          <w:color w:val="auto"/>
        </w:rPr>
        <w:t xml:space="preserve"> </w:t>
      </w:r>
      <w:r>
        <w:rPr>
          <w:rFonts w:ascii="Arial" w:cs="Arial" w:eastAsia="Arial" w:hAnsi="Arial"/>
          <w:sz w:val="17"/>
          <w:szCs w:val="17"/>
          <w:i w:val="1"/>
          <w:iCs w:val="1"/>
          <w:color w:val="auto"/>
        </w:rPr>
        <w:t>Government Regulations – Other Health Care Laws</w:t>
      </w:r>
      <w:r>
        <w:rPr>
          <w:rFonts w:ascii="Arial" w:cs="Arial" w:eastAsia="Arial" w:hAnsi="Arial"/>
          <w:sz w:val="17"/>
          <w:szCs w:val="17"/>
          <w:color w:val="auto"/>
        </w:rPr>
        <w:t>” in our annual report on Form 10-K for the year ended December 31, 2022.</w:t>
      </w:r>
    </w:p>
    <w:p>
      <w:pPr>
        <w:spacing w:after="0" w:line="84"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or they may be subject to criminal, civil or administrative sanctions, including but not limited to, exclusions from participation in government healthcare programs, which could also materially affect our business.</w:t>
      </w:r>
    </w:p>
    <w:p>
      <w:pPr>
        <w:spacing w:after="0" w:line="86"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8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or in their implementation or interpretation may adversely affect our business and financial condition.</w:t>
      </w:r>
    </w:p>
    <w:p>
      <w:pPr>
        <w:spacing w:after="0" w:line="11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Changes in tax law may adversely affect our business or financial condition. Any new taxes could adversely affect our business and financial performance. Further, existing tax laws, statutes, rules, regulations or ordinances could be interpreted, changed, modified or applied adversely to us. For example, under Section 174 of the Internal Revenue Code of 1986, as amended (the Code), in taxable years beginning after December 31, 2021, expenses that are incurred for research and development in the U.S. will be capitalized and amortized, which may have an adverse effect on our cash flow. In addition, it is uncertain if and to what extent various states will conform to changes to U.S. federal income tax law. We urge prospective investors in our common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3" w:name="page74"/>
    <w:bookmarkEnd w:id="73"/>
    <w:p>
      <w:pPr>
        <w:ind w:right="220"/>
        <w:spacing w:after="0" w:line="258" w:lineRule="auto"/>
        <w:rPr>
          <w:sz w:val="20"/>
          <w:szCs w:val="20"/>
          <w:color w:val="auto"/>
        </w:rPr>
      </w:pPr>
      <w:r>
        <w:rPr>
          <w:rFonts w:ascii="Arial" w:cs="Arial" w:eastAsia="Arial" w:hAnsi="Arial"/>
          <w:sz w:val="17"/>
          <w:szCs w:val="17"/>
          <w:color w:val="auto"/>
        </w:rPr>
        <w:t>stock to consult with their legal and tax advisors with respect to any recently enacted tax legislation, or proposed changes in law, and the potential tax consequences of investing in or holding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1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our most recent private placements, the IPO, and other transactions that have occurred over the past three years, we may have experienced, an “ownership change.” We may also experience ownership changes in the future as a result of subsequent shifts in our stock ownership. As of December 31, 2022, we had U.S. federal and state net operating loss carryforwards of $65.9 million and $61.9 million, which begin to expire in 2027 and 2032, respectively, and which could be limited if we experience an “ownership change.” The reduction of the corporate tax rate under TCJA may cause a reduction in the economic benefit of our net operating loss carryforwards and other deferred tax assets available to us. Under current federal tax law, federal net operating losses generated after December 31, 2017 will not be subject to expiration but will not be permitted to be carried back. In addition, under current U.S. federal tax law, the amount of net operating losses generated after December 31, 2020 that we are permitted to deduct in any taxable year is limited to 80% of our taxable income in such year, where taxable income is determined without regard to the net operating loss deduction itself. Additionally, as of December 31, 2022, we had a U.S. federal net operating loss carryforward of $57.1 million which do not expire but is limited to an annual deduction equal to 80% of annual taxable income.</w:t>
      </w:r>
    </w:p>
    <w:p>
      <w:pPr>
        <w:spacing w:after="0" w:line="79"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b w:val="1"/>
          <w:bCs w:val="1"/>
          <w:i w:val="1"/>
          <w:iCs w:val="1"/>
          <w:color w:val="auto"/>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5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 a market share sufficient to realize a sufficient return on our or their investments. Alternatively, securing favorable reimbursement terms may require us to compromise pricing and prevent us from realizing an adequate margin over cost. For more information, see “</w:t>
      </w:r>
      <w:r>
        <w:rPr>
          <w:rFonts w:ascii="Arial" w:cs="Arial" w:eastAsia="Arial" w:hAnsi="Arial"/>
          <w:sz w:val="17"/>
          <w:szCs w:val="17"/>
          <w:i w:val="1"/>
          <w:iCs w:val="1"/>
          <w:color w:val="auto"/>
        </w:rPr>
        <w:t>Business – Government Regulations – Other Health Care Laws</w:t>
      </w:r>
      <w:r>
        <w:rPr>
          <w:rFonts w:ascii="Arial" w:cs="Arial" w:eastAsia="Arial" w:hAnsi="Arial"/>
          <w:sz w:val="17"/>
          <w:szCs w:val="17"/>
          <w:color w:val="auto"/>
        </w:rPr>
        <w:t>” in our annual report on Form 10-K for the year ended December 31, 2022.</w:t>
      </w:r>
    </w:p>
    <w:p>
      <w:pPr>
        <w:spacing w:after="0" w:line="8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spacing w:after="0" w:line="8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4" w:name="page75"/>
    <w:bookmarkEnd w:id="74"/>
    <w:p>
      <w:pPr>
        <w:ind w:right="180"/>
        <w:spacing w:after="0" w:line="235" w:lineRule="auto"/>
        <w:rPr>
          <w:sz w:val="20"/>
          <w:szCs w:val="20"/>
          <w:color w:val="auto"/>
        </w:rPr>
      </w:pPr>
      <w:r>
        <w:rPr>
          <w:rFonts w:ascii="Arial" w:cs="Arial" w:eastAsia="Arial" w:hAnsi="Arial"/>
          <w:sz w:val="17"/>
          <w:szCs w:val="17"/>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84"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76"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CROs or CMOs may engage in misconduct or other improper activities, including noncompliance with regulatory standards and requirements and insider trading, which could have a material adverse effect on our business.</w:t>
      </w:r>
    </w:p>
    <w:p>
      <w:pPr>
        <w:spacing w:after="0" w:line="5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principal investigators, CMOs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81" w:lineRule="exact"/>
        <w:rPr>
          <w:sz w:val="20"/>
          <w:szCs w:val="20"/>
          <w:color w:val="auto"/>
        </w:rPr>
      </w:pPr>
    </w:p>
    <w:p>
      <w:pPr>
        <w:ind w:right="180"/>
        <w:spacing w:after="0" w:line="285" w:lineRule="auto"/>
        <w:rPr>
          <w:sz w:val="20"/>
          <w:szCs w:val="20"/>
          <w:color w:val="auto"/>
        </w:rPr>
      </w:pPr>
      <w:r>
        <w:rPr>
          <w:rFonts w:ascii="Arial" w:cs="Arial" w:eastAsia="Arial" w:hAnsi="Arial"/>
          <w:sz w:val="17"/>
          <w:szCs w:val="17"/>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30"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0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b w:val="1"/>
          <w:bCs w:val="1"/>
          <w:i w:val="1"/>
          <w:iCs w:val="1"/>
          <w:color w:val="auto"/>
        </w:rPr>
        <w:t>For certain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we depend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or will depend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on development and commercialization collaborators to develop and conduct clinical trials with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obtain regulatory approvals for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and if approved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market and sell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If such collaborators fail to perform as expected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the potential for us to generate future revenue from such product candidates would be significantly reduced and our business would be harmed</w:t>
      </w:r>
      <w:r>
        <w:rPr>
          <w:rFonts w:ascii="Arial" w:cs="Arial" w:eastAsia="Arial" w:hAnsi="Arial"/>
          <w:sz w:val="17"/>
          <w:szCs w:val="17"/>
          <w:i w:val="1"/>
          <w:iCs w:val="1"/>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5" w:name="page76"/>
    <w:bookmarkEnd w:id="75"/>
    <w:p>
      <w:pPr>
        <w:ind w:right="20"/>
        <w:spacing w:after="0" w:line="235" w:lineRule="auto"/>
        <w:rPr>
          <w:sz w:val="20"/>
          <w:szCs w:val="20"/>
          <w:color w:val="auto"/>
        </w:rPr>
      </w:pPr>
      <w:r>
        <w:rPr>
          <w:rFonts w:ascii="Arial" w:cs="Arial" w:eastAsia="Arial" w:hAnsi="Arial"/>
          <w:sz w:val="17"/>
          <w:szCs w:val="17"/>
          <w:color w:val="auto"/>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 by collaborators, or caused by other collaboration contract obligations, may result in a delay of our ability to disclose data.</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Our current collaborations and any future collaborations that we enter into are subject to numerous risks, including:</w:t>
      </w:r>
    </w:p>
    <w:p>
      <w:pPr>
        <w:spacing w:after="0" w:line="102"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 collaborations;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may not perform their obligations as expected or fail to fulfill their responsibilities in a timely manner, or at all;</w:t>
      </w:r>
    </w:p>
    <w:p>
      <w:pPr>
        <w:spacing w:after="0" w:line="115" w:lineRule="exact"/>
        <w:rPr>
          <w:rFonts w:ascii="Arial" w:cs="Arial" w:eastAsia="Arial" w:hAnsi="Arial"/>
          <w:sz w:val="17"/>
          <w:szCs w:val="17"/>
          <w:color w:val="auto"/>
        </w:rPr>
      </w:pPr>
    </w:p>
    <w:p>
      <w:pPr>
        <w:ind w:left="1020" w:right="40" w:hanging="503"/>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82" w:lineRule="exact"/>
        <w:rPr>
          <w:rFonts w:ascii="Arial" w:cs="Arial" w:eastAsia="Arial" w:hAnsi="Arial"/>
          <w:sz w:val="17"/>
          <w:szCs w:val="17"/>
          <w:color w:val="auto"/>
        </w:rPr>
      </w:pPr>
    </w:p>
    <w:p>
      <w:pPr>
        <w:ind w:left="1020" w:hanging="503"/>
        <w:spacing w:after="0" w:line="245"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76" w:lineRule="exact"/>
        <w:rPr>
          <w:rFonts w:ascii="Arial" w:cs="Arial" w:eastAsia="Arial" w:hAnsi="Arial"/>
          <w:sz w:val="17"/>
          <w:szCs w:val="17"/>
          <w:color w:val="auto"/>
        </w:rPr>
      </w:pPr>
    </w:p>
    <w:p>
      <w:pPr>
        <w:ind w:left="1020" w:hanging="503"/>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could fail to make timely regulatory submissions for a product candidate;</w:t>
      </w:r>
    </w:p>
    <w:p>
      <w:pPr>
        <w:spacing w:after="0" w:line="115" w:lineRule="exact"/>
        <w:rPr>
          <w:rFonts w:ascii="Arial" w:cs="Arial" w:eastAsia="Arial" w:hAnsi="Arial"/>
          <w:sz w:val="17"/>
          <w:szCs w:val="17"/>
          <w:color w:val="auto"/>
        </w:rPr>
      </w:pPr>
    </w:p>
    <w:p>
      <w:pPr>
        <w:ind w:left="1020" w:right="100" w:hanging="503"/>
        <w:spacing w:after="0" w:line="245"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76" w:lineRule="exact"/>
        <w:rPr>
          <w:rFonts w:ascii="Arial" w:cs="Arial" w:eastAsia="Arial" w:hAnsi="Arial"/>
          <w:sz w:val="17"/>
          <w:szCs w:val="17"/>
          <w:color w:val="auto"/>
        </w:rPr>
      </w:pPr>
    </w:p>
    <w:p>
      <w:pPr>
        <w:ind w:left="1020" w:right="20" w:hanging="503"/>
        <w:spacing w:after="0" w:line="245"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6" w:lineRule="exact"/>
        <w:rPr>
          <w:rFonts w:ascii="Arial" w:cs="Arial" w:eastAsia="Arial" w:hAnsi="Arial"/>
          <w:sz w:val="17"/>
          <w:szCs w:val="17"/>
          <w:color w:val="auto"/>
        </w:rPr>
      </w:pPr>
    </w:p>
    <w:p>
      <w:pPr>
        <w:ind w:left="1020" w:right="280" w:hanging="503"/>
        <w:spacing w:after="0" w:line="258"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collaborations may not result in product candidates to develop and/or preclinical studies or clinical trials conducted as part of the collaborations may not be successful;</w:t>
      </w:r>
    </w:p>
    <w:p>
      <w:pPr>
        <w:spacing w:after="0" w:line="65" w:lineRule="exact"/>
        <w:rPr>
          <w:rFonts w:ascii="Arial" w:cs="Arial" w:eastAsia="Arial" w:hAnsi="Arial"/>
          <w:sz w:val="17"/>
          <w:szCs w:val="17"/>
          <w:color w:val="auto"/>
        </w:rPr>
      </w:pPr>
    </w:p>
    <w:p>
      <w:pPr>
        <w:ind w:left="1020" w:right="100" w:hanging="503"/>
        <w:spacing w:after="0" w:line="258"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65" w:lineRule="exact"/>
        <w:rPr>
          <w:rFonts w:ascii="Arial" w:cs="Arial" w:eastAsia="Arial" w:hAnsi="Arial"/>
          <w:sz w:val="17"/>
          <w:szCs w:val="17"/>
          <w:color w:val="auto"/>
        </w:rPr>
      </w:pPr>
    </w:p>
    <w:p>
      <w:pPr>
        <w:ind w:left="1020" w:right="80" w:hanging="503"/>
        <w:spacing w:after="0" w:line="258"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65" w:lineRule="exact"/>
        <w:rPr>
          <w:rFonts w:ascii="Arial" w:cs="Arial" w:eastAsia="Arial" w:hAnsi="Arial"/>
          <w:sz w:val="17"/>
          <w:szCs w:val="17"/>
          <w:color w:val="auto"/>
        </w:rPr>
      </w:pPr>
    </w:p>
    <w:p>
      <w:pPr>
        <w:ind w:left="1020" w:right="140" w:hanging="503"/>
        <w:spacing w:after="0" w:line="245"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 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6" w:name="page77"/>
    <w:bookmarkEnd w:id="76"/>
    <w:p>
      <w:pPr>
        <w:spacing w:after="0" w:line="237"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76" w:lineRule="exact"/>
        <w:rPr>
          <w:sz w:val="20"/>
          <w:szCs w:val="20"/>
          <w:color w:val="auto"/>
        </w:rPr>
      </w:pPr>
    </w:p>
    <w:p>
      <w:pPr>
        <w:ind w:right="340"/>
        <w:spacing w:after="0" w:line="285" w:lineRule="auto"/>
        <w:rPr>
          <w:sz w:val="20"/>
          <w:szCs w:val="20"/>
          <w:color w:val="auto"/>
        </w:rPr>
      </w:pPr>
      <w:r>
        <w:rPr>
          <w:rFonts w:ascii="Arial" w:cs="Arial" w:eastAsia="Arial" w:hAnsi="Arial"/>
          <w:sz w:val="17"/>
          <w:szCs w:val="17"/>
          <w:b w:val="1"/>
          <w:bCs w:val="1"/>
          <w:i w:val="1"/>
          <w:iCs w:val="1"/>
          <w:color w:val="auto"/>
        </w:rPr>
        <w:t>If conflicts arise with our development and commercialization collaborators or licensors, they may act in their own self-interest, which may be adverse to the interests of our company</w:t>
      </w:r>
      <w:r>
        <w:rPr>
          <w:rFonts w:ascii="Arial" w:cs="Arial" w:eastAsia="Arial" w:hAnsi="Arial"/>
          <w:sz w:val="17"/>
          <w:szCs w:val="17"/>
          <w:i w:val="1"/>
          <w:iCs w:val="1"/>
          <w:color w:val="auto"/>
        </w:rPr>
        <w:t>.</w:t>
      </w:r>
    </w:p>
    <w:p>
      <w:pPr>
        <w:spacing w:after="0" w:line="30"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66"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disputes with respect to milestone, royalty and other payments that are believed due under the applicable agreements;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disagreements with respect to the ownership of intellectual property rights or scope of licenses;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disagreements with respect to the scope of any reporting obligations;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disagreements with respect to contract interpretation or the preferred course of development;</w:t>
      </w:r>
    </w:p>
    <w:p>
      <w:pPr>
        <w:spacing w:after="0" w:line="115" w:lineRule="exact"/>
        <w:rPr>
          <w:rFonts w:ascii="Arial" w:cs="Arial" w:eastAsia="Arial" w:hAnsi="Arial"/>
          <w:sz w:val="17"/>
          <w:szCs w:val="17"/>
          <w:color w:val="auto"/>
        </w:rPr>
      </w:pPr>
    </w:p>
    <w:p>
      <w:pPr>
        <w:ind w:left="1020" w:right="540" w:hanging="503"/>
        <w:spacing w:after="0" w:line="258"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unwillingness on the part of a collaborator to keep us informed regarding the progress of its development and commercialization activities, or to permit public disclosure of these activities; and</w:t>
      </w:r>
    </w:p>
    <w:p>
      <w:pPr>
        <w:spacing w:after="0" w:line="65" w:lineRule="exact"/>
        <w:rPr>
          <w:rFonts w:ascii="Arial" w:cs="Arial" w:eastAsia="Arial" w:hAnsi="Arial"/>
          <w:sz w:val="17"/>
          <w:szCs w:val="17"/>
          <w:color w:val="auto"/>
        </w:rPr>
      </w:pPr>
    </w:p>
    <w:p>
      <w:pPr>
        <w:ind w:left="1020" w:right="440" w:hanging="503"/>
        <w:spacing w:after="0" w:line="258"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disputes with respect to a collaborator’s or our development or commercialization efforts with respect to our products and product candidates.</w:t>
      </w:r>
    </w:p>
    <w:p>
      <w:pPr>
        <w:spacing w:after="0" w:line="66"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Conflicts with our development and commercialization collaborators or licensors could materially adversely affect our business, financial condition or results of operations and future growth prospects.</w:t>
      </w:r>
    </w:p>
    <w:p>
      <w:pPr>
        <w:spacing w:after="0" w:line="58"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We rely on third parties, including independent clinical investigators and CROs to conduct and sponsor some of the clinical trials of our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Any failure by a third party to meet its obligations with respect to the clinical development of our product candidates may delay or impair our ability to obtain regulatory approval for our product candidates</w:t>
      </w:r>
      <w:r>
        <w:rPr>
          <w:rFonts w:ascii="Arial" w:cs="Arial" w:eastAsia="Arial" w:hAnsi="Arial"/>
          <w:sz w:val="17"/>
          <w:szCs w:val="17"/>
          <w:i w:val="1"/>
          <w:iCs w:val="1"/>
          <w:color w:val="auto"/>
        </w:rPr>
        <w:t>.</w:t>
      </w:r>
    </w:p>
    <w:p>
      <w:pPr>
        <w:spacing w:after="0" w:line="5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8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7" w:name="page78"/>
    <w:bookmarkEnd w:id="77"/>
    <w:p>
      <w:pPr>
        <w:spacing w:after="0" w:line="236"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8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78"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b w:val="1"/>
          <w:bCs w:val="1"/>
          <w:i w:val="1"/>
          <w:iCs w:val="1"/>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53"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also expect to develop commercial-scale manufacturing at third-party manufacturers for our product candidate CAN-2409. We may develop clinical manufacturing capabilities at our facility in Needham, Massachusetts for our product candidate CAN-3110 and we may also develop clinical-scale manufacturing for CAN-3110 at third-party manufacturers. There can be no assurance that our supply of clinical product will not be limited, interrupted, or of satisfactory quality or continue to be available at acceptable prices. In particular, any replacement of our CMOs could require significant effort and expertise because there may be a limited number of qualified replacements. Any delays in obtaining adequate supplies of our product candidates that meet the necessary quality standards, including delays caused by any future public health crisis, may delay our development or commercialization.</w:t>
      </w:r>
    </w:p>
    <w:p>
      <w:pPr>
        <w:spacing w:after="0" w:line="8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86"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CMOs may not perform as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78" w:name="page79"/>
    <w:bookmarkEnd w:id="78"/>
    <w:p>
      <w:pPr>
        <w:ind w:right="380"/>
        <w:spacing w:after="0" w:line="258" w:lineRule="auto"/>
        <w:rPr>
          <w:sz w:val="20"/>
          <w:szCs w:val="20"/>
          <w:color w:val="auto"/>
        </w:rPr>
      </w:pPr>
      <w:r>
        <w:rPr>
          <w:rFonts w:ascii="Arial" w:cs="Arial" w:eastAsia="Arial" w:hAnsi="Arial"/>
          <w:sz w:val="17"/>
          <w:szCs w:val="17"/>
          <w:color w:val="auto"/>
        </w:rPr>
        <w:t>agreed. If our manufacturers were to encounter these or other difficulties, our ability to provide product candidates to patients in our clinical trials could be jeopardized.</w:t>
      </w:r>
    </w:p>
    <w:p>
      <w:pPr>
        <w:spacing w:after="0" w:line="66"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CMOs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CMOs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8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 some cases, the technical skills required to manufacture our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CMO 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93"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82"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68" w:lineRule="exact"/>
        <w:rPr>
          <w:sz w:val="20"/>
          <w:szCs w:val="20"/>
          <w:color w:val="auto"/>
        </w:rPr>
      </w:pPr>
    </w:p>
    <w:p>
      <w:pPr>
        <w:jc w:val="both"/>
        <w:ind w:right="240"/>
        <w:spacing w:after="0" w:line="258" w:lineRule="auto"/>
        <w:rPr>
          <w:sz w:val="20"/>
          <w:szCs w:val="20"/>
          <w:color w:val="auto"/>
        </w:rPr>
      </w:pPr>
      <w:r>
        <w:rPr>
          <w:rFonts w:ascii="Arial" w:cs="Arial" w:eastAsia="Arial" w:hAnsi="Arial"/>
          <w:sz w:val="17"/>
          <w:szCs w:val="17"/>
          <w:b w:val="1"/>
          <w:bCs w:val="1"/>
          <w:i w:val="1"/>
          <w:iCs w:val="1"/>
          <w:color w:val="auto"/>
        </w:rPr>
        <w:t>Some of our product candidates are being and may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53"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CAN-3110 and CAN-2409 which was not provided by us. The conduct or findings of these trials may have a negative impact on our development programs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9" w:name="page80"/>
    <w:bookmarkEnd w:id="79"/>
    <w:p>
      <w:pPr>
        <w:ind w:right="80"/>
        <w:spacing w:after="0" w:line="234" w:lineRule="auto"/>
        <w:rPr>
          <w:sz w:val="20"/>
          <w:szCs w:val="20"/>
          <w:color w:val="auto"/>
        </w:rPr>
      </w:pPr>
      <w:r>
        <w:rPr>
          <w:rFonts w:ascii="Arial" w:cs="Arial" w:eastAsia="Arial" w:hAnsi="Arial"/>
          <w:sz w:val="17"/>
          <w:szCs w:val="17"/>
          <w:color w:val="auto"/>
        </w:rPr>
        <w:t>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81"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b w:val="1"/>
          <w:bCs w:val="1"/>
          <w:i w:val="1"/>
          <w:iCs w:val="1"/>
          <w:color w:val="auto"/>
        </w:rPr>
        <w:t>We have completed and may in the future complete related party transactions that were not and may not be conducted on an arm’s length basis.</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have in the past been and continue to be party to certain transactions with certain entities affiliated with Estuardo Aguilar-Cordova, our founder and former Chief Scientific Officer, and Laura Aguilar, our former Chief Medical Officer. For instance, we have entered into an exclusive license agreement with Ventagen, LLC (Ventagen), an entity owned in part (49.5%), though not managed, by Estuardo Aguilar-Cordova and Laura Aguilar, for the use of worldwide patent rights and know-how owned or controlled by us which cover applicable technology utilizing the delivery method of the herpes derived TK protein to tumors or other tissues via a viral vector.</w:t>
      </w:r>
    </w:p>
    <w:p>
      <w:pPr>
        <w:spacing w:after="0" w:line="84"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In January 2008, we entered into an operating lease agreement with a term through December 31, 2022 with Ellka Holdings, LLC (Ellka), for the space in which we operated in Auburndale, MA. In May 2016, we entered into a second lease agreement with Ellka for living space for employees, also in Auburndale, MA. We entered into a second lease for this space on July 26, 2018, which expired on July 31, 2019. Ellka was originally established in 2007 as an LLC for the purpose of acquiring and managing investment properties owned by Laura Aguilar and Estuardo Aguilar-Cordova and their children’s trusts. Ellka is owned and operated by Laura Aguilar and Estuardo Aguilar-Cordova and members of their immediate family. Although we believe that these transactions were conducted on an arm’s length basis, it is possible that the terms were less favorable to us than they might have been in a transaction with an unrelated party.</w:t>
      </w:r>
    </w:p>
    <w:p>
      <w:pPr>
        <w:spacing w:after="0" w:line="85"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As of November 1, 2023, Estuardo Aguilar-Cordova and Laura Aguilar beneficially owned 6,231,211 shares of our common stock, or approximately 21.5% of our total outstanding capital stock as of such date. Accordingly, they will continue to have significant influence over all business decisions, including with respect to such matters as amendments to our charter, other fundamental corporate transactions, such as mergers, asset sales, and the sale of the Company, and otherwise will be able to influence our business and affairs. In connection with the IPO, we adopted a written related-person transactions policy that sets forth our policies and procedures regarding the identification, review, consideration and oversight of related-person transactions.</w:t>
      </w:r>
    </w:p>
    <w:p>
      <w:pPr>
        <w:spacing w:after="0" w:line="76"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which increases the possibility that a competitor will discover them or that our trade secrets will be misappropriated or disclosed</w:t>
      </w:r>
      <w:r>
        <w:rPr>
          <w:rFonts w:ascii="Arial" w:cs="Arial" w:eastAsia="Arial" w:hAnsi="Arial"/>
          <w:sz w:val="17"/>
          <w:szCs w:val="17"/>
          <w:i w:val="1"/>
          <w:iCs w:val="1"/>
          <w:color w:val="auto"/>
        </w:rPr>
        <w:t>.</w:t>
      </w:r>
    </w:p>
    <w:p>
      <w:pPr>
        <w:spacing w:after="0" w:line="30"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8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8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b w:val="1"/>
          <w:bCs w:val="1"/>
          <w:i w:val="1"/>
          <w:iCs w:val="1"/>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6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8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any of our license agreements are terminated, we may lose our rights to develop 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5" w:lineRule="exact"/>
        <w:rPr>
          <w:rFonts w:ascii="Arial" w:cs="Arial" w:eastAsia="Arial" w:hAnsi="Arial"/>
          <w:sz w:val="17"/>
          <w:szCs w:val="17"/>
          <w:color w:val="auto"/>
        </w:rPr>
      </w:pPr>
    </w:p>
    <w:p>
      <w:pPr>
        <w:ind w:left="1020" w:right="240" w:hanging="503"/>
        <w:spacing w:after="0" w:line="258"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or our licensors’ ability to obtain, maintain and defend intellectual property and to enforce intellectual property rights against third parties;</w:t>
      </w:r>
    </w:p>
    <w:p>
      <w:pPr>
        <w:spacing w:after="0" w:line="65" w:lineRule="exact"/>
        <w:rPr>
          <w:rFonts w:ascii="Arial" w:cs="Arial" w:eastAsia="Arial" w:hAnsi="Arial"/>
          <w:sz w:val="17"/>
          <w:szCs w:val="17"/>
          <w:color w:val="auto"/>
        </w:rPr>
      </w:pPr>
    </w:p>
    <w:p>
      <w:pPr>
        <w:ind w:left="1020" w:right="440" w:hanging="503"/>
        <w:spacing w:after="0" w:line="258"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extent to which our technology, product candidates and processes infringe, misappropriate or otherwise violate the intellectual property of the licensor that is not subject to the license agreement;</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sublicensing of patent and other intellectual property rights under our license agreements;</w:t>
      </w:r>
    </w:p>
    <w:p>
      <w:pPr>
        <w:spacing w:after="0" w:line="115" w:lineRule="exact"/>
        <w:rPr>
          <w:rFonts w:ascii="Arial" w:cs="Arial" w:eastAsia="Arial" w:hAnsi="Arial"/>
          <w:sz w:val="17"/>
          <w:szCs w:val="17"/>
          <w:color w:val="auto"/>
        </w:rPr>
      </w:pPr>
    </w:p>
    <w:p>
      <w:pPr>
        <w:ind w:left="1020" w:right="700" w:hanging="503"/>
        <w:spacing w:after="0" w:line="258"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diligence, development, regulatory, commercialization, financial or other obligations under the license agreement and what activities satisfy those diligence obligations;</w:t>
      </w:r>
    </w:p>
    <w:p>
      <w:pPr>
        <w:spacing w:after="0" w:line="65" w:lineRule="exact"/>
        <w:rPr>
          <w:rFonts w:ascii="Arial" w:cs="Arial" w:eastAsia="Arial" w:hAnsi="Arial"/>
          <w:sz w:val="17"/>
          <w:szCs w:val="17"/>
          <w:color w:val="auto"/>
        </w:rPr>
      </w:pPr>
    </w:p>
    <w:p>
      <w:pPr>
        <w:ind w:left="1020" w:right="540" w:hanging="503"/>
        <w:spacing w:after="0" w:line="258"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current or future licensors and us and our partners; and</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1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8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81" w:name="page82"/>
    <w:bookmarkEnd w:id="81"/>
    <w:p>
      <w:pPr>
        <w:spacing w:after="0" w:line="238" w:lineRule="auto"/>
        <w:rPr>
          <w:sz w:val="20"/>
          <w:szCs w:val="20"/>
          <w:color w:val="auto"/>
        </w:rPr>
      </w:pPr>
      <w:r>
        <w:rPr>
          <w:rFonts w:ascii="Arial" w:cs="Arial" w:eastAsia="Arial" w:hAnsi="Arial"/>
          <w:sz w:val="17"/>
          <w:szCs w:val="17"/>
          <w:color w:val="auto"/>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8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86"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w:t>
      </w:r>
    </w:p>
    <w:p>
      <w:pPr>
        <w:spacing w:after="0" w:line="76"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business will depend in large part on obtaining and maintaining patent, trademark and trade secret protection of our proprietary technologies and our product candidates,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8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8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46"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spacing w:after="0" w:line="6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and patents. Similarly, for United States applications in which at least one claim is not entitled to a priority date before March 16, 2013,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derivation proceedings can be instituted to determine whether the subject matter of a patent claim was derived from a prior inventor’s disclosure.</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84"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the patents we in-license or narrow the scope of our patent protection. In addition, the laws of foreign countries may not protect our rights to the same extent or in the same manner as the laws of the United States. For example, European patent law is more restrictive than U.S. patent law in connection with the patentability of methods of treatment of the human body and Chinese bankruptcy law may not provide a licensee the same protections as U.S. bankruptcy law.</w:t>
      </w:r>
    </w:p>
    <w:p>
      <w:pPr>
        <w:spacing w:after="0" w:line="8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spacing w:after="0" w:line="8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a European Unified Patent Court (UPC) is scheduled to come into force during 2023. The UPC will be a common patent court to hear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may decide to opt out our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w:t>
      </w:r>
    </w:p>
    <w:p>
      <w:pPr>
        <w:spacing w:after="0" w:line="8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cannot predict whether the patent applications we in-license currently being pursued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 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p>
    <w:p>
      <w:pPr>
        <w:spacing w:after="0" w:line="8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Even if the patent applications we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3" w:name="page84"/>
    <w:bookmarkEnd w:id="83"/>
    <w:p>
      <w:pPr>
        <w:ind w:right="40"/>
        <w:spacing w:after="0" w:line="236" w:lineRule="auto"/>
        <w:rPr>
          <w:sz w:val="20"/>
          <w:szCs w:val="20"/>
          <w:color w:val="auto"/>
        </w:rPr>
      </w:pPr>
      <w:r>
        <w:rPr>
          <w:rFonts w:ascii="Arial" w:cs="Arial" w:eastAsia="Arial" w:hAnsi="Arial"/>
          <w:sz w:val="17"/>
          <w:szCs w:val="17"/>
          <w:color w:val="auto"/>
        </w:rPr>
        <w:t>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have in-licensed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85"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6" w:lineRule="exact"/>
        <w:rPr>
          <w:sz w:val="20"/>
          <w:szCs w:val="20"/>
          <w:color w:val="auto"/>
        </w:rPr>
      </w:pPr>
    </w:p>
    <w:p>
      <w:pPr>
        <w:ind w:left="1020" w:right="140" w:hanging="503"/>
        <w:spacing w:after="0" w:line="258"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65" w:lineRule="exact"/>
        <w:rPr>
          <w:rFonts w:ascii="Arial" w:cs="Arial" w:eastAsia="Arial" w:hAnsi="Arial"/>
          <w:sz w:val="17"/>
          <w:szCs w:val="17"/>
          <w:color w:val="auto"/>
        </w:rPr>
      </w:pPr>
    </w:p>
    <w:p>
      <w:pPr>
        <w:ind w:left="1020" w:right="140" w:hanging="503"/>
        <w:spacing w:after="0" w:line="258"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5" w:lineRule="exact"/>
        <w:rPr>
          <w:rFonts w:ascii="Arial" w:cs="Arial" w:eastAsia="Arial" w:hAnsi="Arial"/>
          <w:sz w:val="17"/>
          <w:szCs w:val="17"/>
          <w:color w:val="auto"/>
        </w:rPr>
      </w:pPr>
    </w:p>
    <w:p>
      <w:pPr>
        <w:ind w:left="1020" w:right="280" w:hanging="503"/>
        <w:spacing w:after="0" w:line="258"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 is possible that others may circumvent our owned or in-licensed patents;</w:t>
      </w:r>
    </w:p>
    <w:p>
      <w:pPr>
        <w:spacing w:after="0" w:line="115" w:lineRule="exact"/>
        <w:rPr>
          <w:rFonts w:ascii="Arial" w:cs="Arial" w:eastAsia="Arial" w:hAnsi="Arial"/>
          <w:sz w:val="17"/>
          <w:szCs w:val="17"/>
          <w:color w:val="auto"/>
        </w:rPr>
      </w:pPr>
    </w:p>
    <w:p>
      <w:pPr>
        <w:ind w:left="1020" w:right="520" w:hanging="503"/>
        <w:spacing w:after="0" w:line="258"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65" w:lineRule="exact"/>
        <w:rPr>
          <w:rFonts w:ascii="Arial" w:cs="Arial" w:eastAsia="Arial" w:hAnsi="Arial"/>
          <w:sz w:val="17"/>
          <w:szCs w:val="17"/>
          <w:color w:val="auto"/>
        </w:rPr>
      </w:pPr>
    </w:p>
    <w:p>
      <w:pPr>
        <w:ind w:left="1020" w:hanging="503"/>
        <w:spacing w:after="0" w:line="258"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15" w:lineRule="exact"/>
        <w:rPr>
          <w:rFonts w:ascii="Arial" w:cs="Arial" w:eastAsia="Arial" w:hAnsi="Arial"/>
          <w:sz w:val="17"/>
          <w:szCs w:val="17"/>
          <w:color w:val="auto"/>
        </w:rPr>
      </w:pPr>
    </w:p>
    <w:p>
      <w:pPr>
        <w:ind w:left="1020" w:right="160" w:hanging="503"/>
        <w:spacing w:after="0" w:line="258"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owned, co-owned, or in-licensed issued patents may not provide us with any competitive advantages, may be narrowed in scope, or be held invalid or unenforceable as a result of legal challenges by third parties;</w:t>
      </w:r>
    </w:p>
    <w:p>
      <w:pPr>
        <w:spacing w:after="0" w:line="65" w:lineRule="exact"/>
        <w:rPr>
          <w:rFonts w:ascii="Arial" w:cs="Arial" w:eastAsia="Arial" w:hAnsi="Arial"/>
          <w:sz w:val="17"/>
          <w:szCs w:val="17"/>
          <w:color w:val="auto"/>
        </w:rPr>
      </w:pPr>
    </w:p>
    <w:p>
      <w:pPr>
        <w:ind w:left="1020" w:hanging="503"/>
        <w:spacing w:after="0" w:line="245"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76" w:lineRule="exact"/>
        <w:rPr>
          <w:rFonts w:ascii="Arial" w:cs="Arial" w:eastAsia="Arial" w:hAnsi="Arial"/>
          <w:sz w:val="17"/>
          <w:szCs w:val="17"/>
          <w:color w:val="auto"/>
        </w:rPr>
      </w:pPr>
    </w:p>
    <w:p>
      <w:pPr>
        <w:ind w:left="1020" w:right="600" w:hanging="503"/>
        <w:spacing w:after="0" w:line="258"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co-owners of certain of our patent applications may become involved with, or license or assign the co-owned applications to competitors, or become hostile to us or the patents or patent applications on which they are named as co-owners;</w:t>
      </w:r>
    </w:p>
    <w:p>
      <w:pPr>
        <w:spacing w:after="0" w:line="65" w:lineRule="exact"/>
        <w:rPr>
          <w:rFonts w:ascii="Arial" w:cs="Arial" w:eastAsia="Arial" w:hAnsi="Arial"/>
          <w:sz w:val="17"/>
          <w:szCs w:val="17"/>
          <w:color w:val="auto"/>
        </w:rPr>
      </w:pPr>
    </w:p>
    <w:p>
      <w:pPr>
        <w:jc w:val="both"/>
        <w:ind w:left="1020" w:right="540" w:hanging="503"/>
        <w:spacing w:after="0" w:line="245"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6" w:lineRule="exact"/>
        <w:rPr>
          <w:rFonts w:ascii="Arial" w:cs="Arial" w:eastAsia="Arial" w:hAnsi="Arial"/>
          <w:sz w:val="17"/>
          <w:szCs w:val="17"/>
          <w:color w:val="auto"/>
        </w:rPr>
      </w:pPr>
    </w:p>
    <w:p>
      <w:pPr>
        <w:ind w:left="1020" w:right="560" w:hanging="503"/>
        <w:spacing w:after="0" w:line="258"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5" w:lineRule="exact"/>
        <w:rPr>
          <w:rFonts w:ascii="Arial" w:cs="Arial" w:eastAsia="Arial" w:hAnsi="Arial"/>
          <w:sz w:val="17"/>
          <w:szCs w:val="17"/>
          <w:color w:val="auto"/>
        </w:rPr>
      </w:pPr>
    </w:p>
    <w:p>
      <w:pPr>
        <w:ind w:left="1020" w:right="140" w:hanging="503"/>
        <w:spacing w:after="0" w:line="258"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107"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53"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In connection with our efforts to expand our pipeline of product candidates, we may enter into certain licenses or other collaboration agreements in the future pertaining to the in-license of rights to additional candidates. Such agreements may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4" w:name="page85"/>
    <w:bookmarkEnd w:id="84"/>
    <w:p>
      <w:pPr>
        <w:ind w:right="60"/>
        <w:spacing w:after="0" w:line="245" w:lineRule="auto"/>
        <w:rPr>
          <w:sz w:val="20"/>
          <w:szCs w:val="20"/>
          <w:color w:val="auto"/>
        </w:rPr>
      </w:pPr>
      <w:r>
        <w:rPr>
          <w:rFonts w:ascii="Arial" w:cs="Arial" w:eastAsia="Arial" w:hAnsi="Arial"/>
          <w:sz w:val="17"/>
          <w:szCs w:val="17"/>
          <w:color w:val="auto"/>
        </w:rPr>
        <w:t>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5" w:lineRule="exact"/>
        <w:rPr>
          <w:rFonts w:ascii="Arial" w:cs="Arial" w:eastAsia="Arial" w:hAnsi="Arial"/>
          <w:sz w:val="17"/>
          <w:szCs w:val="17"/>
          <w:color w:val="auto"/>
        </w:rPr>
      </w:pPr>
    </w:p>
    <w:p>
      <w:pPr>
        <w:ind w:left="1020" w:right="40" w:hanging="503"/>
        <w:spacing w:after="0" w:line="258"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5" w:lineRule="exact"/>
        <w:rPr>
          <w:rFonts w:ascii="Arial" w:cs="Arial" w:eastAsia="Arial" w:hAnsi="Arial"/>
          <w:sz w:val="17"/>
          <w:szCs w:val="17"/>
          <w:color w:val="auto"/>
        </w:rPr>
      </w:pPr>
    </w:p>
    <w:p>
      <w:pPr>
        <w:ind w:left="1020" w:right="520" w:hanging="503"/>
        <w:spacing w:after="0" w:line="258"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15"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85"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1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addition to patent protection, we rely heavily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87"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84" w:lineRule="exact"/>
        <w:rPr>
          <w:sz w:val="20"/>
          <w:szCs w:val="20"/>
          <w:color w:val="auto"/>
        </w:rPr>
      </w:pPr>
    </w:p>
    <w:p>
      <w:pPr>
        <w:jc w:val="both"/>
        <w:ind w:right="720"/>
        <w:spacing w:after="0" w:line="245"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85" w:name="page86"/>
    <w:bookmarkEnd w:id="85"/>
    <w:p>
      <w:pPr>
        <w:ind w:right="140"/>
        <w:spacing w:after="0" w:line="236" w:lineRule="auto"/>
        <w:rPr>
          <w:sz w:val="20"/>
          <w:szCs w:val="20"/>
          <w:color w:val="auto"/>
        </w:rPr>
      </w:pPr>
      <w:r>
        <w:rPr>
          <w:rFonts w:ascii="Arial" w:cs="Arial" w:eastAsia="Arial" w:hAnsi="Arial"/>
          <w:sz w:val="17"/>
          <w:szCs w:val="17"/>
          <w:color w:val="auto"/>
        </w:rPr>
        <w:t>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1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02" w:lineRule="exact"/>
        <w:rPr>
          <w:sz w:val="20"/>
          <w:szCs w:val="20"/>
          <w:color w:val="auto"/>
        </w:rPr>
      </w:pPr>
    </w:p>
    <w:p>
      <w:pPr>
        <w:ind w:left="1020" w:right="300" w:hanging="503"/>
        <w:spacing w:after="0" w:line="258"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65" w:lineRule="exact"/>
        <w:rPr>
          <w:rFonts w:ascii="Arial" w:cs="Arial" w:eastAsia="Arial" w:hAnsi="Arial"/>
          <w:sz w:val="17"/>
          <w:szCs w:val="17"/>
          <w:color w:val="auto"/>
        </w:rPr>
      </w:pPr>
    </w:p>
    <w:p>
      <w:pPr>
        <w:ind w:left="1020" w:right="60" w:hanging="503"/>
        <w:spacing w:after="0" w:line="245"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76" w:lineRule="exact"/>
        <w:rPr>
          <w:rFonts w:ascii="Arial" w:cs="Arial" w:eastAsia="Arial" w:hAnsi="Arial"/>
          <w:sz w:val="17"/>
          <w:szCs w:val="17"/>
          <w:color w:val="auto"/>
        </w:rPr>
      </w:pPr>
    </w:p>
    <w:p>
      <w:pPr>
        <w:ind w:left="1020" w:right="560" w:hanging="503"/>
        <w:spacing w:after="0" w:line="258"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65" w:lineRule="exact"/>
        <w:rPr>
          <w:rFonts w:ascii="Arial" w:cs="Arial" w:eastAsia="Arial" w:hAnsi="Arial"/>
          <w:sz w:val="17"/>
          <w:szCs w:val="17"/>
          <w:color w:val="auto"/>
        </w:rPr>
      </w:pPr>
    </w:p>
    <w:p>
      <w:pPr>
        <w:ind w:left="1020" w:hanging="503"/>
        <w:spacing w:after="0" w:line="245"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76" w:lineRule="exact"/>
        <w:rPr>
          <w:rFonts w:ascii="Arial" w:cs="Arial" w:eastAsia="Arial" w:hAnsi="Arial"/>
          <w:sz w:val="17"/>
          <w:szCs w:val="17"/>
          <w:color w:val="auto"/>
        </w:rPr>
      </w:pPr>
    </w:p>
    <w:p>
      <w:pPr>
        <w:ind w:left="1020" w:right="660" w:hanging="503"/>
        <w:spacing w:after="0" w:line="258"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6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76" w:lineRule="exact"/>
        <w:rPr>
          <w:sz w:val="20"/>
          <w:szCs w:val="20"/>
          <w:color w:val="auto"/>
        </w:rPr>
      </w:pPr>
    </w:p>
    <w:p>
      <w:pPr>
        <w:jc w:val="both"/>
        <w:ind w:right="300"/>
        <w:spacing w:after="0" w:line="285"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1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8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8"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misappropriated trade secrets, or are in breach of non-competition or non-solicitation agreements with our competitors.</w:t>
      </w:r>
    </w:p>
    <w:p>
      <w:pPr>
        <w:spacing w:after="0" w:line="3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8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Uncertainties resulting from the initiation and continuation of patent litigation or other intellectual property related proceedings could adversely affect our ability to compete in the marketplace.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10"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66"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4" w:right="359" w:bottom="1440" w:gutter="0" w:footer="0" w:header="0"/>
        </w:sectPr>
      </w:pPr>
    </w:p>
    <w:bookmarkStart w:id="87" w:name="page88"/>
    <w:bookmarkEnd w:id="87"/>
    <w:p>
      <w:pPr>
        <w:ind w:right="120"/>
        <w:spacing w:after="0" w:line="238" w:lineRule="auto"/>
        <w:rPr>
          <w:sz w:val="20"/>
          <w:szCs w:val="20"/>
          <w:color w:val="auto"/>
        </w:rPr>
      </w:pPr>
      <w:r>
        <w:rPr>
          <w:rFonts w:ascii="Arial" w:cs="Arial" w:eastAsia="Arial" w:hAnsi="Arial"/>
          <w:sz w:val="17"/>
          <w:szCs w:val="17"/>
          <w:color w:val="auto"/>
        </w:rPr>
        <w:t>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84"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8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76" w:lineRule="exact"/>
        <w:rPr>
          <w:sz w:val="20"/>
          <w:szCs w:val="20"/>
          <w:color w:val="auto"/>
        </w:rPr>
      </w:pPr>
    </w:p>
    <w:p>
      <w:pPr>
        <w:ind w:right="780"/>
        <w:spacing w:after="0" w:line="285"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3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 xml:space="preserve">ex-parte </w:t>
      </w:r>
      <w:r>
        <w:rPr>
          <w:rFonts w:ascii="Arial" w:cs="Arial" w:eastAsia="Arial" w:hAnsi="Arial"/>
          <w:sz w:val="17"/>
          <w:szCs w:val="17"/>
          <w:color w:val="auto"/>
        </w:rPr>
        <w:t>re-examination,</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or post-grant review proceedings. These proceedings are expensive and may consume our time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85"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8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8" w:name="page89"/>
    <w:bookmarkEnd w:id="88"/>
    <w:p>
      <w:pPr>
        <w:ind w:right="120"/>
        <w:spacing w:after="0" w:line="258" w:lineRule="auto"/>
        <w:rPr>
          <w:sz w:val="20"/>
          <w:szCs w:val="20"/>
          <w:color w:val="auto"/>
        </w:rPr>
      </w:pPr>
      <w:r>
        <w:rPr>
          <w:rFonts w:ascii="Arial" w:cs="Arial" w:eastAsia="Arial" w:hAnsi="Arial"/>
          <w:sz w:val="17"/>
          <w:szCs w:val="17"/>
          <w:color w:val="auto"/>
        </w:rPr>
        <w:t>alone or with our licensors, misappropriation of our trade secrets or confidential information, particularly in countries where the laws may not protect those rights as fully as in the United States.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4" w:lineRule="exact"/>
        <w:rPr>
          <w:sz w:val="20"/>
          <w:szCs w:val="20"/>
          <w:color w:val="auto"/>
        </w:rPr>
      </w:pPr>
    </w:p>
    <w:p>
      <w:pPr>
        <w:jc w:val="both"/>
        <w:ind w:right="340"/>
        <w:spacing w:after="0" w:line="258"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78" w:lineRule="exact"/>
        <w:rPr>
          <w:sz w:val="20"/>
          <w:szCs w:val="20"/>
          <w:color w:val="auto"/>
        </w:rPr>
      </w:pPr>
    </w:p>
    <w:p>
      <w:pPr>
        <w:ind w:right="520"/>
        <w:spacing w:after="0" w:line="285" w:lineRule="auto"/>
        <w:rPr>
          <w:sz w:val="20"/>
          <w:szCs w:val="20"/>
          <w:color w:val="auto"/>
        </w:rPr>
      </w:pPr>
      <w:r>
        <w:rPr>
          <w:rFonts w:ascii="Arial" w:cs="Arial" w:eastAsia="Arial" w:hAnsi="Arial"/>
          <w:sz w:val="17"/>
          <w:szCs w:val="17"/>
          <w:b w:val="1"/>
          <w:bCs w:val="1"/>
          <w:i w:val="1"/>
          <w:iCs w:val="1"/>
          <w:color w:val="auto"/>
        </w:rPr>
        <w:t>Any patents, if issued patents covering our product candidates could be found invalid or unenforceable if challenged in court or the USPTO.</w:t>
      </w:r>
    </w:p>
    <w:p>
      <w:pPr>
        <w:spacing w:after="0" w:line="3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89"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Likewise, we own a U.S. patent relating to our CAN-2409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2042, without taking into account any possible patent term adjustments or extensions. However, we cannot be assured that the USPTO or relevant foreign patent offices will grant any of these patent applications.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1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9" w:name="page90"/>
    <w:bookmarkEnd w:id="89"/>
    <w:p>
      <w:pPr>
        <w:ind w:right="180"/>
        <w:spacing w:after="0" w:line="258" w:lineRule="auto"/>
        <w:rPr>
          <w:sz w:val="20"/>
          <w:szCs w:val="20"/>
          <w:color w:val="auto"/>
        </w:rPr>
      </w:pPr>
      <w:r>
        <w:rPr>
          <w:rFonts w:ascii="Arial" w:cs="Arial" w:eastAsia="Arial" w:hAnsi="Arial"/>
          <w:sz w:val="17"/>
          <w:szCs w:val="17"/>
          <w:color w:val="auto"/>
        </w:rPr>
        <w:t>we do not have any issued patents and our patent claims or other intellectual property rights may not be effective or sufficient to prevent them from competing.</w:t>
      </w:r>
    </w:p>
    <w:p>
      <w:pPr>
        <w:spacing w:after="0" w:line="6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1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7" w:lineRule="exact"/>
        <w:rPr>
          <w:sz w:val="20"/>
          <w:szCs w:val="20"/>
          <w:color w:val="auto"/>
        </w:rPr>
      </w:pPr>
    </w:p>
    <w:p>
      <w:pPr>
        <w:ind w:right="840"/>
        <w:spacing w:after="0" w:line="285"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3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4" w:lineRule="exact"/>
        <w:rPr>
          <w:sz w:val="20"/>
          <w:szCs w:val="20"/>
          <w:color w:val="auto"/>
        </w:rPr>
      </w:pPr>
    </w:p>
    <w:p>
      <w:pPr>
        <w:ind w:right="400"/>
        <w:spacing w:after="0" w:line="285"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0"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to stockholders.</w:t>
      </w:r>
    </w:p>
    <w:p>
      <w:pPr>
        <w:spacing w:after="0" w:line="110"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Our stock price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purchased. The market price for our common stock may be influenced by many factors, including:</w:t>
      </w:r>
    </w:p>
    <w:p>
      <w:pPr>
        <w:spacing w:after="0" w:line="82"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commencement or termination of collaboration, licensing or similar arrangements for our development programs;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0" w:name="page91"/>
    <w:bookmarkEnd w:id="90"/>
    <w:p>
      <w:pPr>
        <w:ind w:left="1020" w:right="840" w:hanging="503"/>
        <w:spacing w:after="0" w:line="258"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announcements by our competitors of significant acquisitions, strategic partnerships, joint ventures, collaborations or capital commitments;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product candidates or products;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developments or setbacks related to drugs that are co-administered with any of our product candidates, such as checkpoint inhibitors;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expiration of market stand-off or lock-up agreements;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 overall fluctuations in the financial markets in the United States and abroad;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maintain compliance with Nasdaq’s continued listing requirements could result in the delisting of our common stock.</w:t>
      </w:r>
    </w:p>
    <w:p>
      <w:pPr>
        <w:spacing w:after="0" w:line="110"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Our common stock is currently listed for trading on The Nasdaq Global Market (“Nasdaq”). We must satisfy the continued listing requirements of Nasdaq to maintain the listing of our common stock on Nasdaq.</w:t>
      </w:r>
    </w:p>
    <w:p>
      <w:pPr>
        <w:spacing w:after="0" w:line="66"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If we are deficient in regaining compliance with and otherwise maintaining the necessary listing requirements, our common stock may be delisted. If our common stock is delisted, an active trading market for our common stock may not be sustained and the market price of our common stock could decline. Delisting of our common stock could adversely affect our ability to raise additional capital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76"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b w:val="1"/>
          <w:bCs w:val="1"/>
          <w:i w:val="1"/>
          <w:iCs w:val="1"/>
          <w:color w:val="auto"/>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p>
    <w:p>
      <w:pPr>
        <w:spacing w:after="0" w:line="5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(Shelf) pursuant to which we may issue up to $75.0 million in shares of common stock in sales deemed to be “at-the-market offerings” (the ATM Program) as defined by the Securities Act of 1933, as amended (Securities Act), and up to $200.0 million in shares of our common stock, preferred stock, debt securities, warrants and/or units. Any sale or issuance of securities pursuant to this registration statement or otherwise may result in dilution to our stockholders and may cause our stock price to decline. Due to the SEC’s “baby shelf rules,” which prohibit companies with a public float of less than $75.0 million from issuing securities under a shelf registration statement in excess of one third of such company’s public float in a 12-month period, we are currently only able to issue a limited number of shares which aggregate to no more than one-third of our public float using our Shelf. Although alternative public and private transaction structures may be available, these may require additional time and cost, may impose operational restrictions on us, and may not be available on attractive terms.</w:t>
      </w:r>
    </w:p>
    <w:p>
      <w:pPr>
        <w:spacing w:after="0" w:line="87"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Debt financing, if available, would increase our fixed payment obligations and may involve agreements that include covenants limiting or restricting our ability to take specific actions, such as incurring additional debt, acquiring, selling or licensing</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91" w:name="page92"/>
    <w:bookmarkEnd w:id="91"/>
    <w:p>
      <w:pPr>
        <w:ind w:right="100"/>
        <w:spacing w:after="0"/>
        <w:rPr>
          <w:sz w:val="20"/>
          <w:szCs w:val="20"/>
          <w:color w:val="auto"/>
        </w:rPr>
      </w:pPr>
      <w:r>
        <w:rPr>
          <w:rFonts w:ascii="Arial" w:cs="Arial" w:eastAsia="Arial" w:hAnsi="Arial"/>
          <w:sz w:val="17"/>
          <w:szCs w:val="17"/>
          <w:color w:val="auto"/>
        </w:rPr>
        <w:t>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8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76"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b w:val="1"/>
          <w:bCs w:val="1"/>
          <w:i w:val="1"/>
          <w:iCs w:val="1"/>
          <w:color w:val="auto"/>
        </w:rPr>
        <w:t>We are an “emerging growth company” as defined in the JOBS Act and a “smaller reporting company” as defined in the Securities Exchange Act of 1934, as amended (the Exchange Act), and will be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6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26,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85"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SOX Act (Section 404);</w:t>
      </w:r>
    </w:p>
    <w:p>
      <w:pPr>
        <w:spacing w:after="0" w:line="115" w:lineRule="exact"/>
        <w:rPr>
          <w:rFonts w:ascii="Arial" w:cs="Arial" w:eastAsia="Arial" w:hAnsi="Arial"/>
          <w:sz w:val="17"/>
          <w:szCs w:val="17"/>
          <w:color w:val="auto"/>
        </w:rPr>
      </w:pPr>
    </w:p>
    <w:p>
      <w:pPr>
        <w:ind w:left="1020" w:right="60" w:hanging="503"/>
        <w:spacing w:after="0" w:line="245"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6" w:lineRule="exact"/>
        <w:rPr>
          <w:rFonts w:ascii="Arial" w:cs="Arial" w:eastAsia="Arial" w:hAnsi="Arial"/>
          <w:sz w:val="17"/>
          <w:szCs w:val="17"/>
          <w:color w:val="auto"/>
        </w:rPr>
      </w:pPr>
    </w:p>
    <w:p>
      <w:pPr>
        <w:jc w:val="both"/>
        <w:ind w:left="1020" w:right="580" w:hanging="503"/>
        <w:spacing w:after="0" w:line="258"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and</w:t>
      </w:r>
    </w:p>
    <w:p>
      <w:pPr>
        <w:spacing w:after="0" w:line="115" w:lineRule="exact"/>
        <w:rPr>
          <w:rFonts w:ascii="Arial" w:cs="Arial" w:eastAsia="Arial" w:hAnsi="Arial"/>
          <w:sz w:val="17"/>
          <w:szCs w:val="17"/>
          <w:color w:val="auto"/>
        </w:rPr>
      </w:pPr>
    </w:p>
    <w:p>
      <w:pPr>
        <w:ind w:left="1020" w:right="140" w:hanging="503"/>
        <w:spacing w:after="0" w:line="258"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6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Annual Report on Form 10-K. In particular, we have provided only two years of audited financial statements and a correspondingly reduced “Management’s Discussion and Analysis of Financial Condition and Results of Operations” disclosure, and we have not included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8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82"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no longer qualify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84"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Although we are still evaluating the JOBS Act, we currently intend to take advantage of some, but not all, of the reduced regulatory and reporting requirements that will be available to us so long as we qualify as an “emerging growth company”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92" w:name="page93"/>
    <w:bookmarkEnd w:id="92"/>
    <w:p>
      <w:pPr>
        <w:ind w:right="160"/>
        <w:spacing w:after="0" w:line="234" w:lineRule="auto"/>
        <w:rPr>
          <w:sz w:val="20"/>
          <w:szCs w:val="20"/>
          <w:color w:val="auto"/>
        </w:rPr>
      </w:pPr>
      <w:r>
        <w:rPr>
          <w:rFonts w:ascii="Arial" w:cs="Arial" w:eastAsia="Arial" w:hAnsi="Arial"/>
          <w:sz w:val="17"/>
          <w:szCs w:val="17"/>
          <w:color w:val="auto"/>
        </w:rPr>
        <w:t>“smaller reporting company.” We have elected to avail ourselves of this exemption and, therefore, we are not subject to the same new or revised accounting standards as other public companies that are not emerging growth companies or smaller reporting company. As a result, changes in rules of U.S. GAAP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 “smaller reporting company” or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21" w:lineRule="exact"/>
        <w:rPr>
          <w:sz w:val="20"/>
          <w:szCs w:val="20"/>
          <w:color w:val="auto"/>
        </w:rPr>
      </w:pPr>
    </w:p>
    <w:p>
      <w:pPr>
        <w:ind w:right="320"/>
        <w:spacing w:after="0" w:line="285"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3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8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maintain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81" w:lineRule="exact"/>
        <w:rPr>
          <w:sz w:val="20"/>
          <w:szCs w:val="20"/>
          <w:color w:val="auto"/>
        </w:rPr>
      </w:pPr>
    </w:p>
    <w:p>
      <w:pPr>
        <w:ind w:right="340"/>
        <w:spacing w:after="0" w:line="285" w:lineRule="auto"/>
        <w:rPr>
          <w:sz w:val="20"/>
          <w:szCs w:val="20"/>
          <w:color w:val="auto"/>
        </w:rPr>
      </w:pPr>
      <w:r>
        <w:rPr>
          <w:rFonts w:ascii="Arial" w:cs="Arial" w:eastAsia="Arial" w:hAnsi="Arial"/>
          <w:sz w:val="17"/>
          <w:szCs w:val="17"/>
          <w:b w:val="1"/>
          <w:bCs w:val="1"/>
          <w:i w:val="1"/>
          <w:iCs w:val="1"/>
          <w:color w:val="auto"/>
        </w:rPr>
        <w:t>Sales of a substantial number of shares of our common stock by our existing stockholders in the public market could cause our stock price to fall.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3" w:name="page94"/>
    <w:bookmarkEnd w:id="93"/>
    <w:p>
      <w:pPr>
        <w:ind w:right="20"/>
        <w:spacing w:after="0" w:line="258"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November 1, 2023, we had a total of 28,919,810 shares of common stock outstanding.</w:t>
      </w:r>
    </w:p>
    <w:p>
      <w:pPr>
        <w:spacing w:after="0" w:line="66"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In addition, shares of common stock that are reserved for future issuance under our 2021 Plan and our 2021 Employee Stock Purchase Plan will become eligible for sale in the public market to the extent permitted by the provisions of various vesting schedules, Rule 144 and Rule 701 under the Securities Act. If these additional shares of common stock are sold, or if it is perceived that they will be sold, in the public market, the trading price of our common stock could decline.</w:t>
      </w:r>
    </w:p>
    <w:p>
      <w:pPr>
        <w:spacing w:after="0" w:line="82"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The holders of 8,884,661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74"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30"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68" w:lineRule="exact"/>
        <w:rPr>
          <w:sz w:val="20"/>
          <w:szCs w:val="20"/>
          <w:color w:val="auto"/>
        </w:rPr>
      </w:pPr>
    </w:p>
    <w:p>
      <w:pPr>
        <w:ind w:right="340"/>
        <w:spacing w:after="0" w:line="285"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3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existing holdings of our executive officers, directors, principal stockholders and their affiliates represent beneficial ownership, in the aggregate, of approximately 60.6% of our outstanding common stock with Estuardo Aguilar-Cordova and Laura Aguilar (together, both directly and indirectly) beneficially owning approximately 21.5% of our outstanding common stock, and with entities and persons affiliated with PBM Capital Group, LLC (PBM Capital), beneficially owning approximately 29.5% of our outstanding common stock. In addition, Diem Nguyen, who is a member of our Board of Directors, is currently Chief Executive Officer of Xalud Therapeutics, Inc., which is majority-owned by PBM Capital.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86"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delaying, deferring or preventing a change of control of us;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0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3"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66" w:lineRule="exact"/>
        <w:rPr>
          <w:sz w:val="20"/>
          <w:szCs w:val="20"/>
          <w:color w:val="auto"/>
        </w:rPr>
      </w:pPr>
    </w:p>
    <w:p>
      <w:pPr>
        <w:ind w:left="1020" w:right="540" w:hanging="503"/>
        <w:spacing w:after="0" w:line="258"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65" w:lineRule="exact"/>
        <w:rPr>
          <w:rFonts w:ascii="Arial" w:cs="Arial" w:eastAsia="Arial" w:hAnsi="Arial"/>
          <w:sz w:val="17"/>
          <w:szCs w:val="17"/>
          <w:color w:val="auto"/>
        </w:rPr>
      </w:pPr>
    </w:p>
    <w:p>
      <w:pPr>
        <w:ind w:left="1020" w:right="360" w:hanging="503"/>
        <w:spacing w:after="0" w:line="258"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65" w:lineRule="exact"/>
        <w:rPr>
          <w:rFonts w:ascii="Arial" w:cs="Arial" w:eastAsia="Arial" w:hAnsi="Arial"/>
          <w:sz w:val="17"/>
          <w:szCs w:val="17"/>
          <w:color w:val="auto"/>
        </w:rPr>
      </w:pPr>
    </w:p>
    <w:p>
      <w:pPr>
        <w:ind w:left="1020" w:hanging="503"/>
        <w:spacing w:after="0" w:line="258"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5" w:lineRule="exact"/>
        <w:rPr>
          <w:rFonts w:ascii="Arial" w:cs="Arial" w:eastAsia="Arial" w:hAnsi="Arial"/>
          <w:sz w:val="17"/>
          <w:szCs w:val="17"/>
          <w:color w:val="auto"/>
        </w:rPr>
      </w:pPr>
    </w:p>
    <w:p>
      <w:pPr>
        <w:ind w:left="1020" w:right="300" w:hanging="503"/>
        <w:spacing w:after="0" w:line="245"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6" w:lineRule="exact"/>
        <w:rPr>
          <w:rFonts w:ascii="Arial" w:cs="Arial" w:eastAsia="Arial" w:hAnsi="Arial"/>
          <w:sz w:val="17"/>
          <w:szCs w:val="17"/>
          <w:color w:val="auto"/>
        </w:rPr>
      </w:pPr>
    </w:p>
    <w:p>
      <w:pPr>
        <w:ind w:left="1020" w:right="140" w:hanging="503"/>
        <w:spacing w:after="0" w:line="258"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4" w:name="page95"/>
    <w:bookmarkEnd w:id="94"/>
    <w:p>
      <w:pPr>
        <w:ind w:left="1020" w:right="580" w:hanging="503"/>
        <w:spacing w:after="0" w:line="258" w:lineRule="auto"/>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6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4"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5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as our principal office is located in Needham, Massachusetts.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87"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81"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3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management's attention.</w:t>
      </w:r>
    </w:p>
    <w:p>
      <w:pPr>
        <w:spacing w:after="0" w:line="110" w:lineRule="exact"/>
        <w:rPr>
          <w:sz w:val="20"/>
          <w:szCs w:val="20"/>
          <w:color w:val="auto"/>
        </w:rPr>
      </w:pPr>
    </w:p>
    <w:p>
      <w:pPr>
        <w:jc w:val="both"/>
        <w:ind w:right="220"/>
        <w:spacing w:after="0"/>
        <w:rPr>
          <w:sz w:val="20"/>
          <w:szCs w:val="20"/>
          <w:color w:val="auto"/>
        </w:rPr>
      </w:pPr>
      <w:r>
        <w:rPr>
          <w:rFonts w:ascii="Arial" w:cs="Arial" w:eastAsia="Arial" w:hAnsi="Arial"/>
          <w:sz w:val="17"/>
          <w:szCs w:val="17"/>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were highly volatile as a result of the COVID-19 pandemic and may be volatile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5" w:name="page96"/>
    <w:bookmarkEnd w:id="95"/>
    <w:p>
      <w:pPr>
        <w:jc w:val="both"/>
        <w:spacing w:after="0" w:line="245" w:lineRule="auto"/>
        <w:rPr>
          <w:sz w:val="20"/>
          <w:szCs w:val="20"/>
          <w:color w:val="auto"/>
        </w:rPr>
      </w:pPr>
      <w:r>
        <w:rPr>
          <w:rFonts w:ascii="Arial" w:cs="Arial" w:eastAsia="Arial" w:hAnsi="Arial"/>
          <w:sz w:val="17"/>
          <w:szCs w:val="17"/>
          <w:color w:val="auto"/>
        </w:rPr>
        <w:t>as a result of a similar public health crisis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68" w:lineRule="exact"/>
        <w:rPr>
          <w:sz w:val="20"/>
          <w:szCs w:val="20"/>
          <w:color w:val="auto"/>
        </w:rPr>
      </w:pPr>
    </w:p>
    <w:p>
      <w:pPr>
        <w:ind w:right="700"/>
        <w:spacing w:after="0" w:line="285" w:lineRule="auto"/>
        <w:rPr>
          <w:sz w:val="20"/>
          <w:szCs w:val="20"/>
          <w:color w:val="auto"/>
        </w:rPr>
      </w:pPr>
      <w:r>
        <w:rPr>
          <w:rFonts w:ascii="Arial" w:cs="Arial" w:eastAsia="Arial" w:hAnsi="Arial"/>
          <w:sz w:val="17"/>
          <w:szCs w:val="17"/>
          <w:b w:val="1"/>
          <w:bCs w:val="1"/>
          <w:i w:val="1"/>
          <w:iCs w:val="1"/>
          <w:color w:val="auto"/>
        </w:rPr>
        <w:t>The number of shares of our common stock outstanding may increase substantially as a result of our November 2018 issuance of warrants to purchase up to an aggregate of 7,344,968 shares of common stock.</w:t>
      </w:r>
    </w:p>
    <w:p>
      <w:pPr>
        <w:spacing w:after="0" w:line="3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7"/>
          <w:szCs w:val="17"/>
          <w:color w:val="auto"/>
        </w:rPr>
        <w:t>connection with the November 13, 2018 issuance of Series B convertible preferred stock (the Series B Preferred), we issued to the purchaser of</w:t>
      </w:r>
      <w:r>
        <w:rPr>
          <w:rFonts w:ascii="Arial" w:cs="Arial" w:eastAsia="Arial" w:hAnsi="Arial"/>
          <w:sz w:val="18"/>
          <w:szCs w:val="18"/>
          <w:color w:val="auto"/>
        </w:rPr>
        <w:t xml:space="preserve"> </w:t>
      </w:r>
      <w:r>
        <w:rPr>
          <w:rFonts w:ascii="Arial" w:cs="Arial" w:eastAsia="Arial" w:hAnsi="Arial"/>
          <w:sz w:val="17"/>
          <w:szCs w:val="17"/>
          <w:color w:val="auto"/>
        </w:rPr>
        <w:t>the Series B Preferred, warrants to purchase 3,672,484 shares of common stock for $6.81 per share (the Series B Warrants) which were and remain fully exercisable upon issuance. The Series B Warrants contain provisions allowing cashless exercise.</w:t>
      </w:r>
    </w:p>
    <w:p>
      <w:pPr>
        <w:spacing w:after="0" w:line="81" w:lineRule="exact"/>
        <w:rPr>
          <w:sz w:val="20"/>
          <w:szCs w:val="20"/>
          <w:color w:val="auto"/>
        </w:rPr>
      </w:pPr>
    </w:p>
    <w:p>
      <w:pPr>
        <w:jc w:val="both"/>
        <w:ind w:right="260"/>
        <w:spacing w:after="0" w:line="245" w:lineRule="auto"/>
        <w:rPr>
          <w:sz w:val="20"/>
          <w:szCs w:val="20"/>
          <w:color w:val="auto"/>
        </w:rPr>
      </w:pPr>
      <w:r>
        <w:rPr>
          <w:rFonts w:ascii="Arial" w:cs="Arial" w:eastAsia="Arial" w:hAnsi="Arial"/>
          <w:sz w:val="17"/>
          <w:szCs w:val="17"/>
          <w:color w:val="auto"/>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spacing w:after="0" w:line="76"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5" w:lineRule="exact"/>
        <w:rPr>
          <w:rFonts w:ascii="Arial" w:cs="Arial" w:eastAsia="Arial" w:hAnsi="Arial"/>
          <w:sz w:val="17"/>
          <w:szCs w:val="17"/>
          <w:color w:val="auto"/>
        </w:rPr>
      </w:pPr>
    </w:p>
    <w:p>
      <w:pPr>
        <w:ind w:left="1020" w:right="40"/>
        <w:spacing w:after="0" w:line="243" w:lineRule="auto"/>
        <w:rPr>
          <w:rFonts w:ascii="Arial" w:cs="Arial" w:eastAsia="Arial" w:hAnsi="Arial"/>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78" w:lineRule="exact"/>
        <w:rPr>
          <w:rFonts w:ascii="Arial" w:cs="Arial" w:eastAsia="Arial" w:hAnsi="Arial"/>
          <w:sz w:val="17"/>
          <w:szCs w:val="17"/>
          <w:color w:val="auto"/>
        </w:rPr>
      </w:pPr>
    </w:p>
    <w:p>
      <w:pPr>
        <w:ind w:left="1020" w:right="800" w:hanging="503"/>
        <w:spacing w:after="0" w:line="258"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65" w:lineRule="exact"/>
        <w:rPr>
          <w:rFonts w:ascii="Arial" w:cs="Arial" w:eastAsia="Arial" w:hAnsi="Arial"/>
          <w:sz w:val="17"/>
          <w:szCs w:val="17"/>
          <w:color w:val="auto"/>
        </w:rPr>
      </w:pPr>
    </w:p>
    <w:p>
      <w:pPr>
        <w:ind w:left="1020" w:right="800" w:hanging="503"/>
        <w:spacing w:after="0" w:line="258"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65" w:lineRule="exact"/>
        <w:rPr>
          <w:rFonts w:ascii="Arial" w:cs="Arial" w:eastAsia="Arial" w:hAnsi="Arial"/>
          <w:sz w:val="17"/>
          <w:szCs w:val="17"/>
          <w:color w:val="auto"/>
        </w:rPr>
      </w:pPr>
    </w:p>
    <w:p>
      <w:pPr>
        <w:ind w:left="1020" w:right="800" w:hanging="503"/>
        <w:spacing w:after="0" w:line="258"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66"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77" w:lineRule="exact"/>
        <w:rPr>
          <w:sz w:val="20"/>
          <w:szCs w:val="20"/>
          <w:color w:val="auto"/>
        </w:rPr>
      </w:pPr>
    </w:p>
    <w:p>
      <w:pPr>
        <w:ind w:right="60" w:firstLine="47"/>
        <w:spacing w:after="0" w:line="237" w:lineRule="auto"/>
        <w:rPr>
          <w:sz w:val="20"/>
          <w:szCs w:val="20"/>
          <w:color w:val="auto"/>
        </w:rPr>
      </w:pPr>
      <w:r>
        <w:rPr>
          <w:rFonts w:ascii="Arial" w:cs="Arial" w:eastAsia="Arial" w:hAnsi="Arial"/>
          <w:sz w:val="17"/>
          <w:szCs w:val="17"/>
          <w:color w:val="auto"/>
        </w:rPr>
        <w:t>We recorded the Series B Warrants as a component of stockholder’s equity at the time of issuance at their estimated fair value of $2.1 million and recorded the Conditional Series B Warrants as a liability on the condensed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We will continue to recognize changes in the fair value of the Conditional Series B Warrants until each Conditional Series B Warrant is exercised, expires or qualifies for equity classification.</w:t>
      </w:r>
    </w:p>
    <w:p>
      <w:pPr>
        <w:spacing w:after="0" w:line="84"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 exercise such warrants in full, these holders could then have significant influence over the outcome of any stockholder vote, including the election of directors and the approval of mergers or other business combination transactions.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1" w:lineRule="exact"/>
        <w:rPr>
          <w:sz w:val="20"/>
          <w:szCs w:val="20"/>
          <w:color w:val="auto"/>
        </w:rPr>
      </w:pPr>
    </w:p>
    <w:p>
      <w:pPr>
        <w:ind w:right="7120" w:firstLine="8"/>
        <w:spacing w:after="0" w:line="381" w:lineRule="auto"/>
        <w:tabs>
          <w:tab w:leader="none" w:pos="256"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Sales of Unregistered Equity Securities </w:t>
      </w:r>
      <w:r>
        <w:rPr>
          <w:rFonts w:ascii="Arial" w:cs="Arial" w:eastAsia="Arial" w:hAnsi="Arial"/>
          <w:sz w:val="17"/>
          <w:szCs w:val="17"/>
          <w:color w:val="auto"/>
        </w:rPr>
        <w:t>None.</w:t>
      </w:r>
    </w:p>
    <w:p>
      <w:pPr>
        <w:ind w:left="280" w:hanging="272"/>
        <w:spacing w:after="0"/>
        <w:tabs>
          <w:tab w:leader="none" w:pos="28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Use of Proceeds from the Initial Public Offering of Common Stock</w:t>
      </w:r>
    </w:p>
    <w:p>
      <w:pPr>
        <w:spacing w:after="0" w:line="110"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On July 29, 2021, we issued and sold 9,000,000 shares of our common stock in the IPO, at a public offering price of $8.00 per share, and on August 13, 2021, we issued and sold an additional 887,994 shares of our common stock pursuant to the exercise in part by the underwriters of their option to purchase additional shares at the same public offering price.</w:t>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offer and sale of all the shares in the IPO, inclusive of the underwriters’ exercise in part of their option to purchase additional shares, were registered under the Securities Act pursuant to a registration statement on Form S-1 (Reg. No. 333-257444), as amended, which was declared effective by the SEC on July 26, 2021. Jefferies LLC, Credit Suisse Securities (USA) LLC, BMO Capital Markets Corp. and UBS Securities LLC acted as joint book-running managers for the offering. Upon completion of the IPO, inclusive of the underwriters’ exercise in part of their option to purchase additional shares, we received approximately $71.3 million in net proceeds, after deducting underwriting discounts and commissions and other offering expenses payable by us of approximately $7.8 million. No payments for any expenses were made directly or indirectly to (i) any of our officers or directors or their associates, (ii) any persons owning 10% or more of any class of our equity securities or (iii) any of our affiliates.</w:t>
      </w:r>
    </w:p>
    <w:p>
      <w:pPr>
        <w:spacing w:after="0" w:line="8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There has been no material change in the expected use of the net proceeds from our IPO as described in our final prospectus, dated July 26, 2021, filed with the SEC pursuant to Rule 424(b) relating to our registration statement on Form S-1 on July 28, 2021.</w:t>
      </w:r>
    </w:p>
    <w:p>
      <w:pPr>
        <w:spacing w:after="0" w:line="98" w:lineRule="exact"/>
        <w:rPr>
          <w:sz w:val="20"/>
          <w:szCs w:val="20"/>
          <w:color w:val="auto"/>
        </w:rPr>
      </w:pPr>
    </w:p>
    <w:p>
      <w:pPr>
        <w:ind w:right="7880" w:firstLine="8"/>
        <w:spacing w:after="0" w:line="391" w:lineRule="auto"/>
        <w:tabs>
          <w:tab w:leader="none" w:pos="256"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Issuer Purchases of Equity Securities </w:t>
      </w:r>
      <w:r>
        <w:rPr>
          <w:rFonts w:ascii="Arial" w:cs="Arial" w:eastAsia="Arial" w:hAnsi="Arial"/>
          <w:sz w:val="17"/>
          <w:szCs w:val="17"/>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7840" w:type="dxa"/>
            <w:vAlign w:val="bottom"/>
            <w:tcBorders>
              <w:bottom w:val="single" w:sz="8" w:color="auto"/>
            </w:tcBorders>
            <w:gridSpan w:val="14"/>
          </w:tcPr>
          <w:p>
            <w:pPr>
              <w:ind w:left="22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60" w:type="dxa"/>
            <w:vAlign w:val="bottom"/>
          </w:tcPr>
          <w:p>
            <w:pPr>
              <w:jc w:val="right"/>
              <w:ind w:right="390"/>
              <w:spacing w:after="0" w:line="16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10140" w:type="dxa"/>
            <w:vAlign w:val="bottom"/>
            <w:tcBorders>
              <w:bottom w:val="single" w:sz="8" w:color="0000FF"/>
            </w:tcBorders>
            <w:gridSpan w:val="14"/>
          </w:tcPr>
          <w:p>
            <w:pPr>
              <w:spacing w:after="0" w:line="169" w:lineRule="exact"/>
              <w:rPr>
                <w:rFonts w:ascii="Arial" w:cs="Arial" w:eastAsia="Arial" w:hAnsi="Arial"/>
                <w:sz w:val="18"/>
                <w:szCs w:val="18"/>
                <w:color w:val="0000FF"/>
              </w:rPr>
            </w:pPr>
            <w:hyperlink r:id="rId244">
              <w:r>
                <w:rPr>
                  <w:rFonts w:ascii="Arial" w:cs="Arial" w:eastAsia="Arial" w:hAnsi="Arial"/>
                  <w:sz w:val="18"/>
                  <w:szCs w:val="18"/>
                  <w:color w:val="0000FF"/>
                </w:rPr>
                <w:t>Amended and Restated Certificate of Incorporation of Candel Therapeutics, Inc. (incorporated by reference to Exhibit 3.1 to the</w:t>
              </w:r>
            </w:hyperlink>
          </w:p>
        </w:tc>
        <w:tc>
          <w:tcPr>
            <w:tcW w:w="20" w:type="dxa"/>
            <w:vAlign w:val="bottom"/>
          </w:tcPr>
          <w:p>
            <w:pPr>
              <w:spacing w:after="0"/>
              <w:rPr>
                <w:sz w:val="14"/>
                <w:szCs w:val="14"/>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60" w:type="dxa"/>
            <w:vAlign w:val="bottom"/>
            <w:gridSpan w:val="15"/>
          </w:tcPr>
          <w:p>
            <w:pPr>
              <w:spacing w:after="0" w:line="182" w:lineRule="exact"/>
              <w:rPr>
                <w:rFonts w:ascii="Arial" w:cs="Arial" w:eastAsia="Arial" w:hAnsi="Arial"/>
                <w:sz w:val="18"/>
                <w:szCs w:val="18"/>
                <w:color w:val="0000FF"/>
              </w:rPr>
            </w:pPr>
            <w:hyperlink r:id="rId244">
              <w:r>
                <w:rPr>
                  <w:rFonts w:ascii="Arial" w:cs="Arial" w:eastAsia="Arial" w:hAnsi="Arial"/>
                  <w:sz w:val="18"/>
                  <w:szCs w:val="18"/>
                  <w:color w:val="0000FF"/>
                </w:rPr>
                <w:t>Registrant’s Current Report on Form 8-K filed with the SEC on July 30, 2021)</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96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9620" w:type="dxa"/>
            <w:vAlign w:val="bottom"/>
            <w:tcBorders>
              <w:bottom w:val="single" w:sz="8" w:color="0000FF"/>
            </w:tcBorders>
            <w:gridSpan w:val="8"/>
          </w:tcPr>
          <w:p>
            <w:pPr>
              <w:spacing w:after="0" w:line="196" w:lineRule="exact"/>
              <w:rPr>
                <w:rFonts w:ascii="Arial" w:cs="Arial" w:eastAsia="Arial" w:hAnsi="Arial"/>
                <w:sz w:val="18"/>
                <w:szCs w:val="18"/>
                <w:color w:val="0000FF"/>
              </w:rPr>
            </w:pPr>
            <w:hyperlink r:id="rId245">
              <w:r>
                <w:rPr>
                  <w:rFonts w:ascii="Arial" w:cs="Arial" w:eastAsia="Arial" w:hAnsi="Arial"/>
                  <w:sz w:val="18"/>
                  <w:szCs w:val="18"/>
                  <w:color w:val="0000FF"/>
                </w:rPr>
                <w:t>Amended and Restated Bylaws of Candel Therapeutics, Inc. (incorporated by reference to Exhibit 3.2 to the Registrant’s</w:t>
              </w:r>
            </w:hyperlink>
          </w:p>
        </w:tc>
        <w:tc>
          <w:tcPr>
            <w:tcW w:w="540" w:type="dxa"/>
            <w:vAlign w:val="bottom"/>
            <w:gridSpan w:val="7"/>
          </w:tcPr>
          <w:p>
            <w:pPr>
              <w:spacing w:after="0"/>
              <w:rPr>
                <w:sz w:val="17"/>
                <w:szCs w:val="17"/>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60" w:type="dxa"/>
            <w:vAlign w:val="bottom"/>
            <w:gridSpan w:val="15"/>
          </w:tcPr>
          <w:p>
            <w:pPr>
              <w:spacing w:after="0" w:line="182" w:lineRule="exact"/>
              <w:rPr>
                <w:rFonts w:ascii="Arial" w:cs="Arial" w:eastAsia="Arial" w:hAnsi="Arial"/>
                <w:sz w:val="18"/>
                <w:szCs w:val="18"/>
                <w:color w:val="0000FF"/>
              </w:rPr>
            </w:pPr>
            <w:hyperlink r:id="rId245">
              <w:r>
                <w:rPr>
                  <w:rFonts w:ascii="Arial" w:cs="Arial" w:eastAsia="Arial" w:hAnsi="Arial"/>
                  <w:sz w:val="18"/>
                  <w:szCs w:val="18"/>
                  <w:color w:val="0000FF"/>
                </w:rPr>
                <w:t>Current Report on Form 8-K filed with the SEC on July 30, 2021)</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96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9880" w:type="dxa"/>
            <w:vAlign w:val="bottom"/>
            <w:tcBorders>
              <w:bottom w:val="single" w:sz="8" w:color="0000FF"/>
            </w:tcBorders>
            <w:gridSpan w:val="13"/>
          </w:tcPr>
          <w:p>
            <w:pPr>
              <w:spacing w:after="0" w:line="196" w:lineRule="exact"/>
              <w:rPr>
                <w:rFonts w:ascii="Arial" w:cs="Arial" w:eastAsia="Arial" w:hAnsi="Arial"/>
                <w:sz w:val="18"/>
                <w:szCs w:val="18"/>
                <w:color w:val="0000FF"/>
              </w:rPr>
            </w:pPr>
            <w:hyperlink r:id="rId246">
              <w:r>
                <w:rPr>
                  <w:rFonts w:ascii="Arial" w:cs="Arial" w:eastAsia="Arial" w:hAnsi="Arial"/>
                  <w:sz w:val="18"/>
                  <w:szCs w:val="18"/>
                  <w:color w:val="0000FF"/>
                </w:rPr>
                <w:t>Specimen Common Stock Certificate (incorporated by reference to Exhibit 4.1 to the Registrant’s Registration Statement on</w:t>
              </w:r>
            </w:hyperlink>
          </w:p>
        </w:tc>
        <w:tc>
          <w:tcPr>
            <w:tcW w:w="280" w:type="dxa"/>
            <w:vAlign w:val="bottom"/>
            <w:gridSpan w:val="2"/>
          </w:tcPr>
          <w:p>
            <w:pPr>
              <w:spacing w:after="0"/>
              <w:rPr>
                <w:sz w:val="17"/>
                <w:szCs w:val="17"/>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8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46">
              <w:r>
                <w:rPr>
                  <w:rFonts w:ascii="Arial" w:cs="Arial" w:eastAsia="Arial" w:hAnsi="Arial"/>
                  <w:sz w:val="18"/>
                  <w:szCs w:val="18"/>
                  <w:color w:val="0000FF"/>
                  <w:w w:val="99"/>
                </w:rPr>
                <w:t>Form S-1/A (File No. 333- 257444) filed with the SEC on July 16, 2021)</w:t>
              </w:r>
            </w:hyperlink>
          </w:p>
        </w:tc>
        <w:tc>
          <w:tcPr>
            <w:tcW w:w="20" w:type="dxa"/>
            <w:vAlign w:val="bottom"/>
            <w:tcBorders>
              <w:bottom w:val="single" w:sz="8" w:color="0000EE"/>
            </w:tcBorders>
          </w:tcPr>
          <w:p>
            <w:pPr>
              <w:spacing w:after="0"/>
              <w:rPr>
                <w:sz w:val="15"/>
                <w:szCs w:val="15"/>
                <w:color w:val="auto"/>
              </w:rPr>
            </w:pPr>
          </w:p>
        </w:tc>
        <w:tc>
          <w:tcPr>
            <w:tcW w:w="4460" w:type="dxa"/>
            <w:vAlign w:val="bottom"/>
            <w:gridSpan w:val="11"/>
          </w:tcPr>
          <w:p>
            <w:pPr>
              <w:spacing w:after="0"/>
              <w:rPr>
                <w:sz w:val="15"/>
                <w:szCs w:val="15"/>
                <w:color w:val="auto"/>
              </w:rPr>
            </w:pPr>
          </w:p>
        </w:tc>
      </w:tr>
      <w:tr>
        <w:trPr>
          <w:trHeight w:val="196"/>
        </w:trPr>
        <w:tc>
          <w:tcPr>
            <w:tcW w:w="96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9860"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300" w:type="dxa"/>
            <w:vAlign w:val="bottom"/>
            <w:gridSpan w:val="3"/>
          </w:tcPr>
          <w:p>
            <w:pPr>
              <w:spacing w:after="0"/>
              <w:rPr>
                <w:sz w:val="17"/>
                <w:szCs w:val="17"/>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4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bottom w:val="single" w:sz="8" w:color="0000EE"/>
            </w:tcBorders>
          </w:tcPr>
          <w:p>
            <w:pPr>
              <w:spacing w:after="0"/>
              <w:rPr>
                <w:sz w:val="15"/>
                <w:szCs w:val="15"/>
                <w:color w:val="auto"/>
              </w:rPr>
            </w:pPr>
          </w:p>
        </w:tc>
        <w:tc>
          <w:tcPr>
            <w:tcW w:w="3900" w:type="dxa"/>
            <w:vAlign w:val="bottom"/>
            <w:gridSpan w:val="8"/>
          </w:tcPr>
          <w:p>
            <w:pPr>
              <w:spacing w:after="0"/>
              <w:rPr>
                <w:sz w:val="15"/>
                <w:szCs w:val="15"/>
                <w:color w:val="auto"/>
              </w:rPr>
            </w:pPr>
          </w:p>
        </w:tc>
      </w:tr>
      <w:tr>
        <w:trPr>
          <w:trHeight w:val="196"/>
        </w:trPr>
        <w:tc>
          <w:tcPr>
            <w:tcW w:w="96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980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360" w:type="dxa"/>
            <w:vAlign w:val="bottom"/>
            <w:gridSpan w:val="4"/>
          </w:tcPr>
          <w:p>
            <w:pPr>
              <w:spacing w:after="0"/>
              <w:rPr>
                <w:sz w:val="17"/>
                <w:szCs w:val="17"/>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4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bottom w:val="single" w:sz="8" w:color="0000EE"/>
            </w:tcBorders>
          </w:tcPr>
          <w:p>
            <w:pPr>
              <w:spacing w:after="0"/>
              <w:rPr>
                <w:sz w:val="15"/>
                <w:szCs w:val="15"/>
                <w:color w:val="auto"/>
              </w:rPr>
            </w:pPr>
          </w:p>
        </w:tc>
        <w:tc>
          <w:tcPr>
            <w:tcW w:w="3900" w:type="dxa"/>
            <w:vAlign w:val="bottom"/>
            <w:gridSpan w:val="8"/>
          </w:tcPr>
          <w:p>
            <w:pPr>
              <w:spacing w:after="0"/>
              <w:rPr>
                <w:sz w:val="15"/>
                <w:szCs w:val="15"/>
                <w:color w:val="auto"/>
              </w:rPr>
            </w:pPr>
          </w:p>
        </w:tc>
      </w:tr>
      <w:tr>
        <w:trPr>
          <w:trHeight w:val="196"/>
        </w:trPr>
        <w:tc>
          <w:tcPr>
            <w:tcW w:w="9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974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c>
          <w:tcPr>
            <w:tcW w:w="420" w:type="dxa"/>
            <w:vAlign w:val="bottom"/>
            <w:gridSpan w:val="5"/>
          </w:tcPr>
          <w:p>
            <w:pPr>
              <w:spacing w:after="0"/>
              <w:rPr>
                <w:sz w:val="17"/>
                <w:szCs w:val="17"/>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60" w:type="dxa"/>
            <w:vAlign w:val="bottom"/>
            <w:gridSpan w:val="15"/>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360" w:type="dxa"/>
            <w:vAlign w:val="bottom"/>
            <w:gridSpan w:val="8"/>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r>
      <w:tr>
        <w:trPr>
          <w:trHeight w:val="196"/>
        </w:trPr>
        <w:tc>
          <w:tcPr>
            <w:tcW w:w="9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7"/>
                <w:szCs w:val="17"/>
                <w:color w:val="auto"/>
              </w:rPr>
            </w:pPr>
          </w:p>
        </w:tc>
        <w:tc>
          <w:tcPr>
            <w:tcW w:w="968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480" w:type="dxa"/>
            <w:vAlign w:val="bottom"/>
            <w:gridSpan w:val="6"/>
          </w:tcPr>
          <w:p>
            <w:pPr>
              <w:spacing w:after="0"/>
              <w:rPr>
                <w:sz w:val="17"/>
                <w:szCs w:val="17"/>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60" w:type="dxa"/>
            <w:vAlign w:val="bottom"/>
            <w:gridSpan w:val="15"/>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840" w:type="dxa"/>
            <w:vAlign w:val="bottom"/>
            <w:gridSpan w:val="14"/>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8"/>
                <w:szCs w:val="18"/>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w:t>
            </w:r>
          </w:p>
        </w:tc>
      </w:tr>
      <w:tr>
        <w:trPr>
          <w:trHeight w:val="216"/>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9"/>
                <w:szCs w:val="19"/>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9"/>
                <w:szCs w:val="19"/>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9"/>
                <w:szCs w:val="19"/>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9"/>
                <w:szCs w:val="19"/>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9"/>
                <w:szCs w:val="19"/>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 w:lineRule="exact"/>
        <w:rPr>
          <w:sz w:val="20"/>
          <w:szCs w:val="20"/>
          <w:color w:val="auto"/>
        </w:rPr>
      </w:pPr>
    </w:p>
    <w:p>
      <w:pPr>
        <w:ind w:right="3880" w:firstLine="21"/>
        <w:spacing w:after="0" w:line="419"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(embedded within the Inline XBRL document) </w:t>
      </w:r>
      <w:r>
        <w:rPr>
          <w:rFonts w:ascii="Arial" w:cs="Arial" w:eastAsia="Arial" w:hAnsi="Arial"/>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9512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jc w:val="both"/>
        <w:ind w:right="180" w:firstLine="8"/>
        <w:spacing w:after="0" w:line="245" w:lineRule="auto"/>
        <w:tabs>
          <w:tab w:leader="none" w:pos="147"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certifications furnished in Exhibits 32.1 and 32.2 hereto are deemed to be furnished with this Form 10-Q and will not be deemed to be “filed” for purposes of Section 18 of the Securities Exchange Act of 1934, as amended, except to the extent that the Registrant specifically incorporates it by reference.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8" w:name="page99"/>
    <w:bookmarkEnd w:id="98"/>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Candel Therapeutics, Inc.</w:t>
      </w:r>
    </w:p>
    <w:p>
      <w:pPr>
        <w:spacing w:after="0" w:line="210" w:lineRule="exact"/>
        <w:rPr>
          <w:sz w:val="20"/>
          <w:szCs w:val="20"/>
          <w:color w:val="auto"/>
        </w:rPr>
      </w:pPr>
    </w:p>
    <w:p>
      <w:pPr>
        <w:ind w:left="20"/>
        <w:spacing w:after="0"/>
        <w:tabs>
          <w:tab w:leader="none" w:pos="5680" w:val="left"/>
          <w:tab w:leader="none" w:pos="7940" w:val="left"/>
        </w:tabs>
        <w:rPr>
          <w:sz w:val="20"/>
          <w:szCs w:val="20"/>
          <w:color w:val="auto"/>
        </w:rPr>
      </w:pPr>
      <w:r>
        <w:rPr>
          <w:rFonts w:ascii="Arial" w:cs="Arial" w:eastAsia="Arial" w:hAnsi="Arial"/>
          <w:sz w:val="17"/>
          <w:szCs w:val="17"/>
          <w:color w:val="auto"/>
        </w:rPr>
        <w:t>Date: November 9,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15875</wp:posOffset>
            </wp:positionV>
            <wp:extent cx="33089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Paul Peter Tak</w:t>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President and Chief Executive Officer</w:t>
      </w:r>
    </w:p>
    <w:p>
      <w:pPr>
        <w:spacing w:after="0" w:line="211" w:lineRule="exact"/>
        <w:rPr>
          <w:sz w:val="20"/>
          <w:szCs w:val="20"/>
          <w:color w:val="auto"/>
        </w:rPr>
      </w:pPr>
    </w:p>
    <w:p>
      <w:pPr>
        <w:ind w:left="20"/>
        <w:spacing w:after="0"/>
        <w:tabs>
          <w:tab w:leader="none" w:pos="5680" w:val="left"/>
          <w:tab w:leader="none" w:pos="7880" w:val="left"/>
        </w:tabs>
        <w:rPr>
          <w:sz w:val="20"/>
          <w:szCs w:val="20"/>
          <w:color w:val="auto"/>
        </w:rPr>
      </w:pPr>
      <w:r>
        <w:rPr>
          <w:rFonts w:ascii="Arial" w:cs="Arial" w:eastAsia="Arial" w:hAnsi="Arial"/>
          <w:sz w:val="17"/>
          <w:szCs w:val="17"/>
          <w:color w:val="auto"/>
        </w:rPr>
        <w:t>Date: November 9,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Jason A. Amello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15875</wp:posOffset>
            </wp:positionV>
            <wp:extent cx="330898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3" w:lineRule="exact"/>
        <w:rPr>
          <w:sz w:val="20"/>
          <w:szCs w:val="20"/>
          <w:color w:val="auto"/>
        </w:rPr>
      </w:pPr>
    </w:p>
    <w:p>
      <w:pPr>
        <w:ind w:left="8020"/>
        <w:spacing w:after="0"/>
        <w:rPr>
          <w:sz w:val="20"/>
          <w:szCs w:val="20"/>
          <w:color w:val="auto"/>
        </w:rPr>
      </w:pPr>
      <w:r>
        <w:rPr>
          <w:rFonts w:ascii="Arial" w:cs="Arial" w:eastAsia="Arial" w:hAnsi="Arial"/>
          <w:sz w:val="17"/>
          <w:szCs w:val="17"/>
          <w:color w:val="auto"/>
        </w:rPr>
        <w:t>Jason A. Amello</w:t>
      </w:r>
    </w:p>
    <w:p>
      <w:pPr>
        <w:spacing w:after="0" w:line="1"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Chief Financial Officer</w:t>
      </w:r>
    </w:p>
    <w:p>
      <w:pPr>
        <w:ind w:left="646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0" w:lineRule="exact"/>
        <w:rPr>
          <w:sz w:val="20"/>
          <w:szCs w:val="20"/>
          <w:color w:val="auto"/>
        </w:rPr>
      </w:pPr>
    </w:p>
    <w:p>
      <w:pPr>
        <w:spacing w:after="0" w:line="23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19" w:right="7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31.1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I, Paul Peter Tak, certify that:</w:t>
      </w:r>
    </w:p>
    <w:p>
      <w:pPr>
        <w:spacing w:after="0" w:line="112" w:lineRule="exact"/>
        <w:rPr>
          <w:sz w:val="20"/>
          <w:szCs w:val="20"/>
          <w:color w:val="auto"/>
        </w:rPr>
      </w:pPr>
    </w:p>
    <w:p>
      <w:pPr>
        <w:ind w:left="480" w:hanging="472"/>
        <w:spacing w:after="0"/>
        <w:tabs>
          <w:tab w:leader="none" w:pos="4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Candel Therapeutics, Inc.;</w:t>
      </w:r>
    </w:p>
    <w:p>
      <w:pPr>
        <w:spacing w:after="0" w:line="111" w:lineRule="exact"/>
        <w:rPr>
          <w:rFonts w:ascii="Arial" w:cs="Arial" w:eastAsia="Arial" w:hAnsi="Arial"/>
          <w:sz w:val="22"/>
          <w:szCs w:val="22"/>
          <w:color w:val="auto"/>
        </w:rPr>
      </w:pPr>
    </w:p>
    <w:p>
      <w:pPr>
        <w:ind w:left="520" w:right="260" w:hanging="512"/>
        <w:spacing w:after="0" w:line="241" w:lineRule="auto"/>
        <w:tabs>
          <w:tab w:leader="none" w:pos="491" w:val="left"/>
        </w:tabs>
        <w:numPr>
          <w:ilvl w:val="0"/>
          <w:numId w:val="5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Arial" w:cs="Arial" w:eastAsia="Arial" w:hAnsi="Arial"/>
          <w:sz w:val="22"/>
          <w:szCs w:val="22"/>
          <w:color w:val="auto"/>
        </w:rPr>
      </w:pPr>
    </w:p>
    <w:p>
      <w:pPr>
        <w:jc w:val="both"/>
        <w:ind w:left="520" w:right="260" w:hanging="512"/>
        <w:spacing w:after="0" w:line="241" w:lineRule="auto"/>
        <w:tabs>
          <w:tab w:leader="none" w:pos="491" w:val="left"/>
        </w:tabs>
        <w:numPr>
          <w:ilvl w:val="0"/>
          <w:numId w:val="5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22"/>
          <w:szCs w:val="22"/>
          <w:color w:val="auto"/>
        </w:rPr>
      </w:pPr>
    </w:p>
    <w:p>
      <w:pPr>
        <w:ind w:left="520" w:right="180" w:hanging="512"/>
        <w:spacing w:after="0" w:line="258" w:lineRule="auto"/>
        <w:tabs>
          <w:tab w:leader="none" w:pos="491"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21"/>
          <w:szCs w:val="21"/>
          <w:color w:val="auto"/>
        </w:rPr>
      </w:pPr>
    </w:p>
    <w:p>
      <w:pPr>
        <w:ind w:left="1020" w:right="140" w:hanging="479"/>
        <w:spacing w:after="0" w:line="238" w:lineRule="auto"/>
        <w:tabs>
          <w:tab w:leader="none" w:pos="1015" w:val="left"/>
        </w:tabs>
        <w:numPr>
          <w:ilvl w:val="1"/>
          <w:numId w:val="5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22"/>
          <w:szCs w:val="22"/>
          <w:color w:val="auto"/>
        </w:rPr>
      </w:pPr>
    </w:p>
    <w:p>
      <w:pPr>
        <w:ind w:left="1020" w:right="20" w:hanging="479"/>
        <w:spacing w:after="0" w:line="238" w:lineRule="auto"/>
        <w:tabs>
          <w:tab w:leader="none" w:pos="1015" w:val="left"/>
        </w:tabs>
        <w:numPr>
          <w:ilvl w:val="1"/>
          <w:numId w:val="57"/>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0" w:lineRule="exact"/>
        <w:rPr>
          <w:rFonts w:ascii="Arial" w:cs="Arial" w:eastAsia="Arial" w:hAnsi="Arial"/>
          <w:sz w:val="22"/>
          <w:szCs w:val="22"/>
          <w:color w:val="auto"/>
        </w:rPr>
      </w:pPr>
    </w:p>
    <w:p>
      <w:pPr>
        <w:ind w:left="1020" w:right="200" w:hanging="479"/>
        <w:spacing w:after="0" w:line="241" w:lineRule="auto"/>
        <w:tabs>
          <w:tab w:leader="none" w:pos="1015" w:val="left"/>
        </w:tabs>
        <w:numPr>
          <w:ilvl w:val="1"/>
          <w:numId w:val="5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22"/>
          <w:szCs w:val="22"/>
          <w:color w:val="auto"/>
        </w:rPr>
      </w:pPr>
    </w:p>
    <w:p>
      <w:pPr>
        <w:ind w:left="1020" w:right="120" w:hanging="479"/>
        <w:spacing w:after="0" w:line="238" w:lineRule="auto"/>
        <w:tabs>
          <w:tab w:leader="none" w:pos="1015" w:val="left"/>
        </w:tabs>
        <w:numPr>
          <w:ilvl w:val="1"/>
          <w:numId w:val="5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22"/>
          <w:szCs w:val="22"/>
          <w:color w:val="auto"/>
        </w:rPr>
      </w:pPr>
    </w:p>
    <w:p>
      <w:pPr>
        <w:jc w:val="both"/>
        <w:ind w:left="520" w:right="240" w:hanging="512"/>
        <w:spacing w:after="0" w:line="241" w:lineRule="auto"/>
        <w:tabs>
          <w:tab w:leader="none" w:pos="491"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22"/>
          <w:szCs w:val="22"/>
          <w:color w:val="auto"/>
        </w:rPr>
      </w:pPr>
    </w:p>
    <w:p>
      <w:pPr>
        <w:ind w:left="1020" w:right="120" w:hanging="479"/>
        <w:spacing w:after="0" w:line="241" w:lineRule="auto"/>
        <w:tabs>
          <w:tab w:leader="none" w:pos="1015" w:val="left"/>
        </w:tabs>
        <w:numPr>
          <w:ilvl w:val="1"/>
          <w:numId w:val="5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22"/>
          <w:szCs w:val="22"/>
          <w:color w:val="auto"/>
        </w:rPr>
      </w:pPr>
    </w:p>
    <w:p>
      <w:pPr>
        <w:ind w:left="1020" w:right="240" w:hanging="479"/>
        <w:spacing w:after="0" w:line="251" w:lineRule="auto"/>
        <w:tabs>
          <w:tab w:leader="none" w:pos="1015"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92" w:lineRule="exact"/>
        <w:rPr>
          <w:sz w:val="20"/>
          <w:szCs w:val="20"/>
          <w:color w:val="auto"/>
        </w:rPr>
      </w:pPr>
    </w:p>
    <w:p>
      <w:pPr>
        <w:ind w:left="20"/>
        <w:spacing w:after="0"/>
        <w:tabs>
          <w:tab w:leader="none" w:pos="5640" w:val="left"/>
          <w:tab w:leader="none" w:pos="7840" w:val="left"/>
        </w:tabs>
        <w:rPr>
          <w:sz w:val="20"/>
          <w:szCs w:val="20"/>
          <w:color w:val="auto"/>
        </w:rPr>
      </w:pPr>
      <w:r>
        <w:rPr>
          <w:rFonts w:ascii="Arial" w:cs="Arial" w:eastAsia="Arial" w:hAnsi="Arial"/>
          <w:sz w:val="22"/>
          <w:szCs w:val="22"/>
          <w:color w:val="auto"/>
        </w:rPr>
        <w:t>Date: November 9, 2023</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22"/>
          <w:szCs w:val="22"/>
          <w:b w:val="1"/>
          <w:bCs w:val="1"/>
          <w:color w:val="auto"/>
        </w:rPr>
        <w:t>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-157480</wp:posOffset>
            </wp:positionV>
            <wp:extent cx="32061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00" w:name="page101"/>
    <w:bookmarkEnd w:id="100"/>
    <w:p>
      <w:pPr>
        <w:jc w:val="center"/>
        <w:ind w:left="6160"/>
        <w:spacing w:after="0"/>
        <w:rPr>
          <w:sz w:val="20"/>
          <w:szCs w:val="20"/>
          <w:color w:val="auto"/>
        </w:rPr>
      </w:pPr>
      <w:r>
        <w:rPr>
          <w:rFonts w:ascii="Arial" w:cs="Arial" w:eastAsia="Arial" w:hAnsi="Arial"/>
          <w:sz w:val="21"/>
          <w:szCs w:val="21"/>
          <w:b w:val="1"/>
          <w:bCs w:val="1"/>
          <w:color w:val="auto"/>
        </w:rPr>
        <w:t>President and Chief Executive Officer</w:t>
      </w:r>
    </w:p>
    <w:p>
      <w:pPr>
        <w:spacing w:after="0" w:line="28" w:lineRule="exact"/>
        <w:rPr>
          <w:sz w:val="20"/>
          <w:szCs w:val="20"/>
          <w:color w:val="auto"/>
        </w:rPr>
      </w:pPr>
    </w:p>
    <w:p>
      <w:pPr>
        <w:jc w:val="center"/>
        <w:ind w:left="616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294005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20"/>
          </w:cols>
          <w:pgMar w:left="1440" w:top="364" w:right="9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31.2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I, Jason A. Amello, certify that:</w:t>
      </w:r>
    </w:p>
    <w:p>
      <w:pPr>
        <w:spacing w:after="0" w:line="112" w:lineRule="exact"/>
        <w:rPr>
          <w:sz w:val="20"/>
          <w:szCs w:val="20"/>
          <w:color w:val="auto"/>
        </w:rPr>
      </w:pPr>
    </w:p>
    <w:p>
      <w:pPr>
        <w:ind w:left="480" w:hanging="472"/>
        <w:spacing w:after="0"/>
        <w:tabs>
          <w:tab w:leader="none" w:pos="4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Candel Therapeutics, Inc.;</w:t>
      </w:r>
    </w:p>
    <w:p>
      <w:pPr>
        <w:spacing w:after="0" w:line="111" w:lineRule="exact"/>
        <w:rPr>
          <w:rFonts w:ascii="Arial" w:cs="Arial" w:eastAsia="Arial" w:hAnsi="Arial"/>
          <w:sz w:val="22"/>
          <w:szCs w:val="22"/>
          <w:color w:val="auto"/>
        </w:rPr>
      </w:pPr>
    </w:p>
    <w:p>
      <w:pPr>
        <w:ind w:left="520" w:right="260" w:hanging="512"/>
        <w:spacing w:after="0" w:line="241" w:lineRule="auto"/>
        <w:tabs>
          <w:tab w:leader="none" w:pos="491" w:val="left"/>
        </w:tabs>
        <w:numPr>
          <w:ilvl w:val="0"/>
          <w:numId w:val="5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Arial" w:cs="Arial" w:eastAsia="Arial" w:hAnsi="Arial"/>
          <w:sz w:val="22"/>
          <w:szCs w:val="22"/>
          <w:color w:val="auto"/>
        </w:rPr>
      </w:pPr>
    </w:p>
    <w:p>
      <w:pPr>
        <w:jc w:val="both"/>
        <w:ind w:left="520" w:right="260" w:hanging="512"/>
        <w:spacing w:after="0" w:line="241" w:lineRule="auto"/>
        <w:tabs>
          <w:tab w:leader="none" w:pos="491" w:val="left"/>
        </w:tabs>
        <w:numPr>
          <w:ilvl w:val="0"/>
          <w:numId w:val="5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22"/>
          <w:szCs w:val="22"/>
          <w:color w:val="auto"/>
        </w:rPr>
      </w:pPr>
    </w:p>
    <w:p>
      <w:pPr>
        <w:ind w:left="520" w:right="180" w:hanging="512"/>
        <w:spacing w:after="0" w:line="258" w:lineRule="auto"/>
        <w:tabs>
          <w:tab w:leader="none" w:pos="491"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21"/>
          <w:szCs w:val="21"/>
          <w:color w:val="auto"/>
        </w:rPr>
      </w:pPr>
    </w:p>
    <w:p>
      <w:pPr>
        <w:ind w:left="1020" w:right="140" w:hanging="479"/>
        <w:spacing w:after="0" w:line="238" w:lineRule="auto"/>
        <w:tabs>
          <w:tab w:leader="none" w:pos="1015" w:val="left"/>
        </w:tabs>
        <w:numPr>
          <w:ilvl w:val="1"/>
          <w:numId w:val="5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22"/>
          <w:szCs w:val="22"/>
          <w:color w:val="auto"/>
        </w:rPr>
      </w:pPr>
    </w:p>
    <w:p>
      <w:pPr>
        <w:ind w:left="1020" w:right="20" w:hanging="479"/>
        <w:spacing w:after="0" w:line="238" w:lineRule="auto"/>
        <w:tabs>
          <w:tab w:leader="none" w:pos="1015" w:val="left"/>
        </w:tabs>
        <w:numPr>
          <w:ilvl w:val="1"/>
          <w:numId w:val="58"/>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0" w:lineRule="exact"/>
        <w:rPr>
          <w:rFonts w:ascii="Arial" w:cs="Arial" w:eastAsia="Arial" w:hAnsi="Arial"/>
          <w:sz w:val="22"/>
          <w:szCs w:val="22"/>
          <w:color w:val="auto"/>
        </w:rPr>
      </w:pPr>
    </w:p>
    <w:p>
      <w:pPr>
        <w:ind w:left="1020" w:right="200" w:hanging="479"/>
        <w:spacing w:after="0" w:line="241" w:lineRule="auto"/>
        <w:tabs>
          <w:tab w:leader="none" w:pos="1015" w:val="left"/>
        </w:tabs>
        <w:numPr>
          <w:ilvl w:val="1"/>
          <w:numId w:val="5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22"/>
          <w:szCs w:val="22"/>
          <w:color w:val="auto"/>
        </w:rPr>
      </w:pPr>
    </w:p>
    <w:p>
      <w:pPr>
        <w:ind w:left="1020" w:right="120" w:hanging="479"/>
        <w:spacing w:after="0" w:line="238" w:lineRule="auto"/>
        <w:tabs>
          <w:tab w:leader="none" w:pos="1015" w:val="left"/>
        </w:tabs>
        <w:numPr>
          <w:ilvl w:val="1"/>
          <w:numId w:val="5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22"/>
          <w:szCs w:val="22"/>
          <w:color w:val="auto"/>
        </w:rPr>
      </w:pPr>
    </w:p>
    <w:p>
      <w:pPr>
        <w:jc w:val="both"/>
        <w:ind w:left="520" w:right="240" w:hanging="512"/>
        <w:spacing w:after="0" w:line="241" w:lineRule="auto"/>
        <w:tabs>
          <w:tab w:leader="none" w:pos="491"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22"/>
          <w:szCs w:val="22"/>
          <w:color w:val="auto"/>
        </w:rPr>
      </w:pPr>
    </w:p>
    <w:p>
      <w:pPr>
        <w:ind w:left="1020" w:right="120" w:hanging="479"/>
        <w:spacing w:after="0" w:line="241" w:lineRule="auto"/>
        <w:tabs>
          <w:tab w:leader="none" w:pos="1015" w:val="left"/>
        </w:tabs>
        <w:numPr>
          <w:ilvl w:val="1"/>
          <w:numId w:val="5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22"/>
          <w:szCs w:val="22"/>
          <w:color w:val="auto"/>
        </w:rPr>
      </w:pPr>
    </w:p>
    <w:p>
      <w:pPr>
        <w:ind w:left="1020" w:right="240" w:hanging="479"/>
        <w:spacing w:after="0" w:line="251" w:lineRule="auto"/>
        <w:tabs>
          <w:tab w:leader="none" w:pos="1015" w:val="left"/>
        </w:tabs>
        <w:numPr>
          <w:ilvl w:val="1"/>
          <w:numId w:val="5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92" w:lineRule="exact"/>
        <w:rPr>
          <w:sz w:val="20"/>
          <w:szCs w:val="20"/>
          <w:color w:val="auto"/>
        </w:rPr>
      </w:pPr>
    </w:p>
    <w:p>
      <w:pPr>
        <w:ind w:left="20"/>
        <w:spacing w:after="0"/>
        <w:tabs>
          <w:tab w:leader="none" w:pos="5640" w:val="left"/>
          <w:tab w:leader="none" w:pos="7780" w:val="left"/>
        </w:tabs>
        <w:rPr>
          <w:sz w:val="20"/>
          <w:szCs w:val="20"/>
          <w:color w:val="auto"/>
        </w:rPr>
      </w:pPr>
      <w:r>
        <w:rPr>
          <w:rFonts w:ascii="Arial" w:cs="Arial" w:eastAsia="Arial" w:hAnsi="Arial"/>
          <w:sz w:val="22"/>
          <w:szCs w:val="22"/>
          <w:color w:val="auto"/>
        </w:rPr>
        <w:t>Date: November 9, 2023</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Jason A. Amello</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22"/>
          <w:szCs w:val="22"/>
          <w:b w:val="1"/>
          <w:bCs w:val="1"/>
          <w:color w:val="auto"/>
        </w:rPr>
        <w:t>Jason A. Amello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-157480</wp:posOffset>
            </wp:positionV>
            <wp:extent cx="32061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02" w:name="page103"/>
    <w:bookmarkEnd w:id="102"/>
    <w:p>
      <w:pPr>
        <w:jc w:val="center"/>
        <w:ind w:left="6180"/>
        <w:spacing w:after="0"/>
        <w:rPr>
          <w:sz w:val="20"/>
          <w:szCs w:val="20"/>
          <w:color w:val="auto"/>
        </w:rPr>
      </w:pPr>
      <w:r>
        <w:rPr>
          <w:rFonts w:ascii="Arial" w:cs="Arial" w:eastAsia="Arial" w:hAnsi="Arial"/>
          <w:sz w:val="22"/>
          <w:szCs w:val="22"/>
          <w:b w:val="1"/>
          <w:bCs w:val="1"/>
          <w:color w:val="auto"/>
        </w:rPr>
        <w:t>Chief Financial Officer</w:t>
      </w:r>
    </w:p>
    <w:p>
      <w:pPr>
        <w:spacing w:after="0" w:line="16" w:lineRule="exact"/>
        <w:rPr>
          <w:sz w:val="20"/>
          <w:szCs w:val="20"/>
          <w:color w:val="auto"/>
        </w:rPr>
      </w:pPr>
    </w:p>
    <w:p>
      <w:pPr>
        <w:jc w:val="center"/>
        <w:ind w:left="6120"/>
        <w:spacing w:after="0"/>
        <w:rPr>
          <w:sz w:val="20"/>
          <w:szCs w:val="20"/>
          <w:color w:val="auto"/>
        </w:rPr>
      </w:pPr>
      <w:r>
        <w:rPr>
          <w:rFonts w:ascii="Arial" w:cs="Arial" w:eastAsia="Arial" w:hAnsi="Arial"/>
          <w:sz w:val="21"/>
          <w:szCs w:val="21"/>
          <w:b w:val="1"/>
          <w:bCs w:val="1"/>
          <w:i w:val="1"/>
          <w:iCs w:val="1"/>
          <w:color w:val="auto"/>
        </w:rPr>
        <w:t>(principal financial officer and principal</w:t>
      </w:r>
    </w:p>
    <w:p>
      <w:pPr>
        <w:spacing w:after="0" w:line="2" w:lineRule="exact"/>
        <w:rPr>
          <w:sz w:val="20"/>
          <w:szCs w:val="20"/>
          <w:color w:val="auto"/>
        </w:rPr>
      </w:pPr>
    </w:p>
    <w:p>
      <w:pPr>
        <w:ind w:left="6620"/>
        <w:spacing w:after="0"/>
        <w:rPr>
          <w:sz w:val="20"/>
          <w:szCs w:val="20"/>
          <w:color w:val="auto"/>
        </w:rPr>
      </w:pPr>
      <w:r>
        <w:rPr>
          <w:rFonts w:ascii="Arial" w:cs="Arial" w:eastAsia="Arial" w:hAnsi="Arial"/>
          <w:sz w:val="22"/>
          <w:szCs w:val="22"/>
          <w:b w:val="1"/>
          <w:bCs w:val="1"/>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216535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80"/>
          </w:cols>
          <w:pgMar w:left="1440" w:top="364" w:right="87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6" w:lineRule="exact"/>
        <w:rPr>
          <w:sz w:val="20"/>
          <w:szCs w:val="20"/>
          <w:color w:val="auto"/>
        </w:rPr>
      </w:pPr>
    </w:p>
    <w:p>
      <w:pPr>
        <w:ind w:left="2760" w:right="2760" w:firstLine="32"/>
        <w:spacing w:after="0" w:line="275"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133" w:lineRule="exact"/>
        <w:rPr>
          <w:sz w:val="20"/>
          <w:szCs w:val="20"/>
          <w:color w:val="auto"/>
        </w:rPr>
      </w:pPr>
    </w:p>
    <w:p>
      <w:pPr>
        <w:ind w:right="260" w:firstLine="749"/>
        <w:spacing w:after="0" w:line="238" w:lineRule="auto"/>
        <w:rPr>
          <w:sz w:val="20"/>
          <w:szCs w:val="20"/>
          <w:color w:val="auto"/>
        </w:rPr>
      </w:pPr>
      <w:r>
        <w:rPr>
          <w:rFonts w:ascii="Arial" w:cs="Arial" w:eastAsia="Arial" w:hAnsi="Arial"/>
          <w:sz w:val="22"/>
          <w:szCs w:val="22"/>
          <w:color w:val="auto"/>
        </w:rPr>
        <w:t>In connection with the Quarterly Report of Candel Therapeutics, Inc. (the “Company”) on Form 10-Q for the period ended September 30, 2023 as filed with the Securities and Exchange Commission on the date hereof (the “Report”), I, Paul Peter Tak, certify, pursuant to 18 U.S.C. § 1350, as adopted pursuant to § 906 of the Sarbanes-Oxley Act of 2002, that, to the best of my knowledge:</w:t>
      </w:r>
    </w:p>
    <w:p>
      <w:pPr>
        <w:spacing w:after="0" w:line="185" w:lineRule="exact"/>
        <w:rPr>
          <w:sz w:val="20"/>
          <w:szCs w:val="20"/>
          <w:color w:val="auto"/>
        </w:rPr>
      </w:pPr>
    </w:p>
    <w:p>
      <w:pPr>
        <w:ind w:left="1140" w:right="80" w:hanging="383"/>
        <w:spacing w:after="0" w:line="251" w:lineRule="auto"/>
        <w:tabs>
          <w:tab w:leader="none" w:pos="1246"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172" w:lineRule="exact"/>
        <w:rPr>
          <w:rFonts w:ascii="Arial" w:cs="Arial" w:eastAsia="Arial" w:hAnsi="Arial"/>
          <w:sz w:val="22"/>
          <w:szCs w:val="22"/>
          <w:color w:val="auto"/>
        </w:rPr>
      </w:pPr>
    </w:p>
    <w:p>
      <w:pPr>
        <w:ind w:left="1140" w:right="340" w:hanging="383"/>
        <w:spacing w:after="0" w:line="251" w:lineRule="auto"/>
        <w:tabs>
          <w:tab w:leader="none" w:pos="1246"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ind w:left="20"/>
        <w:spacing w:after="0"/>
        <w:tabs>
          <w:tab w:leader="none" w:pos="6180" w:val="left"/>
          <w:tab w:leader="none" w:pos="8020" w:val="left"/>
        </w:tabs>
        <w:rPr>
          <w:sz w:val="20"/>
          <w:szCs w:val="20"/>
          <w:color w:val="auto"/>
        </w:rPr>
      </w:pPr>
      <w:r>
        <w:rPr>
          <w:rFonts w:ascii="Arial" w:cs="Arial" w:eastAsia="Arial" w:hAnsi="Arial"/>
          <w:sz w:val="22"/>
          <w:szCs w:val="22"/>
          <w:color w:val="auto"/>
        </w:rPr>
        <w:t>Date: November 9, 2023</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22"/>
          <w:szCs w:val="22"/>
          <w:b w:val="1"/>
          <w:bCs w:val="1"/>
          <w:color w:val="auto"/>
        </w:rPr>
        <w:t>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-157480</wp:posOffset>
            </wp:positionV>
            <wp:extent cx="29832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ind w:left="6960"/>
        <w:spacing w:after="0"/>
        <w:rPr>
          <w:sz w:val="20"/>
          <w:szCs w:val="20"/>
          <w:color w:val="auto"/>
        </w:rPr>
      </w:pPr>
      <w:r>
        <w:rPr>
          <w:rFonts w:ascii="Arial" w:cs="Arial" w:eastAsia="Arial" w:hAnsi="Arial"/>
          <w:sz w:val="22"/>
          <w:szCs w:val="22"/>
          <w:b w:val="1"/>
          <w:bCs w:val="1"/>
          <w:color w:val="auto"/>
        </w:rPr>
        <w:t>President and Chief Executive Officer</w:t>
      </w:r>
    </w:p>
    <w:p>
      <w:pPr>
        <w:ind w:left="748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6" w:lineRule="exact"/>
        <w:rPr>
          <w:sz w:val="20"/>
          <w:szCs w:val="20"/>
          <w:color w:val="auto"/>
        </w:rPr>
      </w:pPr>
    </w:p>
    <w:p>
      <w:pPr>
        <w:ind w:left="2760" w:right="2760" w:firstLine="32"/>
        <w:spacing w:after="0" w:line="275"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133" w:lineRule="exact"/>
        <w:rPr>
          <w:sz w:val="20"/>
          <w:szCs w:val="20"/>
          <w:color w:val="auto"/>
        </w:rPr>
      </w:pPr>
    </w:p>
    <w:p>
      <w:pPr>
        <w:ind w:right="260" w:firstLine="749"/>
        <w:spacing w:after="0" w:line="238" w:lineRule="auto"/>
        <w:rPr>
          <w:sz w:val="20"/>
          <w:szCs w:val="20"/>
          <w:color w:val="auto"/>
        </w:rPr>
      </w:pPr>
      <w:r>
        <w:rPr>
          <w:rFonts w:ascii="Arial" w:cs="Arial" w:eastAsia="Arial" w:hAnsi="Arial"/>
          <w:sz w:val="22"/>
          <w:szCs w:val="22"/>
          <w:color w:val="auto"/>
        </w:rPr>
        <w:t>In connection with the Quarterly Report of Candel Therapeutics, Inc. (the “Company”) on Form 10-Q for the period ended September 30, 2023 as filed with the Securities and Exchange Commission on the date hereof (the “Report”), I, Jason A. Amello, certify, pursuant to 18 U.S.C. § 1350, as adopted pursuant to § 906 of the Sarbanes-Oxley Act of 2002, that, to the best of my knowledge:</w:t>
      </w:r>
    </w:p>
    <w:p>
      <w:pPr>
        <w:spacing w:after="0" w:line="185" w:lineRule="exact"/>
        <w:rPr>
          <w:sz w:val="20"/>
          <w:szCs w:val="20"/>
          <w:color w:val="auto"/>
        </w:rPr>
      </w:pPr>
    </w:p>
    <w:p>
      <w:pPr>
        <w:ind w:left="1140" w:right="80" w:hanging="383"/>
        <w:spacing w:after="0" w:line="251" w:lineRule="auto"/>
        <w:tabs>
          <w:tab w:leader="none" w:pos="124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172" w:lineRule="exact"/>
        <w:rPr>
          <w:rFonts w:ascii="Arial" w:cs="Arial" w:eastAsia="Arial" w:hAnsi="Arial"/>
          <w:sz w:val="22"/>
          <w:szCs w:val="22"/>
          <w:color w:val="auto"/>
        </w:rPr>
      </w:pPr>
    </w:p>
    <w:p>
      <w:pPr>
        <w:ind w:left="1140" w:right="340" w:hanging="383"/>
        <w:spacing w:after="0" w:line="251" w:lineRule="auto"/>
        <w:tabs>
          <w:tab w:leader="none" w:pos="124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ind w:left="20"/>
        <w:spacing w:after="0"/>
        <w:tabs>
          <w:tab w:leader="none" w:pos="6180" w:val="left"/>
          <w:tab w:leader="none" w:pos="7940" w:val="left"/>
        </w:tabs>
        <w:rPr>
          <w:sz w:val="20"/>
          <w:szCs w:val="20"/>
          <w:color w:val="auto"/>
        </w:rPr>
      </w:pPr>
      <w:r>
        <w:rPr>
          <w:rFonts w:ascii="Arial" w:cs="Arial" w:eastAsia="Arial" w:hAnsi="Arial"/>
          <w:sz w:val="22"/>
          <w:szCs w:val="22"/>
          <w:color w:val="auto"/>
        </w:rPr>
        <w:t>Date: November 9, 2023</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Jason A. Amello</w:t>
      </w:r>
    </w:p>
    <w:p>
      <w:pPr>
        <w:spacing w:after="0" w:line="23" w:lineRule="exact"/>
        <w:rPr>
          <w:sz w:val="20"/>
          <w:szCs w:val="20"/>
          <w:color w:val="auto"/>
        </w:rPr>
      </w:pPr>
    </w:p>
    <w:p>
      <w:pPr>
        <w:jc w:val="center"/>
        <w:ind w:left="6520"/>
        <w:spacing w:after="0"/>
        <w:rPr>
          <w:sz w:val="20"/>
          <w:szCs w:val="20"/>
          <w:color w:val="auto"/>
        </w:rPr>
      </w:pPr>
      <w:r>
        <w:rPr>
          <w:rFonts w:ascii="Arial" w:cs="Arial" w:eastAsia="Arial" w:hAnsi="Arial"/>
          <w:sz w:val="22"/>
          <w:szCs w:val="22"/>
          <w:b w:val="1"/>
          <w:bCs w:val="1"/>
          <w:color w:val="auto"/>
        </w:rPr>
        <w:t>Jason A. Amello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-157480</wp:posOffset>
            </wp:positionV>
            <wp:extent cx="29832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jc w:val="center"/>
        <w:ind w:left="6520"/>
        <w:spacing w:after="0"/>
        <w:rPr>
          <w:sz w:val="20"/>
          <w:szCs w:val="20"/>
          <w:color w:val="auto"/>
        </w:rPr>
      </w:pPr>
      <w:r>
        <w:rPr>
          <w:rFonts w:ascii="Arial" w:cs="Arial" w:eastAsia="Arial" w:hAnsi="Arial"/>
          <w:sz w:val="22"/>
          <w:szCs w:val="22"/>
          <w:b w:val="1"/>
          <w:bCs w:val="1"/>
          <w:color w:val="auto"/>
        </w:rPr>
        <w:t>Chief Financial Officer</w:t>
      </w:r>
    </w:p>
    <w:p>
      <w:pPr>
        <w:jc w:val="center"/>
        <w:ind w:left="6460"/>
        <w:spacing w:after="0" w:line="230" w:lineRule="auto"/>
        <w:rPr>
          <w:sz w:val="20"/>
          <w:szCs w:val="20"/>
          <w:color w:val="auto"/>
        </w:rPr>
      </w:pPr>
      <w:r>
        <w:rPr>
          <w:rFonts w:ascii="Arial" w:cs="Arial" w:eastAsia="Arial" w:hAnsi="Arial"/>
          <w:sz w:val="22"/>
          <w:szCs w:val="22"/>
          <w:b w:val="1"/>
          <w:bCs w:val="1"/>
          <w:i w:val="1"/>
          <w:iCs w:val="1"/>
          <w:color w:val="auto"/>
        </w:rPr>
        <w:t>(principal financial officer and principal</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22"/>
          <w:szCs w:val="22"/>
          <w:b w:val="1"/>
          <w:bCs w:val="1"/>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5" w:name="page106"/>
    <w:bookmarkEnd w:id="1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11"/>
    </w:lvl>
  </w:abstractNum>
  <w:abstractNum w:abstractNumId="8">
    <w:nsid w:val="419AC241"/>
    <w:multiLevelType w:val="hybridMultilevel"/>
    <w:lvl w:ilvl="0">
      <w:lvlJc w:val="left"/>
      <w:lvlText w:val="%1."/>
      <w:numFmt w:val="decimal"/>
      <w:start w:val="16"/>
    </w:lvl>
  </w:abstractNum>
  <w:abstractNum w:abstractNumId="9">
    <w:nsid w:val="5577F8E1"/>
    <w:multiLevelType w:val="hybridMultilevel"/>
    <w:lvl w:ilvl="0">
      <w:lvlJc w:val="left"/>
      <w:lvlText w:val="•"/>
      <w:numFmt w:val="bullet"/>
      <w:start w:val="1"/>
    </w:lvl>
    <w:lvl w:ilvl="1">
      <w:lvlJc w:val="left"/>
      <w:lvlText w:val="+"/>
      <w:numFmt w:val="bullet"/>
      <w:start w:val="1"/>
    </w:lvl>
  </w:abstractNum>
  <w:abstractNum w:abstractNumId="10">
    <w:nsid w:val="440BADFC"/>
    <w:multiLevelType w:val="hybridMultilevel"/>
    <w:lvl w:ilvl="0">
      <w:lvlJc w:val="left"/>
      <w:lvlText w:val="▪"/>
      <w:numFmt w:val="bullet"/>
      <w:start w:val="1"/>
    </w:lvl>
    <w:lvl w:ilvl="1">
      <w:lvlJc w:val="left"/>
      <w:lvlText w:val="•"/>
      <w:numFmt w:val="bullet"/>
      <w:start w:val="1"/>
    </w:lvl>
  </w:abstractNum>
  <w:abstractNum w:abstractNumId="11">
    <w:nsid w:val="5072367"/>
    <w:multiLevelType w:val="hybridMultilevel"/>
    <w:lvl w:ilvl="0">
      <w:lvlJc w:val="left"/>
      <w:lvlText w:val="•"/>
      <w:numFmt w:val="bullet"/>
      <w:start w:val="1"/>
    </w:lvl>
    <w:lvl w:ilvl="1">
      <w:lvlJc w:val="left"/>
      <w:lvlText w:val="o"/>
      <w:numFmt w:val="bullet"/>
      <w:start w:val="1"/>
    </w:lvl>
    <w:lvl w:ilvl="2">
      <w:lvlJc w:val="left"/>
      <w:lvlText w:val="▪"/>
      <w:numFmt w:val="bullet"/>
      <w:start w:val="1"/>
    </w:lvl>
    <w:lvl w:ilvl="3">
      <w:lvlJc w:val="left"/>
      <w:lvlText w:val="•"/>
      <w:numFmt w:val="bullet"/>
      <w:start w:val="1"/>
    </w:lvl>
  </w:abstractNum>
  <w:abstractNum w:abstractNumId="12">
    <w:nsid w:val="3804823E"/>
    <w:multiLevelType w:val="hybridMultilevel"/>
    <w:lvl w:ilvl="0">
      <w:lvlJc w:val="left"/>
      <w:lvlText w:val="▪"/>
      <w:numFmt w:val="bullet"/>
      <w:start w:val="1"/>
    </w:lvl>
    <w:lvl w:ilvl="1">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lowerLetter"/>
      <w:start w:val="3"/>
    </w:lvl>
  </w:abstractNum>
  <w:abstractNum w:abstractNumId="54">
    <w:nsid w:val="180115BE"/>
    <w:multiLevelType w:val="hybridMultilevel"/>
    <w:lvl w:ilvl="0">
      <w:lvlJc w:val="left"/>
      <w:lvlText w:val="*"/>
      <w:numFmt w:val="bullet"/>
      <w:start w:val="1"/>
    </w:lvl>
    <w:lvl w:ilvl="1">
      <w:lvlJc w:val="left"/>
      <w:lvlText w:val="%2"/>
      <w:numFmt w:val="decimal"/>
      <w:start w:val="104"/>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44" Type="http://schemas.openxmlformats.org/officeDocument/2006/relationships/hyperlink" Target="https://www.sec.gov/Archives/edgar/data/0001841387/000119312521229437/d203496dex31.htm" TargetMode="External"/><Relationship Id="rId245" Type="http://schemas.openxmlformats.org/officeDocument/2006/relationships/hyperlink" Target="https://www.sec.gov/Archives/edgar/data/0001841387/000119312521229437/d203496dex32.htm" TargetMode="External"/><Relationship Id="rId246" Type="http://schemas.openxmlformats.org/officeDocument/2006/relationships/hyperlink" Target="https://www.sec.gov/Archives/edgar/data/0001841387/000119312521216891/d12090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2023-11-09T07:43:59Z</dcterms:created>
  <dcterms:modified xsi:type="dcterms:W3CDTF">2023-11-09T07:43:59Z</dcterms:modified>
</cp:coreProperties>
</file>