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Tyagarajan Seshu</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CANDEL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 KENDRICK ST., SUITE 450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NEEDHAM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02494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Candel Therapeutics, Inc.</w:t>
              </w:r>
            </w:hyperlink>
            <w:r>
              <w:rPr/>
              <w:t xml:space="preserve"> [ </w:t>
            </w:r>
            <w:r>
              <w:rPr>
                <w:rFonts w:ascii="Times;serif" w:hAnsi="Times;serif"/>
                <w:color w:val="0000FF"/>
                <w:sz w:val="24"/>
                <w:shd w:fill="FFFFFF" w:val="clear"/>
              </w:rPr>
              <w:t>CADL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10.0216</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83,865</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reported on this Form 4 was effected pursuant to a 10b5-1 trading plan adopted on 3/16/2026.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$10.00 to $10.07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Charles Schoch, as Attorney-in-Fact for Seshu Tyagarajan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23794" TargetMode="External"/><Relationship Id="rId5" Type="http://schemas.openxmlformats.org/officeDocument/2006/relationships/hyperlink" Target="http://www.sec.gov/cgi-bin/browse-edgar?action=getcompany&amp;CIK=00018413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3587</Characters>
  <CharactersWithSpaces>4187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