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3920" w:right="2760" w:hanging="3899"/>
        <w:spacing w:after="0" w:line="326" w:lineRule="auto"/>
        <w:tabs>
          <w:tab w:leader="none" w:pos="482"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spacing w:after="0" w:line="21" w:lineRule="exact"/>
        <w:rPr>
          <w:sz w:val="24"/>
          <w:szCs w:val="24"/>
          <w:color w:val="auto"/>
        </w:rPr>
      </w:pPr>
    </w:p>
    <w:p>
      <w:pPr>
        <w:ind w:left="480"/>
        <w:spacing w:after="0"/>
        <w:tabs>
          <w:tab w:leader="none" w:pos="260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001-40629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5"/>
          <w:szCs w:val="5"/>
          <w:color w:val="auto"/>
        </w:rPr>
        <w: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CANDEL THERAPEUTICS, INC.</w:t>
      </w:r>
    </w:p>
    <w:p>
      <w:pPr>
        <w:sectPr>
          <w:pgSz w:w="11900" w:h="16838" w:orient="portrait"/>
          <w:cols w:equalWidth="0" w:num="1">
            <w:col w:w="11240"/>
          </w:cols>
          <w:pgMar w:left="320" w:top="1104" w:right="339" w:bottom="1440" w:gutter="0" w:footer="0" w:header="0"/>
        </w:sectPr>
      </w:pPr>
    </w:p>
    <w:p>
      <w:pPr>
        <w:spacing w:after="0" w:line="44"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0" w:lineRule="exact"/>
        <w:rPr>
          <w:sz w:val="24"/>
          <w:szCs w:val="24"/>
          <w:color w:val="auto"/>
        </w:rPr>
      </w:pPr>
    </w:p>
    <w:p>
      <w:pPr>
        <w:jc w:val="center"/>
        <w:ind w:right="2020"/>
        <w:spacing w:after="0"/>
        <w:rPr>
          <w:sz w:val="20"/>
          <w:szCs w:val="20"/>
          <w:color w:val="auto"/>
        </w:rPr>
      </w:pPr>
      <w:r>
        <w:rPr>
          <w:rFonts w:ascii="Arial" w:cs="Arial" w:eastAsia="Arial" w:hAnsi="Arial"/>
          <w:sz w:val="17"/>
          <w:szCs w:val="17"/>
          <w:b w:val="1"/>
          <w:bCs w:val="1"/>
          <w:color w:val="auto"/>
        </w:rPr>
        <w:t>Delaware</w:t>
      </w:r>
    </w:p>
    <w:p>
      <w:pPr>
        <w:spacing w:after="0" w:line="22"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ind w:left="80"/>
        <w:spacing w:after="0"/>
        <w:rPr>
          <w:sz w:val="20"/>
          <w:szCs w:val="20"/>
          <w:color w:val="auto"/>
        </w:rPr>
      </w:pPr>
      <w:r>
        <w:rPr>
          <w:rFonts w:ascii="Arial" w:cs="Arial" w:eastAsia="Arial" w:hAnsi="Arial"/>
          <w:sz w:val="17"/>
          <w:szCs w:val="17"/>
          <w:b w:val="1"/>
          <w:bCs w:val="1"/>
          <w:color w:val="auto"/>
        </w:rPr>
        <w:t>52-2214851</w:t>
      </w:r>
    </w:p>
    <w:p>
      <w:pPr>
        <w:spacing w:after="0" w:line="36"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62" w:lineRule="exact"/>
        <w:rPr>
          <w:sz w:val="24"/>
          <w:szCs w:val="24"/>
          <w:color w:val="auto"/>
        </w:rPr>
      </w:pPr>
    </w:p>
    <w:p>
      <w:pPr>
        <w:sectPr>
          <w:pgSz w:w="11900" w:h="16838" w:orient="portrait"/>
          <w:cols w:equalWidth="0" w:num="2">
            <w:col w:w="7660" w:space="240"/>
            <w:col w:w="3340"/>
          </w:cols>
          <w:pgMar w:left="320" w:top="1104" w:right="339" w:bottom="1440" w:gutter="0" w:footer="0" w:header="0"/>
          <w:type w:val="continuous"/>
        </w:sectPr>
      </w:pPr>
    </w:p>
    <w:tbl>
      <w:tblPr>
        <w:tblLayout w:type="fixed"/>
        <w:tblInd w:w="1640" w:type="dxa"/>
        <w:tblCellMar>
          <w:top w:w="0" w:type="dxa"/>
          <w:left w:w="0" w:type="dxa"/>
          <w:bottom w:w="0" w:type="dxa"/>
          <w:right w:w="0" w:type="dxa"/>
        </w:tblCellMar>
      </w:tblPr>
      <w:tr>
        <w:trPr>
          <w:trHeight w:val="203"/>
        </w:trPr>
        <w:tc>
          <w:tcPr>
            <w:tcW w:w="4420" w:type="dxa"/>
            <w:vAlign w:val="bottom"/>
          </w:tcPr>
          <w:p>
            <w:pPr>
              <w:jc w:val="center"/>
              <w:ind w:right="1982"/>
              <w:spacing w:after="0"/>
              <w:rPr>
                <w:sz w:val="20"/>
                <w:szCs w:val="20"/>
                <w:color w:val="auto"/>
              </w:rPr>
            </w:pPr>
            <w:r>
              <w:rPr>
                <w:rFonts w:ascii="Arial" w:cs="Arial" w:eastAsia="Arial" w:hAnsi="Arial"/>
                <w:sz w:val="17"/>
                <w:szCs w:val="17"/>
                <w:b w:val="1"/>
                <w:bCs w:val="1"/>
                <w:color w:val="auto"/>
              </w:rPr>
              <w:t>117 Kendrick St, Suite 450</w:t>
            </w:r>
          </w:p>
        </w:tc>
        <w:tc>
          <w:tcPr>
            <w:tcW w:w="2680" w:type="dxa"/>
            <w:vAlign w:val="bottom"/>
          </w:tcPr>
          <w:p>
            <w:pPr>
              <w:spacing w:after="0"/>
              <w:rPr>
                <w:sz w:val="17"/>
                <w:szCs w:val="17"/>
                <w:color w:val="auto"/>
              </w:rPr>
            </w:pPr>
          </w:p>
        </w:tc>
      </w:tr>
      <w:tr>
        <w:trPr>
          <w:trHeight w:val="234"/>
        </w:trPr>
        <w:tc>
          <w:tcPr>
            <w:tcW w:w="4420" w:type="dxa"/>
            <w:vAlign w:val="bottom"/>
          </w:tcPr>
          <w:p>
            <w:pPr>
              <w:jc w:val="center"/>
              <w:ind w:right="1982"/>
              <w:spacing w:after="0"/>
              <w:rPr>
                <w:sz w:val="20"/>
                <w:szCs w:val="20"/>
                <w:color w:val="auto"/>
              </w:rPr>
            </w:pPr>
            <w:r>
              <w:rPr>
                <w:rFonts w:ascii="Arial" w:cs="Arial" w:eastAsia="Arial" w:hAnsi="Arial"/>
                <w:sz w:val="17"/>
                <w:szCs w:val="17"/>
                <w:b w:val="1"/>
                <w:bCs w:val="1"/>
                <w:color w:val="auto"/>
                <w:w w:val="99"/>
              </w:rPr>
              <w:t>Needham, MA</w:t>
            </w:r>
          </w:p>
        </w:tc>
        <w:tc>
          <w:tcPr>
            <w:tcW w:w="2680" w:type="dxa"/>
            <w:vAlign w:val="bottom"/>
          </w:tcPr>
          <w:p>
            <w:pPr>
              <w:jc w:val="right"/>
              <w:ind w:right="6"/>
              <w:spacing w:after="0"/>
              <w:rPr>
                <w:sz w:val="20"/>
                <w:szCs w:val="20"/>
                <w:color w:val="auto"/>
              </w:rPr>
            </w:pPr>
            <w:r>
              <w:rPr>
                <w:rFonts w:ascii="Arial" w:cs="Arial" w:eastAsia="Arial" w:hAnsi="Arial"/>
                <w:sz w:val="17"/>
                <w:szCs w:val="17"/>
                <w:b w:val="1"/>
                <w:bCs w:val="1"/>
                <w:color w:val="auto"/>
              </w:rPr>
              <w:t>02494</w:t>
            </w:r>
          </w:p>
        </w:tc>
      </w:tr>
      <w:tr>
        <w:trPr>
          <w:trHeight w:val="172"/>
        </w:trPr>
        <w:tc>
          <w:tcPr>
            <w:tcW w:w="4420" w:type="dxa"/>
            <w:vAlign w:val="bottom"/>
          </w:tcPr>
          <w:p>
            <w:pPr>
              <w:jc w:val="center"/>
              <w:ind w:right="1982"/>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680" w:type="dxa"/>
            <w:vAlign w:val="bottom"/>
          </w:tcPr>
          <w:p>
            <w:pPr>
              <w:jc w:val="center"/>
              <w:ind w:left="1986"/>
              <w:spacing w:after="0"/>
              <w:rPr>
                <w:sz w:val="20"/>
                <w:szCs w:val="20"/>
                <w:color w:val="auto"/>
              </w:rPr>
            </w:pPr>
            <w:r>
              <w:rPr>
                <w:rFonts w:ascii="Arial" w:cs="Arial" w:eastAsia="Arial" w:hAnsi="Arial"/>
                <w:sz w:val="13"/>
                <w:szCs w:val="13"/>
                <w:b w:val="1"/>
                <w:bCs w:val="1"/>
                <w:color w:val="auto"/>
                <w:w w:val="96"/>
              </w:rPr>
              <w:t>(Zip Code)</w:t>
            </w:r>
          </w:p>
        </w:tc>
      </w:tr>
    </w:tbl>
    <w:p>
      <w:pPr>
        <w:spacing w:after="0" w:line="34"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Registrant’s telephone number, including area code: (617) 916-5445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4"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8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4"/>
        </w:trPr>
        <w:tc>
          <w:tcPr>
            <w:tcW w:w="4280" w:type="dxa"/>
            <w:vAlign w:val="bottom"/>
          </w:tcPr>
          <w:p>
            <w:pPr>
              <w:jc w:val="center"/>
              <w:spacing w:after="0"/>
              <w:rPr>
                <w:sz w:val="20"/>
                <w:szCs w:val="20"/>
                <w:color w:val="auto"/>
              </w:rPr>
            </w:pPr>
            <w:r>
              <w:rPr>
                <w:rFonts w:ascii="Arial" w:cs="Arial" w:eastAsia="Arial" w:hAnsi="Arial"/>
                <w:sz w:val="15"/>
                <w:szCs w:val="15"/>
                <w:color w:val="auto"/>
              </w:rPr>
              <w:t>Common Stock, par value $0.01 per share</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rPr>
              <w:t>CADL</w:t>
            </w:r>
          </w:p>
        </w:tc>
        <w:tc>
          <w:tcPr>
            <w:tcW w:w="12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Arial" w:cs="Arial" w:eastAsia="Arial" w:hAnsi="Arial"/>
                <w:sz w:val="15"/>
                <w:szCs w:val="15"/>
                <w:color w:val="auto"/>
              </w:rPr>
              <w:t>The Nasdaq Global Market</w:t>
            </w:r>
          </w:p>
        </w:tc>
      </w:tr>
    </w:tbl>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35" w:lineRule="exact"/>
        <w:rPr>
          <w:sz w:val="24"/>
          <w:szCs w:val="24"/>
          <w:color w:val="auto"/>
        </w:rPr>
      </w:pPr>
    </w:p>
    <w:p>
      <w:pPr>
        <w:ind w:right="2660"/>
        <w:spacing w:after="0" w:line="230"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20"/>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9" w:lineRule="exact"/>
        <w:rPr>
          <w:sz w:val="24"/>
          <w:szCs w:val="24"/>
          <w:color w:val="auto"/>
        </w:rPr>
      </w:pPr>
    </w:p>
    <w:p>
      <w:pPr>
        <w:ind w:right="62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280"/>
        <w:spacing w:after="0" w:line="26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16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16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5220" w:type="dxa"/>
            <w:vAlign w:val="bottom"/>
          </w:tcPr>
          <w:p>
            <w:pPr>
              <w:ind w:left="316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ind w:right="3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right="420"/>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620"/>
        <w:spacing w:after="0" w:line="18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460"/>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9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48" w:lineRule="exact"/>
        <w:rPr>
          <w:sz w:val="24"/>
          <w:szCs w:val="24"/>
          <w:color w:val="auto"/>
        </w:rPr>
      </w:pPr>
    </w:p>
    <w:p>
      <w:pPr>
        <w:ind w:right="200"/>
        <w:spacing w:after="0" w:line="252" w:lineRule="auto"/>
        <w:rPr>
          <w:sz w:val="20"/>
          <w:szCs w:val="20"/>
          <w:color w:val="auto"/>
        </w:rPr>
      </w:pPr>
      <w:r>
        <w:rPr>
          <w:rFonts w:ascii="Arial" w:cs="Arial" w:eastAsia="Arial" w:hAnsi="Arial"/>
          <w:sz w:val="14"/>
          <w:szCs w:val="14"/>
          <w:color w:val="auto"/>
        </w:rPr>
        <w:t>The aggregate market value of voting stock held by non-affiliates of the registrant on June 30, 2023, based on the closing price of $1.26 for shares of the registrant’s common stock as reported by the Nasdaq Global Market, was approximately $28.2 million. This calculation does not reflect a determination that certain persons are affiliates of the registrant for any other purposes.</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21, 2024 was 29,347,468.</w:t>
      </w:r>
    </w:p>
    <w:p>
      <w:pPr>
        <w:spacing w:after="0" w:line="55"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type w:val="continuous"/>
        </w:sectPr>
      </w:pPr>
    </w:p>
    <w:bookmarkStart w:id="1" w:name="page2"/>
    <w:bookmarkEnd w:id="1"/>
    <w:p>
      <w:pPr>
        <w:spacing w:after="0" w:line="263" w:lineRule="auto"/>
        <w:rPr>
          <w:sz w:val="20"/>
          <w:szCs w:val="20"/>
          <w:color w:val="auto"/>
        </w:rPr>
      </w:pPr>
      <w:r>
        <w:rPr>
          <w:rFonts w:ascii="Arial" w:cs="Arial" w:eastAsia="Arial" w:hAnsi="Arial"/>
          <w:sz w:val="14"/>
          <w:szCs w:val="14"/>
          <w:color w:val="auto"/>
        </w:rPr>
        <w:t>Portions of the registrant’s definitive proxy statement for its 2024 Annual Meeting of Stockholders (the Proxy Statement) are incorporated by reference in Part III of this Annual Report on Form 10-K. Such Proxy Statement will be filed with the U.S. Securities and Exchange Commission within 120 days after the end of the fiscal year to which this report relates.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694055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54"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5"/>
        </w:trPr>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gridSpan w:val="9"/>
          </w:tcPr>
          <w:p>
            <w:pPr>
              <w:ind w:left="80"/>
              <w:spacing w:after="0"/>
              <w:rPr>
                <w:sz w:val="20"/>
                <w:szCs w:val="20"/>
                <w:color w:val="auto"/>
              </w:rPr>
            </w:pPr>
            <w:r>
              <w:rPr>
                <w:rFonts w:ascii="Arial" w:cs="Arial" w:eastAsia="Arial" w:hAnsi="Arial"/>
                <w:sz w:val="17"/>
                <w:szCs w:val="17"/>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1"/>
        </w:trPr>
        <w:tc>
          <w:tcPr>
            <w:tcW w:w="1240" w:type="dxa"/>
            <w:vAlign w:val="bottom"/>
            <w:vMerge w:val="restart"/>
          </w:tcPr>
          <w:p>
            <w:pPr>
              <w:spacing w:after="0"/>
              <w:rPr>
                <w:sz w:val="20"/>
                <w:szCs w:val="20"/>
                <w:color w:val="auto"/>
              </w:rPr>
            </w:pPr>
            <w:r>
              <w:rPr>
                <w:rFonts w:ascii="Arial" w:cs="Arial" w:eastAsia="Arial" w:hAnsi="Arial"/>
                <w:sz w:val="17"/>
                <w:szCs w:val="17"/>
                <w:b w:val="1"/>
                <w:bCs w:val="1"/>
                <w:color w:val="auto"/>
              </w:rPr>
              <w:t>PART I</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2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120"/>
              <w:spacing w:after="0" w:line="185" w:lineRule="exact"/>
              <w:rPr>
                <w:sz w:val="20"/>
                <w:szCs w:val="20"/>
                <w:color w:val="auto"/>
              </w:rPr>
            </w:pPr>
            <w:r>
              <w:rPr>
                <w:rFonts w:ascii="Arial" w:cs="Arial" w:eastAsia="Arial" w:hAnsi="Arial"/>
                <w:sz w:val="17"/>
                <w:szCs w:val="17"/>
                <w:color w:val="auto"/>
              </w:rPr>
              <w:t>Item 1.</w:t>
            </w:r>
          </w:p>
        </w:tc>
        <w:tc>
          <w:tcPr>
            <w:tcW w:w="9180" w:type="dxa"/>
            <w:vAlign w:val="bottom"/>
            <w:gridSpan w:val="22"/>
          </w:tcPr>
          <w:p>
            <w:pPr>
              <w:spacing w:after="0" w:line="185" w:lineRule="exact"/>
              <w:rPr>
                <w:sz w:val="20"/>
                <w:szCs w:val="20"/>
                <w:color w:val="auto"/>
              </w:rPr>
            </w:pPr>
            <w:r>
              <w:rPr>
                <w:rFonts w:ascii="Arial" w:cs="Arial" w:eastAsia="Arial" w:hAnsi="Arial"/>
                <w:sz w:val="17"/>
                <w:szCs w:val="17"/>
                <w:color w:val="0000FF"/>
              </w:rPr>
              <w:t>Business</w:t>
            </w:r>
          </w:p>
        </w:tc>
        <w:tc>
          <w:tcPr>
            <w:tcW w:w="800" w:type="dxa"/>
            <w:vAlign w:val="bottom"/>
          </w:tcPr>
          <w:p>
            <w:pPr>
              <w:jc w:val="right"/>
              <w:spacing w:after="0" w:line="185"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7"/>
                <w:szCs w:val="17"/>
                <w:color w:val="auto"/>
              </w:rPr>
              <w:t>Item 1A.</w:t>
            </w:r>
          </w:p>
        </w:tc>
        <w:tc>
          <w:tcPr>
            <w:tcW w:w="7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180" w:type="dxa"/>
            <w:vAlign w:val="bottom"/>
            <w:gridSpan w:val="22"/>
          </w:tcPr>
          <w:p>
            <w:pPr>
              <w:spacing w:after="0" w:line="183" w:lineRule="exact"/>
              <w:rPr>
                <w:sz w:val="20"/>
                <w:szCs w:val="20"/>
                <w:color w:val="auto"/>
              </w:rPr>
            </w:pPr>
            <w:r>
              <w:rPr>
                <w:rFonts w:ascii="Arial" w:cs="Arial" w:eastAsia="Arial" w:hAnsi="Arial"/>
                <w:sz w:val="17"/>
                <w:szCs w:val="17"/>
                <w:color w:val="0000FF"/>
              </w:rPr>
              <w:t>Risk Factors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7"/>
                <w:szCs w:val="17"/>
                <w:color w:val="auto"/>
              </w:rPr>
              <w:t>Item 1B.</w:t>
            </w:r>
          </w:p>
        </w:tc>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180" w:type="dxa"/>
            <w:vAlign w:val="bottom"/>
            <w:gridSpan w:val="22"/>
          </w:tcPr>
          <w:p>
            <w:pPr>
              <w:spacing w:after="0" w:line="183" w:lineRule="exact"/>
              <w:rPr>
                <w:sz w:val="20"/>
                <w:szCs w:val="20"/>
                <w:color w:val="auto"/>
              </w:rPr>
            </w:pPr>
            <w:r>
              <w:rPr>
                <w:rFonts w:ascii="Arial" w:cs="Arial" w:eastAsia="Arial" w:hAnsi="Arial"/>
                <w:sz w:val="17"/>
                <w:szCs w:val="17"/>
                <w:color w:val="0000FF"/>
              </w:rPr>
              <w:t>Unresolved Staff Comments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7"/>
                <w:szCs w:val="17"/>
                <w:color w:val="auto"/>
              </w:rPr>
              <w:t>Item 1C.</w:t>
            </w:r>
          </w:p>
        </w:tc>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180" w:type="dxa"/>
            <w:vAlign w:val="bottom"/>
            <w:gridSpan w:val="22"/>
          </w:tcPr>
          <w:p>
            <w:pPr>
              <w:spacing w:after="0" w:line="183" w:lineRule="exact"/>
              <w:rPr>
                <w:sz w:val="20"/>
                <w:szCs w:val="20"/>
                <w:color w:val="auto"/>
              </w:rPr>
            </w:pPr>
            <w:r>
              <w:rPr>
                <w:rFonts w:ascii="Arial" w:cs="Arial" w:eastAsia="Arial" w:hAnsi="Arial"/>
                <w:sz w:val="17"/>
                <w:szCs w:val="17"/>
                <w:color w:val="0000FF"/>
              </w:rPr>
              <w:t>Cybersecurity</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7"/>
                <w:szCs w:val="17"/>
                <w:color w:val="auto"/>
              </w:rPr>
              <w:t>Item 2.</w:t>
            </w:r>
          </w:p>
        </w:tc>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180" w:type="dxa"/>
            <w:vAlign w:val="bottom"/>
            <w:gridSpan w:val="22"/>
          </w:tcPr>
          <w:p>
            <w:pPr>
              <w:spacing w:after="0" w:line="183" w:lineRule="exact"/>
              <w:rPr>
                <w:sz w:val="20"/>
                <w:szCs w:val="20"/>
                <w:color w:val="auto"/>
              </w:rPr>
            </w:pPr>
            <w:r>
              <w:rPr>
                <w:rFonts w:ascii="Arial" w:cs="Arial" w:eastAsia="Arial" w:hAnsi="Arial"/>
                <w:sz w:val="17"/>
                <w:szCs w:val="17"/>
                <w:color w:val="0000FF"/>
              </w:rPr>
              <w:t>Properties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7"/>
                <w:szCs w:val="17"/>
                <w:color w:val="auto"/>
              </w:rPr>
              <w:t>Item 3.</w:t>
            </w:r>
          </w:p>
        </w:tc>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180" w:type="dxa"/>
            <w:vAlign w:val="bottom"/>
            <w:gridSpan w:val="22"/>
          </w:tcPr>
          <w:p>
            <w:pPr>
              <w:spacing w:after="0" w:line="183" w:lineRule="exact"/>
              <w:rPr>
                <w:sz w:val="20"/>
                <w:szCs w:val="20"/>
                <w:color w:val="auto"/>
              </w:rPr>
            </w:pPr>
            <w:r>
              <w:rPr>
                <w:rFonts w:ascii="Arial" w:cs="Arial" w:eastAsia="Arial" w:hAnsi="Arial"/>
                <w:sz w:val="17"/>
                <w:szCs w:val="17"/>
                <w:color w:val="0000FF"/>
              </w:rPr>
              <w:t>Legal Proceedings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7"/>
                <w:szCs w:val="17"/>
                <w:color w:val="auto"/>
              </w:rPr>
              <w:t>Item 4.</w:t>
            </w:r>
          </w:p>
        </w:tc>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180" w:type="dxa"/>
            <w:vAlign w:val="bottom"/>
            <w:gridSpan w:val="22"/>
          </w:tcPr>
          <w:p>
            <w:pPr>
              <w:spacing w:after="0" w:line="183" w:lineRule="exact"/>
              <w:rPr>
                <w:sz w:val="20"/>
                <w:szCs w:val="20"/>
                <w:color w:val="auto"/>
              </w:rPr>
            </w:pPr>
            <w:r>
              <w:rPr>
                <w:rFonts w:ascii="Arial" w:cs="Arial" w:eastAsia="Arial" w:hAnsi="Arial"/>
                <w:sz w:val="17"/>
                <w:szCs w:val="17"/>
                <w:color w:val="0000FF"/>
              </w:rPr>
              <w:t>Mine Safety Disclosures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24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120"/>
              <w:spacing w:after="0" w:line="185" w:lineRule="exact"/>
              <w:rPr>
                <w:sz w:val="20"/>
                <w:szCs w:val="20"/>
                <w:color w:val="auto"/>
              </w:rPr>
            </w:pPr>
            <w:r>
              <w:rPr>
                <w:rFonts w:ascii="Arial" w:cs="Arial" w:eastAsia="Arial" w:hAnsi="Arial"/>
                <w:sz w:val="17"/>
                <w:szCs w:val="17"/>
                <w:color w:val="auto"/>
              </w:rPr>
              <w:t>Item 5.</w:t>
            </w:r>
          </w:p>
        </w:tc>
        <w:tc>
          <w:tcPr>
            <w:tcW w:w="9180" w:type="dxa"/>
            <w:vAlign w:val="bottom"/>
            <w:gridSpan w:val="22"/>
          </w:tcPr>
          <w:p>
            <w:pPr>
              <w:spacing w:after="0" w:line="185" w:lineRule="exact"/>
              <w:rPr>
                <w:sz w:val="20"/>
                <w:szCs w:val="20"/>
                <w:color w:val="auto"/>
              </w:rPr>
            </w:pPr>
            <w:r>
              <w:rPr>
                <w:rFonts w:ascii="Arial" w:cs="Arial" w:eastAsia="Arial" w:hAnsi="Arial"/>
                <w:sz w:val="17"/>
                <w:szCs w:val="17"/>
                <w:color w:val="0000FF"/>
              </w:rPr>
              <w:t>Market for Registrant’s Common Equity, Related Stockholder Matters and Issuer Purchases of Equity Securities</w:t>
            </w:r>
          </w:p>
        </w:tc>
        <w:tc>
          <w:tcPr>
            <w:tcW w:w="800" w:type="dxa"/>
            <w:vAlign w:val="bottom"/>
          </w:tcPr>
          <w:p>
            <w:pPr>
              <w:jc w:val="right"/>
              <w:spacing w:after="0" w:line="185" w:lineRule="exact"/>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7"/>
                <w:szCs w:val="17"/>
                <w:color w:val="auto"/>
              </w:rPr>
              <w:t>Item 6.</w:t>
            </w:r>
          </w:p>
        </w:tc>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180" w:type="dxa"/>
            <w:vAlign w:val="bottom"/>
            <w:gridSpan w:val="22"/>
          </w:tcPr>
          <w:p>
            <w:pPr>
              <w:spacing w:after="0" w:line="183" w:lineRule="exact"/>
              <w:rPr>
                <w:sz w:val="20"/>
                <w:szCs w:val="20"/>
                <w:color w:val="auto"/>
              </w:rPr>
            </w:pPr>
            <w:r>
              <w:rPr>
                <w:rFonts w:ascii="Arial" w:cs="Arial" w:eastAsia="Arial" w:hAnsi="Arial"/>
                <w:sz w:val="17"/>
                <w:szCs w:val="17"/>
                <w:color w:val="0000FF"/>
              </w:rPr>
              <w:t>Reserved</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7"/>
                <w:szCs w:val="17"/>
                <w:color w:val="auto"/>
              </w:rPr>
              <w:t>Item 7.</w:t>
            </w:r>
          </w:p>
        </w:tc>
        <w:tc>
          <w:tcPr>
            <w:tcW w:w="7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180" w:type="dxa"/>
            <w:vAlign w:val="bottom"/>
            <w:gridSpan w:val="22"/>
          </w:tcPr>
          <w:p>
            <w:pPr>
              <w:spacing w:after="0" w:line="183" w:lineRule="exact"/>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7"/>
                <w:szCs w:val="17"/>
                <w:color w:val="auto"/>
              </w:rPr>
              <w:t>Item 7A.</w:t>
            </w:r>
          </w:p>
        </w:tc>
        <w:tc>
          <w:tcPr>
            <w:tcW w:w="136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180" w:type="dxa"/>
            <w:vAlign w:val="bottom"/>
            <w:gridSpan w:val="22"/>
          </w:tcPr>
          <w:p>
            <w:pPr>
              <w:spacing w:after="0" w:line="183" w:lineRule="exact"/>
              <w:rPr>
                <w:sz w:val="20"/>
                <w:szCs w:val="20"/>
                <w:color w:val="auto"/>
              </w:rPr>
            </w:pPr>
            <w:r>
              <w:rPr>
                <w:rFonts w:ascii="Arial" w:cs="Arial" w:eastAsia="Arial" w:hAnsi="Arial"/>
                <w:sz w:val="17"/>
                <w:szCs w:val="17"/>
                <w:color w:val="0000FF"/>
              </w:rPr>
              <w:t>Quantitative and Qualitative Disclosures About Market Risk</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7"/>
                <w:szCs w:val="17"/>
                <w:color w:val="auto"/>
              </w:rPr>
              <w:t>Item 8.</w:t>
            </w:r>
          </w:p>
        </w:tc>
        <w:tc>
          <w:tcPr>
            <w:tcW w:w="136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180" w:type="dxa"/>
            <w:vAlign w:val="bottom"/>
            <w:gridSpan w:val="22"/>
          </w:tcPr>
          <w:p>
            <w:pPr>
              <w:spacing w:after="0" w:line="183" w:lineRule="exact"/>
              <w:rPr>
                <w:sz w:val="20"/>
                <w:szCs w:val="20"/>
                <w:color w:val="auto"/>
              </w:rPr>
            </w:pPr>
            <w:r>
              <w:rPr>
                <w:rFonts w:ascii="Arial" w:cs="Arial" w:eastAsia="Arial" w:hAnsi="Arial"/>
                <w:sz w:val="17"/>
                <w:szCs w:val="17"/>
                <w:color w:val="0000FF"/>
              </w:rPr>
              <w:t>Financial Statements and Supplementary Data</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7"/>
                <w:szCs w:val="17"/>
                <w:color w:val="auto"/>
              </w:rPr>
              <w:t>Item 9.</w:t>
            </w:r>
          </w:p>
        </w:tc>
        <w:tc>
          <w:tcPr>
            <w:tcW w:w="136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180" w:type="dxa"/>
            <w:vAlign w:val="bottom"/>
            <w:gridSpan w:val="22"/>
          </w:tcPr>
          <w:p>
            <w:pPr>
              <w:spacing w:after="0" w:line="183" w:lineRule="exact"/>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7"/>
                <w:szCs w:val="17"/>
                <w:color w:val="auto"/>
              </w:rPr>
              <w:t>Item 9A.</w:t>
            </w:r>
          </w:p>
        </w:tc>
        <w:tc>
          <w:tcPr>
            <w:tcW w:w="136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180" w:type="dxa"/>
            <w:vAlign w:val="bottom"/>
            <w:gridSpan w:val="22"/>
          </w:tcPr>
          <w:p>
            <w:pPr>
              <w:spacing w:after="0" w:line="183" w:lineRule="exact"/>
              <w:rPr>
                <w:sz w:val="20"/>
                <w:szCs w:val="20"/>
                <w:color w:val="auto"/>
              </w:rPr>
            </w:pPr>
            <w:r>
              <w:rPr>
                <w:rFonts w:ascii="Arial" w:cs="Arial" w:eastAsia="Arial" w:hAnsi="Arial"/>
                <w:sz w:val="17"/>
                <w:szCs w:val="17"/>
                <w:color w:val="0000FF"/>
              </w:rPr>
              <w:t>Controls and Procedures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7"/>
                <w:szCs w:val="17"/>
                <w:color w:val="auto"/>
              </w:rPr>
              <w:t>Item 9B.</w:t>
            </w:r>
          </w:p>
        </w:tc>
        <w:tc>
          <w:tcPr>
            <w:tcW w:w="136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180" w:type="dxa"/>
            <w:vAlign w:val="bottom"/>
            <w:gridSpan w:val="22"/>
          </w:tcPr>
          <w:p>
            <w:pPr>
              <w:spacing w:after="0" w:line="183" w:lineRule="exact"/>
              <w:rPr>
                <w:sz w:val="20"/>
                <w:szCs w:val="20"/>
                <w:color w:val="auto"/>
              </w:rPr>
            </w:pPr>
            <w:r>
              <w:rPr>
                <w:rFonts w:ascii="Arial" w:cs="Arial" w:eastAsia="Arial" w:hAnsi="Arial"/>
                <w:sz w:val="17"/>
                <w:szCs w:val="17"/>
                <w:color w:val="0000FF"/>
              </w:rPr>
              <w:t>Other Information</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7"/>
                <w:szCs w:val="17"/>
                <w:color w:val="auto"/>
              </w:rPr>
              <w:t>Item 9C.</w:t>
            </w:r>
          </w:p>
        </w:tc>
        <w:tc>
          <w:tcPr>
            <w:tcW w:w="136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180" w:type="dxa"/>
            <w:vAlign w:val="bottom"/>
            <w:gridSpan w:val="22"/>
          </w:tcPr>
          <w:p>
            <w:pPr>
              <w:spacing w:after="0" w:line="183" w:lineRule="exact"/>
              <w:rPr>
                <w:sz w:val="20"/>
                <w:szCs w:val="20"/>
                <w:color w:val="auto"/>
              </w:rPr>
            </w:pPr>
            <w:r>
              <w:rPr>
                <w:rFonts w:ascii="Arial" w:cs="Arial" w:eastAsia="Arial" w:hAnsi="Arial"/>
                <w:sz w:val="17"/>
                <w:szCs w:val="17"/>
                <w:color w:val="0000FF"/>
              </w:rPr>
              <w:t>Disclosure Regarding Foreign Jurisdictions that Prevent Inspections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240" w:type="dxa"/>
            <w:vAlign w:val="bottom"/>
          </w:tcPr>
          <w:p>
            <w:pPr>
              <w:spacing w:after="0"/>
              <w:rPr>
                <w:sz w:val="20"/>
                <w:szCs w:val="20"/>
                <w:color w:val="auto"/>
              </w:rPr>
            </w:pPr>
            <w:r>
              <w:rPr>
                <w:rFonts w:ascii="Arial" w:cs="Arial" w:eastAsia="Arial" w:hAnsi="Arial"/>
                <w:sz w:val="17"/>
                <w:szCs w:val="17"/>
                <w:b w:val="1"/>
                <w:bCs w:val="1"/>
                <w:color w:val="auto"/>
              </w:rPr>
              <w:t>PART III</w:t>
            </w: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120"/>
              <w:spacing w:after="0" w:line="185" w:lineRule="exact"/>
              <w:rPr>
                <w:sz w:val="20"/>
                <w:szCs w:val="20"/>
                <w:color w:val="auto"/>
              </w:rPr>
            </w:pPr>
            <w:r>
              <w:rPr>
                <w:rFonts w:ascii="Arial" w:cs="Arial" w:eastAsia="Arial" w:hAnsi="Arial"/>
                <w:sz w:val="17"/>
                <w:szCs w:val="17"/>
                <w:color w:val="auto"/>
              </w:rPr>
              <w:t>Item 10.</w:t>
            </w:r>
          </w:p>
        </w:tc>
        <w:tc>
          <w:tcPr>
            <w:tcW w:w="9180" w:type="dxa"/>
            <w:vAlign w:val="bottom"/>
            <w:gridSpan w:val="22"/>
          </w:tcPr>
          <w:p>
            <w:pPr>
              <w:spacing w:after="0" w:line="185" w:lineRule="exact"/>
              <w:rPr>
                <w:sz w:val="20"/>
                <w:szCs w:val="20"/>
                <w:color w:val="auto"/>
              </w:rPr>
            </w:pPr>
            <w:r>
              <w:rPr>
                <w:rFonts w:ascii="Arial" w:cs="Arial" w:eastAsia="Arial" w:hAnsi="Arial"/>
                <w:sz w:val="17"/>
                <w:szCs w:val="17"/>
                <w:color w:val="0000FF"/>
              </w:rPr>
              <w:t>Directors, Executive Officers and Corporate Governance</w:t>
            </w:r>
          </w:p>
        </w:tc>
        <w:tc>
          <w:tcPr>
            <w:tcW w:w="800" w:type="dxa"/>
            <w:vAlign w:val="bottom"/>
          </w:tcPr>
          <w:p>
            <w:pPr>
              <w:jc w:val="right"/>
              <w:spacing w:after="0" w:line="185" w:lineRule="exact"/>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7"/>
                <w:szCs w:val="17"/>
                <w:color w:val="auto"/>
              </w:rPr>
              <w:t>Item 11.</w:t>
            </w:r>
          </w:p>
        </w:tc>
        <w:tc>
          <w:tcPr>
            <w:tcW w:w="1600" w:type="dxa"/>
            <w:vAlign w:val="bottom"/>
            <w:tcBorders>
              <w:left w:val="single" w:sz="8" w:color="0000EE"/>
              <w:right w:val="single" w:sz="8" w:color="0000FF"/>
            </w:tcBorders>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180" w:type="dxa"/>
            <w:vAlign w:val="bottom"/>
            <w:gridSpan w:val="22"/>
          </w:tcPr>
          <w:p>
            <w:pPr>
              <w:spacing w:after="0" w:line="183" w:lineRule="exact"/>
              <w:rPr>
                <w:sz w:val="20"/>
                <w:szCs w:val="20"/>
                <w:color w:val="auto"/>
              </w:rPr>
            </w:pPr>
            <w:r>
              <w:rPr>
                <w:rFonts w:ascii="Arial" w:cs="Arial" w:eastAsia="Arial" w:hAnsi="Arial"/>
                <w:sz w:val="17"/>
                <w:szCs w:val="17"/>
                <w:color w:val="0000FF"/>
              </w:rPr>
              <w:t>Executive Compensation</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7"/>
                <w:szCs w:val="17"/>
                <w:color w:val="auto"/>
              </w:rPr>
              <w:t>Item 12.</w:t>
            </w:r>
          </w:p>
        </w:tc>
        <w:tc>
          <w:tcPr>
            <w:tcW w:w="1600" w:type="dxa"/>
            <w:vAlign w:val="bottom"/>
            <w:tcBorders>
              <w:left w:val="single" w:sz="8" w:color="0000EE"/>
              <w:right w:val="single" w:sz="8" w:color="0000FF"/>
            </w:tcBorders>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180" w:type="dxa"/>
            <w:vAlign w:val="bottom"/>
            <w:gridSpan w:val="22"/>
          </w:tcPr>
          <w:p>
            <w:pPr>
              <w:spacing w:after="0" w:line="183" w:lineRule="exact"/>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7"/>
                <w:szCs w:val="17"/>
                <w:color w:val="auto"/>
              </w:rPr>
              <w:t>Item 13.</w:t>
            </w:r>
          </w:p>
        </w:tc>
        <w:tc>
          <w:tcPr>
            <w:tcW w:w="1600" w:type="dxa"/>
            <w:vAlign w:val="bottom"/>
            <w:tcBorders>
              <w:left w:val="single" w:sz="8" w:color="0000EE"/>
              <w:right w:val="single" w:sz="8" w:color="0000FF"/>
            </w:tcBorders>
            <w:gridSpan w:val="7"/>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180" w:type="dxa"/>
            <w:vAlign w:val="bottom"/>
            <w:gridSpan w:val="22"/>
          </w:tcPr>
          <w:p>
            <w:pPr>
              <w:spacing w:after="0" w:line="183" w:lineRule="exact"/>
              <w:rPr>
                <w:sz w:val="20"/>
                <w:szCs w:val="20"/>
                <w:color w:val="auto"/>
              </w:rPr>
            </w:pPr>
            <w:r>
              <w:rPr>
                <w:rFonts w:ascii="Arial" w:cs="Arial" w:eastAsia="Arial" w:hAnsi="Arial"/>
                <w:sz w:val="17"/>
                <w:szCs w:val="17"/>
                <w:color w:val="0000FF"/>
              </w:rPr>
              <w:t>Certain Relationships and Related Transactions, and Director Independence</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7"/>
                <w:szCs w:val="17"/>
                <w:color w:val="auto"/>
              </w:rPr>
              <w:t>Item 14.</w:t>
            </w:r>
          </w:p>
        </w:tc>
        <w:tc>
          <w:tcPr>
            <w:tcW w:w="1600" w:type="dxa"/>
            <w:vAlign w:val="bottom"/>
            <w:tcBorders>
              <w:left w:val="single" w:sz="8" w:color="0000EE"/>
              <w:right w:val="single" w:sz="8" w:color="0000FF"/>
            </w:tcBorders>
            <w:gridSpan w:val="7"/>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180" w:type="dxa"/>
            <w:vAlign w:val="bottom"/>
            <w:gridSpan w:val="22"/>
          </w:tcPr>
          <w:p>
            <w:pPr>
              <w:spacing w:after="0" w:line="183" w:lineRule="exact"/>
              <w:rPr>
                <w:sz w:val="20"/>
                <w:szCs w:val="20"/>
                <w:color w:val="auto"/>
              </w:rPr>
            </w:pPr>
            <w:r>
              <w:rPr>
                <w:rFonts w:ascii="Arial" w:cs="Arial" w:eastAsia="Arial" w:hAnsi="Arial"/>
                <w:sz w:val="17"/>
                <w:szCs w:val="17"/>
                <w:color w:val="0000FF"/>
              </w:rPr>
              <w:t>Principal Accountant Fees and Services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240" w:type="dxa"/>
            <w:vAlign w:val="bottom"/>
          </w:tcPr>
          <w:p>
            <w:pPr>
              <w:spacing w:after="0"/>
              <w:rPr>
                <w:sz w:val="20"/>
                <w:szCs w:val="20"/>
                <w:color w:val="auto"/>
              </w:rPr>
            </w:pPr>
            <w:r>
              <w:rPr>
                <w:rFonts w:ascii="Arial" w:cs="Arial" w:eastAsia="Arial" w:hAnsi="Arial"/>
                <w:sz w:val="17"/>
                <w:szCs w:val="17"/>
                <w:b w:val="1"/>
                <w:bCs w:val="1"/>
                <w:color w:val="auto"/>
              </w:rPr>
              <w:t>PART IV</w:t>
            </w: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120"/>
              <w:spacing w:after="0" w:line="185" w:lineRule="exact"/>
              <w:rPr>
                <w:sz w:val="20"/>
                <w:szCs w:val="20"/>
                <w:color w:val="auto"/>
              </w:rPr>
            </w:pPr>
            <w:r>
              <w:rPr>
                <w:rFonts w:ascii="Arial" w:cs="Arial" w:eastAsia="Arial" w:hAnsi="Arial"/>
                <w:sz w:val="17"/>
                <w:szCs w:val="17"/>
                <w:color w:val="auto"/>
              </w:rPr>
              <w:t>Item 15.</w:t>
            </w:r>
          </w:p>
        </w:tc>
        <w:tc>
          <w:tcPr>
            <w:tcW w:w="9180" w:type="dxa"/>
            <w:vAlign w:val="bottom"/>
            <w:gridSpan w:val="22"/>
          </w:tcPr>
          <w:p>
            <w:pPr>
              <w:spacing w:after="0" w:line="185" w:lineRule="exact"/>
              <w:rPr>
                <w:sz w:val="20"/>
                <w:szCs w:val="20"/>
                <w:color w:val="auto"/>
              </w:rPr>
            </w:pPr>
            <w:r>
              <w:rPr>
                <w:rFonts w:ascii="Arial" w:cs="Arial" w:eastAsia="Arial" w:hAnsi="Arial"/>
                <w:sz w:val="17"/>
                <w:szCs w:val="17"/>
                <w:color w:val="0000FF"/>
              </w:rPr>
              <w:t>Exhibits and Financial Statement Schedules</w:t>
            </w:r>
          </w:p>
        </w:tc>
        <w:tc>
          <w:tcPr>
            <w:tcW w:w="800" w:type="dxa"/>
            <w:vAlign w:val="bottom"/>
          </w:tcPr>
          <w:p>
            <w:pPr>
              <w:jc w:val="right"/>
              <w:spacing w:after="0" w:line="185" w:lineRule="exact"/>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7"/>
                <w:szCs w:val="17"/>
                <w:color w:val="auto"/>
              </w:rPr>
              <w:t>Item 16.</w:t>
            </w:r>
          </w:p>
        </w:tc>
        <w:tc>
          <w:tcPr>
            <w:tcW w:w="1600" w:type="dxa"/>
            <w:vAlign w:val="bottom"/>
            <w:tcBorders>
              <w:left w:val="single" w:sz="8" w:color="0000EE"/>
              <w:right w:val="single" w:sz="8" w:color="0000FF"/>
            </w:tcBorders>
            <w:gridSpan w:val="7"/>
            <w:shd w:val="clear" w:color="auto" w:fill="0000FF"/>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5840" w:type="dxa"/>
            <w:vAlign w:val="bottom"/>
            <w:gridSpan w:val="10"/>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180" w:type="dxa"/>
            <w:vAlign w:val="bottom"/>
            <w:gridSpan w:val="22"/>
          </w:tcPr>
          <w:p>
            <w:pPr>
              <w:spacing w:after="0" w:line="183" w:lineRule="exact"/>
              <w:rPr>
                <w:sz w:val="20"/>
                <w:szCs w:val="20"/>
                <w:color w:val="auto"/>
              </w:rPr>
            </w:pPr>
            <w:r>
              <w:rPr>
                <w:rFonts w:ascii="Arial" w:cs="Arial" w:eastAsia="Arial" w:hAnsi="Arial"/>
                <w:sz w:val="17"/>
                <w:szCs w:val="17"/>
                <w:color w:val="0000FF"/>
              </w:rPr>
              <w:t>Form 10-K Summary</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-6350</wp:posOffset>
            </wp:positionV>
            <wp:extent cx="5187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879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477520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7"/>
          <w:szCs w:val="17"/>
          <w:b w:val="1"/>
          <w:bCs w:val="1"/>
          <w:color w:val="auto"/>
        </w:rPr>
        <w:t>Forward-Looking Statements</w:t>
      </w:r>
    </w:p>
    <w:p>
      <w:pPr>
        <w:spacing w:after="0" w:line="31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This Annual Report on Form 10-K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Annual Report on Form 10-K, including statements regarding our future results of operations and financial position, business strategy, product candidates, clinical development plans and expectations, prospective products, product approvals, research and development costs, timing and likelihood of success, and plans and objectives of management for future operations and results,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important factors that could cause actual results to differ materially from those in the forward-looking statements, including the risks, uncertainties and assumptions described under the sections in this Annual Report on Form 10-K titled “Risk Factors” and “Management’s Discussion and Analysis of Financial Condition and Results of Operations.” These forward-looking statements are subject to numerous risks, including, without limitation, the following:</w:t>
      </w:r>
    </w:p>
    <w:p>
      <w:pPr>
        <w:spacing w:after="0" w:line="201" w:lineRule="exact"/>
        <w:rPr>
          <w:sz w:val="20"/>
          <w:szCs w:val="20"/>
          <w:color w:val="auto"/>
        </w:rPr>
      </w:pPr>
    </w:p>
    <w:p>
      <w:pPr>
        <w:ind w:left="840" w:right="600" w:hanging="368"/>
        <w:spacing w:after="0" w:line="253" w:lineRule="auto"/>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the success of preclinical studies and clinical trials of CAN-2409 (international non-proprietary name: aglatimagene besadenovec) and CAN-3110 and any other product candidates;</w:t>
      </w: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initiation of any clinical trials of CAN-2409 and CAN-3110 and any other product candidates;</w:t>
      </w:r>
    </w:p>
    <w:p>
      <w:pPr>
        <w:spacing w:after="0" w:line="38"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need to raise additional funding before we can expect to generate any revenues from product sales;</w:t>
      </w:r>
    </w:p>
    <w:p>
      <w:pPr>
        <w:spacing w:after="0" w:line="46" w:lineRule="exact"/>
        <w:rPr>
          <w:rFonts w:ascii="Times New Roman" w:cs="Times New Roman" w:eastAsia="Times New Roman" w:hAnsi="Times New Roman"/>
          <w:sz w:val="17"/>
          <w:szCs w:val="17"/>
          <w:color w:val="auto"/>
        </w:rPr>
      </w:pPr>
    </w:p>
    <w:p>
      <w:pPr>
        <w:ind w:left="840" w:right="60" w:hanging="368"/>
        <w:spacing w:after="0" w:line="253" w:lineRule="auto"/>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conduct successful clinical trials or obtain regulatory approval for CAN-2409 and CAN-3110 or any other product candidates that we may identify or develop;</w:t>
      </w: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of our research to generate and advance additional product candidates;</w:t>
      </w:r>
    </w:p>
    <w:p>
      <w:pPr>
        <w:spacing w:after="0" w:line="38" w:lineRule="exact"/>
        <w:rPr>
          <w:rFonts w:ascii="Times New Roman" w:cs="Times New Roman" w:eastAsia="Times New Roman" w:hAnsi="Times New Roman"/>
          <w:sz w:val="17"/>
          <w:szCs w:val="17"/>
          <w:color w:val="auto"/>
        </w:rPr>
      </w:pPr>
    </w:p>
    <w:p>
      <w:pPr>
        <w:ind w:left="840" w:right="400" w:hanging="368"/>
        <w:spacing w:after="0" w:line="256" w:lineRule="auto"/>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effects of public health crises, outbreaks of an infectious disease or ongoing geopolitical conflicts, including mitigation efforts and economic effects, on any of the foregoing or other aspects of our business operations;</w:t>
      </w:r>
    </w:p>
    <w:p>
      <w:pPr>
        <w:ind w:left="840" w:right="520" w:hanging="368"/>
        <w:spacing w:after="0" w:line="253" w:lineRule="auto"/>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 adequate safety or efficacy profile for CAN-2409, CAN-3110 or any other product candidates that we may pursue;</w:t>
      </w:r>
    </w:p>
    <w:p>
      <w:pPr>
        <w:ind w:left="840" w:right="200" w:hanging="368"/>
        <w:spacing w:after="0" w:line="244" w:lineRule="auto"/>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manufacture CAN-2409, CAN-3110 or any other product candidate in conformity with our specifications and the U.S. Food and Drug Administration’s (FDA) requirements and to scale up manufacturing of our product candidates to commercial scale, if approved;</w:t>
      </w:r>
    </w:p>
    <w:p>
      <w:pPr>
        <w:spacing w:after="0" w:line="1"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implementation of our strategic plans for our business, any product candidates we may develop and any companion diagnostics;</w:t>
      </w:r>
    </w:p>
    <w:p>
      <w:pPr>
        <w:spacing w:after="0" w:line="46" w:lineRule="exact"/>
        <w:rPr>
          <w:rFonts w:ascii="Times New Roman" w:cs="Times New Roman" w:eastAsia="Times New Roman" w:hAnsi="Times New Roman"/>
          <w:sz w:val="17"/>
          <w:szCs w:val="17"/>
          <w:color w:val="auto"/>
        </w:rPr>
      </w:pPr>
    </w:p>
    <w:p>
      <w:pPr>
        <w:ind w:left="840" w:right="320" w:hanging="368"/>
        <w:spacing w:after="0" w:line="253" w:lineRule="auto"/>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intellectual property position, including the scope of protection we are able to establish and maintain for intellectual property rights covering our product candidates any companion diagnostics;</w:t>
      </w: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rate and degree of market acceptance and clinical utility for any product candidates we may develop;</w:t>
      </w:r>
    </w:p>
    <w:p>
      <w:pPr>
        <w:spacing w:after="0" w:line="38"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46"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period we estimate to be funded by our existing financial resources;</w:t>
      </w:r>
    </w:p>
    <w:p>
      <w:pPr>
        <w:spacing w:after="0" w:line="33"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collaborations;</w:t>
      </w:r>
    </w:p>
    <w:p>
      <w:pPr>
        <w:spacing w:after="0" w:line="46"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benefits with the continued existence of our license agreement with Mass General Brigham (MGB);</w:t>
      </w:r>
    </w:p>
    <w:p>
      <w:pPr>
        <w:spacing w:after="0" w:line="46"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financial performance;</w:t>
      </w:r>
    </w:p>
    <w:p>
      <w:pPr>
        <w:spacing w:after="0" w:line="33"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effectively manage our anticipated growth;</w:t>
      </w:r>
    </w:p>
    <w:p>
      <w:pPr>
        <w:spacing w:after="0" w:line="46"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relating to our competitors and our industry, including the impact of government regulation;</w:t>
      </w:r>
    </w:p>
    <w:p>
      <w:pPr>
        <w:spacing w:after="0" w:line="33"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 and</w:t>
      </w:r>
    </w:p>
    <w:p>
      <w:pPr>
        <w:spacing w:after="0" w:line="46"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other risks and uncertainties, including those discussed in Part I, Item 1A - Risk Factors in this Annual Report on Form 10-K.</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ind w:right="20"/>
        <w:spacing w:after="0" w:line="238" w:lineRule="auto"/>
        <w:rPr>
          <w:sz w:val="20"/>
          <w:szCs w:val="20"/>
          <w:color w:val="auto"/>
        </w:rPr>
      </w:pPr>
      <w:r>
        <w:rPr>
          <w:rFonts w:ascii="Arial" w:cs="Arial" w:eastAsia="Arial" w:hAnsi="Arial"/>
          <w:sz w:val="17"/>
          <w:szCs w:val="17"/>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occur, and actual results could differ materially from those projected in the forward-looking statements. Moreover, new risk factors and uncertainties may emerge from time to time, and it is not possible for management to predict all risk factors and uncertainties. As a result of these factors, we cannot assure you that the forward-looking statements in this Annual Report on Form 10-K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You should read this Annual Report on Form 10-K and the documents that we reference in this Annual Report on Form 10-K completely and with the understanding that our actual future results may be materially different from what we expect. We qualify that all of our forward-looking statements by these cautionary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All references to "Candel", "we", "us", "our", or the "Company" mean Candel Therapeutics, Inc. and its subsidiary.</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Summary of the Material and Other Risks Associated with Our Business</w:t>
      </w:r>
    </w:p>
    <w:p>
      <w:pPr>
        <w:spacing w:after="0" w:line="156" w:lineRule="exact"/>
        <w:rPr>
          <w:sz w:val="20"/>
          <w:szCs w:val="20"/>
          <w:color w:val="auto"/>
        </w:rPr>
      </w:pPr>
    </w:p>
    <w:p>
      <w:pPr>
        <w:jc w:val="both"/>
        <w:ind w:right="380"/>
        <w:spacing w:after="0" w:line="249" w:lineRule="auto"/>
        <w:rPr>
          <w:sz w:val="20"/>
          <w:szCs w:val="20"/>
          <w:color w:val="auto"/>
        </w:rPr>
      </w:pPr>
      <w:r>
        <w:rPr>
          <w:rFonts w:ascii="Arial" w:cs="Arial" w:eastAsia="Arial" w:hAnsi="Arial"/>
          <w:sz w:val="17"/>
          <w:szCs w:val="17"/>
          <w:color w:val="auto"/>
        </w:rPr>
        <w:t>Our business is subject to numerous risks and uncertainties, including those described more fully in Part I, Item 1A - Risk Factors in this Annual Report on Form 10-K. You should carefully consider these risks and uncertainties when investing in our common stock. The principal risks and uncertainties affecting our business include the following:</w:t>
      </w:r>
    </w:p>
    <w:p>
      <w:pPr>
        <w:spacing w:after="0" w:line="67" w:lineRule="exact"/>
        <w:rPr>
          <w:sz w:val="20"/>
          <w:szCs w:val="20"/>
          <w:color w:val="auto"/>
        </w:rPr>
      </w:pPr>
    </w:p>
    <w:p>
      <w:pPr>
        <w:ind w:left="1020" w:right="6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are a biopharmaceutical company with a limited operating history and we have not generated any revenue from product sales. We expect to continue to incur significant expenses and increasing operating losses for at least the next several years and may never achieve or maintain profitability.</w:t>
      </w:r>
    </w:p>
    <w:p>
      <w:pPr>
        <w:spacing w:after="0" w:line="65" w:lineRule="exact"/>
        <w:rPr>
          <w:rFonts w:ascii="Times New Roman" w:cs="Times New Roman" w:eastAsia="Times New Roman" w:hAnsi="Times New Roman"/>
          <w:sz w:val="17"/>
          <w:szCs w:val="17"/>
          <w:color w:val="auto"/>
        </w:rPr>
      </w:pPr>
    </w:p>
    <w:p>
      <w:pPr>
        <w:ind w:left="1020" w:right="24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doubt exists about our ability to continue as a going concern. Our ability to continue as a going concern requires that we obtain sufficient additional funding to finance our operations. If we are unable to raise capital when needed, we would be forced to delay, reduce or eliminate some of our research, clinical trials, product development, or future commercialization efforts.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have incurred indebtedness, and we may incur additional indebtedness, which could adversely affect our financial condition.</w:t>
      </w:r>
    </w:p>
    <w:p>
      <w:pPr>
        <w:spacing w:after="0" w:line="114" w:lineRule="exact"/>
        <w:rPr>
          <w:rFonts w:ascii="Times New Roman" w:cs="Times New Roman" w:eastAsia="Times New Roman" w:hAnsi="Times New Roman"/>
          <w:sz w:val="17"/>
          <w:szCs w:val="17"/>
          <w:color w:val="auto"/>
        </w:rPr>
      </w:pPr>
    </w:p>
    <w:p>
      <w:pPr>
        <w:ind w:left="1020" w:right="4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business is dependent on the success of CAN-2409, as well as CAN-3110 and any other product candidates that we advance into the clinic. All of our product candidates will require additional development before we may be able to seek regulatory approval for and launch a product commercially.</w:t>
      </w:r>
    </w:p>
    <w:p>
      <w:pPr>
        <w:spacing w:after="0" w:line="65" w:lineRule="exact"/>
        <w:rPr>
          <w:rFonts w:ascii="Times New Roman" w:cs="Times New Roman" w:eastAsia="Times New Roman" w:hAnsi="Times New Roman"/>
          <w:sz w:val="17"/>
          <w:szCs w:val="17"/>
          <w:color w:val="auto"/>
        </w:rPr>
      </w:pPr>
    </w:p>
    <w:p>
      <w:pPr>
        <w:ind w:left="1020" w:right="20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5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51" w:lineRule="exact"/>
        <w:rPr>
          <w:rFonts w:ascii="Times New Roman" w:cs="Times New Roman" w:eastAsia="Times New Roman" w:hAnsi="Times New Roman"/>
          <w:sz w:val="17"/>
          <w:szCs w:val="17"/>
          <w:color w:val="auto"/>
        </w:rPr>
      </w:pPr>
    </w:p>
    <w:p>
      <w:pPr>
        <w:ind w:left="1020" w:right="24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51" w:lineRule="exact"/>
        <w:rPr>
          <w:rFonts w:ascii="Times New Roman" w:cs="Times New Roman" w:eastAsia="Times New Roman" w:hAnsi="Times New Roman"/>
          <w:sz w:val="17"/>
          <w:szCs w:val="17"/>
          <w:color w:val="auto"/>
        </w:rPr>
      </w:pPr>
    </w:p>
    <w:p>
      <w:pPr>
        <w:ind w:left="1020" w:right="180" w:hanging="503"/>
        <w:spacing w:after="0" w:line="243"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regulatory approval processes of the FDA and comparable foreign regulatory authorities are lengthy, time 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71" w:lineRule="exact"/>
        <w:rPr>
          <w:rFonts w:ascii="Times New Roman" w:cs="Times New Roman" w:eastAsia="Times New Roman" w:hAnsi="Times New Roman"/>
          <w:sz w:val="17"/>
          <w:szCs w:val="17"/>
          <w:color w:val="auto"/>
        </w:rPr>
      </w:pPr>
    </w:p>
    <w:p>
      <w:pPr>
        <w:ind w:left="1020" w:right="24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FDA’s agreement to a Special Protocol Assessment with respect to the study design of our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65" w:lineRule="exact"/>
        <w:rPr>
          <w:rFonts w:ascii="Times New Roman" w:cs="Times New Roman" w:eastAsia="Times New Roman" w:hAnsi="Times New Roman"/>
          <w:sz w:val="17"/>
          <w:szCs w:val="17"/>
          <w:color w:val="auto"/>
        </w:rPr>
      </w:pPr>
    </w:p>
    <w:p>
      <w:pPr>
        <w:ind w:left="1020" w:right="48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Some of our product candidates are being and may continue to be studied in third-party research and clinical trials sponsored by organizations or agencies other than us, or in investigator-sponsored clinical</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78" w:right="379" w:bottom="1440" w:gutter="0" w:footer="0" w:header="0"/>
        </w:sectPr>
      </w:pPr>
    </w:p>
    <w:bookmarkStart w:id="5" w:name="page6"/>
    <w:bookmarkEnd w:id="5"/>
    <w:p>
      <w:pPr>
        <w:ind w:left="503" w:right="420"/>
        <w:spacing w:after="0" w:line="267" w:lineRule="auto"/>
        <w:rPr>
          <w:sz w:val="20"/>
          <w:szCs w:val="20"/>
          <w:color w:val="auto"/>
        </w:rPr>
      </w:pPr>
      <w:r>
        <w:rPr>
          <w:rFonts w:ascii="Arial" w:cs="Arial" w:eastAsia="Arial" w:hAnsi="Arial"/>
          <w:sz w:val="17"/>
          <w:szCs w:val="17"/>
          <w:color w:val="auto"/>
        </w:rPr>
        <w:t>trials, which means we will have minimal or no control over the conduct of such trials and which may adversely affect our ability to obtain marketing approval or certain regulatory exclusivities.</w:t>
      </w:r>
    </w:p>
    <w:p>
      <w:pPr>
        <w:spacing w:after="0" w:line="51" w:lineRule="exact"/>
        <w:rPr>
          <w:sz w:val="20"/>
          <w:szCs w:val="20"/>
          <w:color w:val="auto"/>
        </w:rPr>
      </w:pPr>
    </w:p>
    <w:p>
      <w:pPr>
        <w:ind w:left="503" w:hanging="503"/>
        <w:spacing w:after="0"/>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product candidate manufacturing or formulation may result in additional costs or delay.</w:t>
      </w:r>
    </w:p>
    <w:p>
      <w:pPr>
        <w:spacing w:after="0" w:line="114" w:lineRule="exact"/>
        <w:rPr>
          <w:rFonts w:ascii="Times New Roman" w:cs="Times New Roman" w:eastAsia="Times New Roman" w:hAnsi="Times New Roman"/>
          <w:sz w:val="17"/>
          <w:szCs w:val="17"/>
          <w:color w:val="auto"/>
        </w:rPr>
      </w:pPr>
    </w:p>
    <w:p>
      <w:pPr>
        <w:ind w:left="503" w:right="340" w:hanging="503"/>
        <w:spacing w:after="0" w:line="266"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Any future public health crisis, outbreaks of an infectious disease or ongoing geopolitical conflicts may have adverse effects on our business and operations.</w:t>
      </w:r>
    </w:p>
    <w:p>
      <w:pPr>
        <w:spacing w:after="0" w:line="51" w:lineRule="exact"/>
        <w:rPr>
          <w:rFonts w:ascii="Times New Roman" w:cs="Times New Roman" w:eastAsia="Times New Roman" w:hAnsi="Times New Roman"/>
          <w:sz w:val="17"/>
          <w:szCs w:val="17"/>
          <w:color w:val="auto"/>
        </w:rPr>
      </w:pPr>
    </w:p>
    <w:p>
      <w:pPr>
        <w:ind w:left="503" w:right="520" w:hanging="503"/>
        <w:spacing w:after="0" w:line="249"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65" w:lineRule="exact"/>
        <w:rPr>
          <w:rFonts w:ascii="Times New Roman" w:cs="Times New Roman" w:eastAsia="Times New Roman" w:hAnsi="Times New Roman"/>
          <w:sz w:val="17"/>
          <w:szCs w:val="17"/>
          <w:color w:val="auto"/>
        </w:rPr>
      </w:pPr>
    </w:p>
    <w:p>
      <w:pPr>
        <w:ind w:left="503" w:hanging="503"/>
        <w:spacing w:after="0" w:line="249"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65" w:lineRule="exact"/>
        <w:rPr>
          <w:rFonts w:ascii="Times New Roman" w:cs="Times New Roman" w:eastAsia="Times New Roman" w:hAnsi="Times New Roman"/>
          <w:sz w:val="17"/>
          <w:szCs w:val="17"/>
          <w:color w:val="auto"/>
        </w:rPr>
      </w:pPr>
    </w:p>
    <w:p>
      <w:pPr>
        <w:ind w:left="503" w:right="120" w:hanging="503"/>
        <w:spacing w:after="0" w:line="266"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The transition of our manufacturing operations to a third-party contract manufacturer may result in further delays or expenses, and we may not experience the anticipated operating efficiencies.</w:t>
      </w:r>
    </w:p>
    <w:p>
      <w:pPr>
        <w:spacing w:after="0" w:line="51" w:lineRule="exact"/>
        <w:rPr>
          <w:rFonts w:ascii="Times New Roman" w:cs="Times New Roman" w:eastAsia="Times New Roman" w:hAnsi="Times New Roman"/>
          <w:sz w:val="17"/>
          <w:szCs w:val="17"/>
          <w:color w:val="auto"/>
        </w:rPr>
      </w:pPr>
    </w:p>
    <w:p>
      <w:pPr>
        <w:ind w:left="503" w:hanging="503"/>
        <w:spacing w:after="0" w:line="243"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180" w:lineRule="exact"/>
        <w:rPr>
          <w:sz w:val="20"/>
          <w:szCs w:val="20"/>
          <w:color w:val="auto"/>
        </w:rPr>
      </w:pPr>
    </w:p>
    <w:p>
      <w:pPr>
        <w:jc w:val="center"/>
        <w:ind w:right="477"/>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477520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97" w:right="35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7"/>
          <w:szCs w:val="17"/>
          <w:b w:val="1"/>
          <w:bCs w:val="1"/>
          <w:color w:val="auto"/>
        </w:rPr>
        <w:t>PART I</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a clinical stage biopharmaceutical company focused on developing off-the-shelf viral immunotherapies that elicit an individualized, systemic anti-tumor immune response to help patients fight cancer. Our engineered viruses are designed to induce a systemic anti-tumor response due to immunogenic cell death through direct viral-mediated cytotoxicity in cancer cells, thus releasing tumor neo-antigens and creating a pro-inflammatory microenvironment at the site of injection. This is intended to lead to in-situ vaccination against the injected tumor and uninjected distant metastases. Our viral immunotherapy approach utilizes intratumoral administration of genetically engineered viruses to induce tumor cell death and elicit a systemic anti-tumor response. Local delivery enables us to achieve these effects while aiming to minimize systemic toxicity. The immune cells induced by these viral immunotherapies are believed to target patients’ specific tumor antigens, potentially improving responses in immunologically “hot” tumors while at the same time infiltrating the tumor microenvironment, transforming non-inflamed “cold” tumors with limited immune response into “hot” tumors. While our product candidates are administered directly into the tumor, we have observed systemic immune response in our preclinical studies and clinical trials that may indicate the potential of our product candidates to induce systemic immune response against distal, uninjected tumors, also known as an “abscopal” effect.</w:t>
      </w:r>
    </w:p>
    <w:p>
      <w:pPr>
        <w:spacing w:after="0" w:line="194"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We believe viral immunotherapy is among the most promising cancer treatment modalities today. Our goal is to further improve patient outcomes through viral immunotherapies by selecting the optimal vector, specific transgenes and clinical indications for each tumor type while optimizing product candidate attributes, such as high-titer formulation, intratumoral administration to induce systemic anti-tumor immunity, and storage conditions that could potentially lower logistical barriers for patients and clinicians.</w:t>
      </w:r>
    </w:p>
    <w:p>
      <w:pPr>
        <w:spacing w:after="0" w:line="69"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We have established two clinical off-the-shelf viral immunotherapy platforms based on novel, genetically modified adenovirus and herpes simplex virus (HSV) constructs, respectively.</w:t>
      </w:r>
    </w:p>
    <w:p>
      <w:pPr>
        <w:spacing w:after="0" w:line="13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Our most advanced product candidate, CAN-2409, is an off-the-shelf adenovirus product candidate which is administered in conjunction with the prodrug valacyclovir, that has generated promising clinical activity across a range of solid tumor indications. CAN-2409 is currently being studied in the following ongoing clinical trials:</w:t>
      </w:r>
    </w:p>
    <w:p>
      <w:pPr>
        <w:spacing w:after="0" w:line="150" w:lineRule="exact"/>
        <w:rPr>
          <w:sz w:val="20"/>
          <w:szCs w:val="20"/>
          <w:color w:val="auto"/>
        </w:rPr>
      </w:pPr>
    </w:p>
    <w:p>
      <w:pPr>
        <w:ind w:left="660" w:hanging="278"/>
        <w:spacing w:after="0"/>
        <w:tabs>
          <w:tab w:leader="none" w:pos="66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Prostate Cancer</w:t>
      </w:r>
    </w:p>
    <w:p>
      <w:pPr>
        <w:spacing w:after="0" w:line="58" w:lineRule="exact"/>
        <w:rPr>
          <w:sz w:val="20"/>
          <w:szCs w:val="20"/>
          <w:color w:val="auto"/>
        </w:rPr>
      </w:pPr>
    </w:p>
    <w:p>
      <w:pPr>
        <w:ind w:left="1240" w:right="40" w:hanging="289"/>
        <w:spacing w:after="0" w:line="243" w:lineRule="auto"/>
        <w:tabs>
          <w:tab w:leader="none" w:pos="1240" w:val="left"/>
        </w:tabs>
        <w:numPr>
          <w:ilvl w:val="1"/>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A pivotal phase 3 randomized, triple-blinded and placebo-controlled clinical trial in the United States under a Special Protocol Assessment (SPA), with the U.S. Food and Drug Administration (FDA) evaluating 711 evaluable patients with newly diagnosed, localized prostate cancer who have an intermediate or high-risk for progression. We completed enrollment of this trial in September 2021, and we expect to report topline data in the fourth quarter of 2024.</w:t>
      </w:r>
    </w:p>
    <w:p>
      <w:pPr>
        <w:spacing w:after="0" w:line="71" w:lineRule="exact"/>
        <w:rPr>
          <w:rFonts w:ascii="Times New Roman" w:cs="Times New Roman" w:eastAsia="Times New Roman" w:hAnsi="Times New Roman"/>
          <w:sz w:val="17"/>
          <w:szCs w:val="17"/>
          <w:color w:val="auto"/>
        </w:rPr>
      </w:pPr>
    </w:p>
    <w:p>
      <w:pPr>
        <w:ind w:left="1240" w:right="120" w:hanging="289"/>
        <w:spacing w:after="0" w:line="249" w:lineRule="auto"/>
        <w:tabs>
          <w:tab w:leader="none" w:pos="1240" w:val="left"/>
        </w:tabs>
        <w:numPr>
          <w:ilvl w:val="1"/>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A phase 2 randomized, double blind, placebo-controlled clinical trial in the United States evaluating 187 patients with low-to-intermediate risk, localized prostate cancer undergoing active surveillance. We completed enrollment of this trial in May 2019, and we expect to report topline data in the fourth quarter of 2024.</w:t>
      </w:r>
    </w:p>
    <w:p>
      <w:pPr>
        <w:spacing w:after="0" w:line="67" w:lineRule="exact"/>
        <w:rPr>
          <w:rFonts w:ascii="Times New Roman" w:cs="Times New Roman" w:eastAsia="Times New Roman" w:hAnsi="Times New Roman"/>
          <w:sz w:val="17"/>
          <w:szCs w:val="17"/>
          <w:color w:val="auto"/>
        </w:rPr>
      </w:pPr>
    </w:p>
    <w:p>
      <w:pPr>
        <w:ind w:left="660" w:hanging="278"/>
        <w:spacing w:after="0"/>
        <w:tabs>
          <w:tab w:leader="none" w:pos="66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Non-Small Cell Lung Cancer (NSCLC)</w:t>
      </w:r>
    </w:p>
    <w:p>
      <w:pPr>
        <w:spacing w:after="0" w:line="112" w:lineRule="exact"/>
        <w:rPr>
          <w:rFonts w:ascii="Times New Roman" w:cs="Times New Roman" w:eastAsia="Times New Roman" w:hAnsi="Times New Roman"/>
          <w:sz w:val="17"/>
          <w:szCs w:val="17"/>
          <w:color w:val="auto"/>
        </w:rPr>
      </w:pPr>
    </w:p>
    <w:p>
      <w:pPr>
        <w:ind w:left="1240" w:right="40" w:hanging="289"/>
        <w:spacing w:after="0" w:line="236" w:lineRule="auto"/>
        <w:tabs>
          <w:tab w:leader="none" w:pos="1240" w:val="left"/>
        </w:tabs>
        <w:numPr>
          <w:ilvl w:val="1"/>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An open-label phase 2 clinical trial in the United States evaluating CAN-2409 plus valacyclovir in combination with continued PD-(L)1 checkpoint inhibitors in approximately 80 patients with stage III/IV NSCLC who have inadequate response to front line PD-(L)1 checkpoint inhibitor treatments. In April 2023, we announced that the FDA granted fast track designation for CAN-2409 plus valacyclovir in combination with pembrolizumab in order to improve survival or delay progression in patients with stage III (not candidates for curative intent) or stage IV NSCLC, who are resistant to first line PD-(L)1 inhibitor therapy and who do not have activating molecular driver mutations or have progressed on directed molecular therapy. These patients historically have had an expected median overall survival (mOS) of 10-14 months (Reckamp K et al. J Clin Onc 2022;40:2295-2306). The aim of the CAN-2409 immunotherapy antitumor strategy is to raise the tail on the survival curve by increasing the number of long survivors beyond 10-14 months.</w:t>
      </w:r>
    </w:p>
    <w:p>
      <w:pPr>
        <w:spacing w:after="0" w:line="159" w:lineRule="exact"/>
        <w:rPr>
          <w:rFonts w:ascii="Times New Roman" w:cs="Times New Roman" w:eastAsia="Times New Roman" w:hAnsi="Times New Roman"/>
          <w:sz w:val="17"/>
          <w:szCs w:val="17"/>
          <w:color w:val="auto"/>
        </w:rPr>
      </w:pPr>
    </w:p>
    <w:p>
      <w:pPr>
        <w:ind w:left="1240" w:right="240" w:hanging="289"/>
        <w:spacing w:after="0" w:line="243" w:lineRule="auto"/>
        <w:tabs>
          <w:tab w:leader="none" w:pos="1240" w:val="left"/>
        </w:tabs>
        <w:numPr>
          <w:ilvl w:val="1"/>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In 2022, we presented data from this phase 2 clinical trial where patients who received two administrations of CAN-2409 plus prodrug and completed the 12-week treatment window that demonstrated: 1) increased infiltration of CD8+ cytotoxic tumor infiltrating lymphocytes in the tumor microenvironment, systemic expansion of effector T cells and increased soluble granzyme B levels in</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7" w:name="page8"/>
    <w:bookmarkEnd w:id="7"/>
    <w:p>
      <w:pPr>
        <w:ind w:left="860"/>
        <w:spacing w:after="0" w:line="244" w:lineRule="auto"/>
        <w:rPr>
          <w:sz w:val="20"/>
          <w:szCs w:val="20"/>
          <w:color w:val="auto"/>
        </w:rPr>
      </w:pPr>
      <w:r>
        <w:rPr>
          <w:rFonts w:ascii="Arial" w:cs="Arial" w:eastAsia="Arial" w:hAnsi="Arial"/>
          <w:sz w:val="17"/>
          <w:szCs w:val="17"/>
          <w:color w:val="auto"/>
        </w:rPr>
        <w:t>peripheral blood, 2) favorable changes in the trajectory of tumor progression, 3) decreased tumor size of target lesions in most patients, and 4) reduced size of uninjected tumor lesions (Aggarwal C et al. Abstract #9037 ASCO June 2022 and Aggarwal C et al. Candel Virtual R&amp;D Day, December 2022). These data were further supported in an update released September 2023, based on a data cutoff of August 1, 2023:</w:t>
      </w:r>
    </w:p>
    <w:p>
      <w:pPr>
        <w:spacing w:after="0" w:line="164" w:lineRule="exact"/>
        <w:rPr>
          <w:sz w:val="20"/>
          <w:szCs w:val="20"/>
          <w:color w:val="auto"/>
        </w:rPr>
      </w:pPr>
    </w:p>
    <w:p>
      <w:pPr>
        <w:ind w:left="1880" w:right="420" w:hanging="380"/>
        <w:spacing w:after="0" w:line="242" w:lineRule="auto"/>
        <w:tabs>
          <w:tab w:leader="none" w:pos="18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7"/>
          <w:szCs w:val="17"/>
          <w:color w:val="auto"/>
        </w:rPr>
        <w:t>40 patients across Cohort 1 (stable disease at enrollment; n=5) and Cohort 2 (progressive disease at enrollment; n=35) were evaluable, as they received two courses of CAN-2409 plus valacyclovir and completed the 12-week treatment window.</w:t>
      </w:r>
    </w:p>
    <w:p>
      <w:pPr>
        <w:spacing w:after="0" w:line="166" w:lineRule="exact"/>
        <w:rPr>
          <w:rFonts w:ascii="Times New Roman" w:cs="Times New Roman" w:eastAsia="Times New Roman" w:hAnsi="Times New Roman"/>
          <w:sz w:val="18"/>
          <w:szCs w:val="18"/>
          <w:color w:val="auto"/>
        </w:rPr>
      </w:pPr>
    </w:p>
    <w:p>
      <w:pPr>
        <w:ind w:left="1880" w:right="260" w:hanging="380"/>
        <w:spacing w:after="0" w:line="242" w:lineRule="auto"/>
        <w:tabs>
          <w:tab w:leader="none" w:pos="18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7"/>
          <w:szCs w:val="17"/>
          <w:color w:val="auto"/>
        </w:rPr>
        <w:t>While overall survival was not yet mature, we observed an encouraging number of long survivors. We believe that CAN-2409 may induce a new state of functional immunosurveillance and durable disease control in a subset of the patients.</w:t>
      </w:r>
    </w:p>
    <w:p>
      <w:pPr>
        <w:spacing w:after="0" w:line="166" w:lineRule="exact"/>
        <w:rPr>
          <w:rFonts w:ascii="Times New Roman" w:cs="Times New Roman" w:eastAsia="Times New Roman" w:hAnsi="Times New Roman"/>
          <w:sz w:val="18"/>
          <w:szCs w:val="18"/>
          <w:color w:val="auto"/>
        </w:rPr>
      </w:pPr>
    </w:p>
    <w:p>
      <w:pPr>
        <w:ind w:left="1880" w:right="60" w:hanging="380"/>
        <w:spacing w:after="0" w:line="242" w:lineRule="auto"/>
        <w:tabs>
          <w:tab w:leader="none" w:pos="18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7"/>
          <w:szCs w:val="17"/>
          <w:color w:val="auto"/>
        </w:rPr>
        <w:t>Of the 40 evaluable patients, 15 patients had lived ≥ 12 months; of these, 10 patients had lived &gt; 18 months, of whom 70% (7/10) were alive as of last follow up. All 4 patients (100%) with overall survival &gt; 24 months were alive at last follow up, with the longest reaching 31.7 months.</w:t>
      </w:r>
    </w:p>
    <w:p>
      <w:pPr>
        <w:spacing w:after="0" w:line="166" w:lineRule="exact"/>
        <w:rPr>
          <w:rFonts w:ascii="Times New Roman" w:cs="Times New Roman" w:eastAsia="Times New Roman" w:hAnsi="Times New Roman"/>
          <w:sz w:val="18"/>
          <w:szCs w:val="18"/>
          <w:color w:val="auto"/>
        </w:rPr>
      </w:pPr>
    </w:p>
    <w:p>
      <w:pPr>
        <w:ind w:left="1880" w:hanging="380"/>
        <w:spacing w:after="0"/>
        <w:tabs>
          <w:tab w:leader="none" w:pos="18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7"/>
          <w:szCs w:val="17"/>
          <w:color w:val="auto"/>
        </w:rPr>
        <w:t>An additional 18 out of the 40 evaluable patients were also alive but had not yet reached 12 months of follow up.</w:t>
      </w:r>
    </w:p>
    <w:p>
      <w:pPr>
        <w:spacing w:after="0" w:line="198" w:lineRule="exact"/>
        <w:rPr>
          <w:rFonts w:ascii="Times New Roman" w:cs="Times New Roman" w:eastAsia="Times New Roman" w:hAnsi="Times New Roman"/>
          <w:sz w:val="18"/>
          <w:szCs w:val="18"/>
          <w:color w:val="auto"/>
        </w:rPr>
      </w:pPr>
    </w:p>
    <w:p>
      <w:pPr>
        <w:jc w:val="both"/>
        <w:ind w:left="1880" w:right="520" w:hanging="380"/>
        <w:spacing w:after="0" w:line="242" w:lineRule="auto"/>
        <w:tabs>
          <w:tab w:leader="none" w:pos="18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7"/>
          <w:szCs w:val="17"/>
          <w:color w:val="auto"/>
        </w:rPr>
        <w:t>Notably, many patients treated with CAN-2409 had long survival (≥ 12 months) despite having disease features generally associated with advanced disease and reduced likelihood to benefit from immune checkpoint inhibitor therapy, such as low or negative PD-(L)1 expression, including:</w:t>
      </w:r>
    </w:p>
    <w:p>
      <w:pPr>
        <w:spacing w:after="0" w:line="166" w:lineRule="exact"/>
        <w:rPr>
          <w:rFonts w:ascii="Times New Roman" w:cs="Times New Roman" w:eastAsia="Times New Roman" w:hAnsi="Times New Roman"/>
          <w:sz w:val="18"/>
          <w:szCs w:val="18"/>
          <w:color w:val="auto"/>
        </w:rPr>
      </w:pPr>
    </w:p>
    <w:p>
      <w:pPr>
        <w:ind w:left="2620" w:right="220" w:hanging="371"/>
        <w:spacing w:after="0" w:line="243" w:lineRule="auto"/>
        <w:tabs>
          <w:tab w:leader="none" w:pos="262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7"/>
          <w:szCs w:val="17"/>
          <w:color w:val="auto"/>
        </w:rPr>
        <w:t>Amongst patients alive ≥ 12 months with known PD-(L)1 status (14/15), 93% had negative or low PD-(L)1 score (&lt;1 or between 1-49).</w:t>
      </w:r>
    </w:p>
    <w:p>
      <w:pPr>
        <w:ind w:left="2620" w:right="100" w:hanging="371"/>
        <w:spacing w:after="0" w:line="234" w:lineRule="auto"/>
        <w:tabs>
          <w:tab w:leader="none" w:pos="262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7"/>
          <w:szCs w:val="17"/>
          <w:color w:val="auto"/>
        </w:rPr>
        <w:t>Advanced disease with stage IV in 73% (11/15), lymph node involvement in 73% (11/15), pleural effusion in 40% (6/15), bone metastases in 27% (4/15), adrenal metastases in 20% (3/15), brain metastases in 13% (2/15), liver metastases in 7% (1/15), involvement of 3 or more organs in 13% (2/15), and Eastern Cooperative Oncology Group performance status 1 in 40% (6/15).</w:t>
      </w:r>
    </w:p>
    <w:p>
      <w:pPr>
        <w:spacing w:after="0" w:line="168" w:lineRule="exact"/>
        <w:rPr>
          <w:rFonts w:ascii="Times New Roman" w:cs="Times New Roman" w:eastAsia="Times New Roman" w:hAnsi="Times New Roman"/>
          <w:sz w:val="18"/>
          <w:szCs w:val="18"/>
          <w:color w:val="auto"/>
        </w:rPr>
      </w:pPr>
    </w:p>
    <w:p>
      <w:pPr>
        <w:ind w:left="1880" w:right="40" w:hanging="380"/>
        <w:spacing w:after="0" w:line="244" w:lineRule="auto"/>
        <w:tabs>
          <w:tab w:leader="none" w:pos="18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7"/>
          <w:szCs w:val="17"/>
          <w:color w:val="auto"/>
        </w:rPr>
        <w:t>There was a significant increase observed in activated central memory, effector-memory, effector T cells, and natural killer (NK) cells after CAN-2409 treatment. These include CD8+Ki67+IFN</w:t>
      </w:r>
      <w:r>
        <w:rPr>
          <w:rFonts w:ascii="Times New Roman" w:cs="Times New Roman" w:eastAsia="Times New Roman" w:hAnsi="Times New Roman"/>
          <w:sz w:val="21"/>
          <w:szCs w:val="21"/>
          <w:color w:val="auto"/>
        </w:rPr>
        <w:t>g</w:t>
      </w:r>
      <w:r>
        <w:rPr>
          <w:rFonts w:ascii="Arial" w:cs="Arial" w:eastAsia="Arial" w:hAnsi="Arial"/>
          <w:sz w:val="17"/>
          <w:szCs w:val="17"/>
          <w:color w:val="auto"/>
        </w:rPr>
        <w:t xml:space="preserve">+ T cells, CD8+ granzyme B+Ki67+ T cells, CD56+CD16+granzyme B+ NK cells, and </w:t>
      </w:r>
      <w:r>
        <w:rPr>
          <w:rFonts w:ascii="Times New Roman" w:cs="Times New Roman" w:eastAsia="Times New Roman" w:hAnsi="Times New Roman"/>
          <w:sz w:val="21"/>
          <w:szCs w:val="21"/>
          <w:color w:val="auto"/>
        </w:rPr>
        <w:t>gd</w:t>
      </w:r>
      <w:r>
        <w:rPr>
          <w:rFonts w:ascii="Arial" w:cs="Arial" w:eastAsia="Arial" w:hAnsi="Arial"/>
          <w:sz w:val="17"/>
          <w:szCs w:val="17"/>
          <w:color w:val="auto"/>
        </w:rPr>
        <w:t>+ T cells. We also observed an increase in memory B cells after CAN-2409 treatment</w:t>
      </w:r>
    </w:p>
    <w:p>
      <w:pPr>
        <w:spacing w:after="0" w:line="164" w:lineRule="exact"/>
        <w:rPr>
          <w:rFonts w:ascii="Times New Roman" w:cs="Times New Roman" w:eastAsia="Times New Roman" w:hAnsi="Times New Roman"/>
          <w:sz w:val="18"/>
          <w:szCs w:val="18"/>
          <w:color w:val="auto"/>
        </w:rPr>
      </w:pPr>
    </w:p>
    <w:p>
      <w:pPr>
        <w:ind w:left="1880" w:right="360" w:hanging="380"/>
        <w:spacing w:after="0" w:line="253" w:lineRule="auto"/>
        <w:tabs>
          <w:tab w:leader="none" w:pos="18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7"/>
          <w:szCs w:val="17"/>
          <w:color w:val="auto"/>
        </w:rPr>
        <w:t>We observed an increase in effector/cytotoxic T cells and NK cells in peripheral blood after the second CAN-2409 administration associated with subsequent improved survival (≥ 12 months).</w:t>
      </w:r>
    </w:p>
    <w:p>
      <w:pPr>
        <w:spacing w:after="0" w:line="156" w:lineRule="exact"/>
        <w:rPr>
          <w:rFonts w:ascii="Times New Roman" w:cs="Times New Roman" w:eastAsia="Times New Roman" w:hAnsi="Times New Roman"/>
          <w:sz w:val="18"/>
          <w:szCs w:val="18"/>
          <w:color w:val="auto"/>
        </w:rPr>
      </w:pPr>
    </w:p>
    <w:p>
      <w:pPr>
        <w:ind w:left="1880" w:right="300" w:hanging="380"/>
        <w:spacing w:after="0" w:line="239" w:lineRule="auto"/>
        <w:tabs>
          <w:tab w:leader="none" w:pos="18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7"/>
          <w:szCs w:val="17"/>
          <w:color w:val="auto"/>
        </w:rPr>
        <w:t>We continued to observe a favorable safety/tolerability profile after CAN-2409 treatment in NSCLC. There were no dose limiting toxicities or grade 4 or greater treatment related adverse events. Grade 3 treatment related adverse events were reported in &lt; 10% of patients receiving at least one dose of CAN-2409 (safety population), which we believe compares favorably to current standard of care (SoC) options.</w:t>
      </w:r>
    </w:p>
    <w:p>
      <w:pPr>
        <w:spacing w:after="0" w:line="155" w:lineRule="exact"/>
        <w:rPr>
          <w:sz w:val="20"/>
          <w:szCs w:val="20"/>
          <w:color w:val="auto"/>
        </w:rPr>
      </w:pPr>
    </w:p>
    <w:p>
      <w:pPr>
        <w:ind w:left="1120" w:right="240" w:hanging="369"/>
        <w:spacing w:after="0" w:line="266" w:lineRule="auto"/>
        <w:tabs>
          <w:tab w:leader="none" w:pos="1120"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Candel expects to share topline overall survival data for Cohort 2 in the second quarter of 2024, assuming data are mature at that time.</w:t>
      </w:r>
    </w:p>
    <w:p>
      <w:pPr>
        <w:spacing w:after="0" w:line="323" w:lineRule="exact"/>
        <w:rPr>
          <w:rFonts w:ascii="Times New Roman" w:cs="Times New Roman" w:eastAsia="Times New Roman" w:hAnsi="Times New Roman"/>
          <w:sz w:val="17"/>
          <w:szCs w:val="17"/>
          <w:color w:val="auto"/>
        </w:rPr>
      </w:pPr>
    </w:p>
    <w:p>
      <w:pPr>
        <w:ind w:left="280" w:hanging="278"/>
        <w:spacing w:after="0"/>
        <w:tabs>
          <w:tab w:leader="none" w:pos="2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Pancreatic Cancer</w:t>
      </w:r>
    </w:p>
    <w:p>
      <w:pPr>
        <w:spacing w:after="0" w:line="193" w:lineRule="exact"/>
        <w:rPr>
          <w:rFonts w:ascii="Times New Roman" w:cs="Times New Roman" w:eastAsia="Times New Roman" w:hAnsi="Times New Roman"/>
          <w:sz w:val="17"/>
          <w:szCs w:val="17"/>
          <w:color w:val="auto"/>
        </w:rPr>
      </w:pPr>
    </w:p>
    <w:p>
      <w:pPr>
        <w:ind w:left="1120" w:right="20" w:hanging="369"/>
        <w:spacing w:after="0" w:line="243" w:lineRule="auto"/>
        <w:tabs>
          <w:tab w:leader="none" w:pos="1120"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We have initiated a randomized phase 2 clinical trial in the United States evaluating CAN-2409 in borderline resectable and locally advanced pancreatic adenocarcinoma. In December 2023, we announced that the FDA granted fast track designation for CAN-2409 plus valacyclovir for the treatment of patients with pancreatic ductal adenocarcinoma (PDAC) to improve overall survival. In</w:t>
      </w:r>
    </w:p>
    <w:p>
      <w:pPr>
        <w:spacing w:after="0" w:line="180"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477520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00" w:top="1089" w:right="399" w:bottom="1440" w:gutter="0" w:footer="0" w:header="0"/>
        </w:sectPr>
      </w:pPr>
    </w:p>
    <w:bookmarkStart w:id="8" w:name="page9"/>
    <w:bookmarkEnd w:id="8"/>
    <w:p>
      <w:pPr>
        <w:ind w:left="1500" w:right="20"/>
        <w:spacing w:after="0" w:line="244" w:lineRule="auto"/>
        <w:rPr>
          <w:sz w:val="20"/>
          <w:szCs w:val="20"/>
          <w:color w:val="auto"/>
        </w:rPr>
      </w:pPr>
      <w:r>
        <w:rPr>
          <w:rFonts w:ascii="Arial" w:cs="Arial" w:eastAsia="Arial" w:hAnsi="Arial"/>
          <w:sz w:val="17"/>
          <w:szCs w:val="17"/>
          <w:color w:val="auto"/>
        </w:rPr>
        <w:t>March 2023, in connection with our cost management and dynamic portfolio management initiatives, we elected to pause new enrollment in this randomized phase 2 clinical trial, subject to additional funding. Despite the pause in new patient enrollment, we presented initial positive interim overall survival and immunological biomarker clinical data at the Society for Immunotherapy of Cancer (SITC) Annual Meeting in the fourth quarter of 2023.</w:t>
      </w:r>
    </w:p>
    <w:p>
      <w:pPr>
        <w:spacing w:after="0" w:line="150" w:lineRule="exact"/>
        <w:rPr>
          <w:sz w:val="20"/>
          <w:szCs w:val="20"/>
          <w:color w:val="auto"/>
        </w:rPr>
      </w:pPr>
    </w:p>
    <w:p>
      <w:pPr>
        <w:ind w:left="1500" w:hanging="369"/>
        <w:spacing w:after="0" w:line="243" w:lineRule="auto"/>
        <w:tabs>
          <w:tab w:leader="none" w:pos="150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In a previous phase 1b trial, a statistically significant increase in the number of CD8+ tumor infiltrating lymphocytes was observed. Initial positive phase 2 data revealed notable improvements in patients with borderline resectable pancreatic ductal adenorcarcinoma (PDAC) following CAN-2409 plus prodrug together with SoC chemoradiation; the following data were disclosed as of the August 21, 2023 data cutoff</w:t>
      </w:r>
    </w:p>
    <w:p>
      <w:pPr>
        <w:spacing w:after="0" w:line="166" w:lineRule="exact"/>
        <w:rPr>
          <w:rFonts w:ascii="Times New Roman" w:cs="Times New Roman" w:eastAsia="Times New Roman" w:hAnsi="Times New Roman"/>
          <w:sz w:val="17"/>
          <w:szCs w:val="17"/>
          <w:color w:val="auto"/>
        </w:rPr>
      </w:pPr>
    </w:p>
    <w:p>
      <w:pPr>
        <w:ind w:left="2260" w:hanging="380"/>
        <w:spacing w:after="0"/>
        <w:tabs>
          <w:tab w:leader="none" w:pos="226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7"/>
          <w:szCs w:val="17"/>
          <w:color w:val="auto"/>
        </w:rPr>
        <w:t>Clinical data highlights:</w:t>
      </w:r>
    </w:p>
    <w:p>
      <w:pPr>
        <w:spacing w:after="0" w:line="198" w:lineRule="exact"/>
        <w:rPr>
          <w:rFonts w:ascii="Times New Roman" w:cs="Times New Roman" w:eastAsia="Times New Roman" w:hAnsi="Times New Roman"/>
          <w:sz w:val="18"/>
          <w:szCs w:val="18"/>
          <w:color w:val="auto"/>
        </w:rPr>
      </w:pPr>
    </w:p>
    <w:p>
      <w:pPr>
        <w:ind w:left="3000" w:right="60" w:hanging="371"/>
        <w:spacing w:after="0" w:line="253" w:lineRule="auto"/>
        <w:tabs>
          <w:tab w:leader="none" w:pos="3000" w:val="left"/>
        </w:tabs>
        <w:numPr>
          <w:ilvl w:val="2"/>
          <w:numId w:val="10"/>
        </w:numPr>
        <w:rPr>
          <w:rFonts w:ascii="Times New Roman" w:cs="Times New Roman" w:eastAsia="Times New Roman" w:hAnsi="Times New Roman"/>
          <w:sz w:val="18"/>
          <w:szCs w:val="18"/>
          <w:color w:val="auto"/>
        </w:rPr>
      </w:pPr>
      <w:r>
        <w:rPr>
          <w:rFonts w:ascii="Arial" w:cs="Arial" w:eastAsia="Arial" w:hAnsi="Arial"/>
          <w:sz w:val="17"/>
          <w:szCs w:val="17"/>
          <w:color w:val="auto"/>
        </w:rPr>
        <w:t>Prolonged and sustained survival was observed after experimental treatment with CAN-2409 in patients with borderline resectable PDAC.</w:t>
      </w:r>
    </w:p>
    <w:p>
      <w:pPr>
        <w:spacing w:after="0" w:line="156" w:lineRule="exact"/>
        <w:rPr>
          <w:rFonts w:ascii="Times New Roman" w:cs="Times New Roman" w:eastAsia="Times New Roman" w:hAnsi="Times New Roman"/>
          <w:sz w:val="18"/>
          <w:szCs w:val="18"/>
          <w:color w:val="auto"/>
        </w:rPr>
      </w:pPr>
    </w:p>
    <w:p>
      <w:pPr>
        <w:ind w:left="3000" w:right="60" w:hanging="371"/>
        <w:spacing w:after="0" w:line="242" w:lineRule="auto"/>
        <w:tabs>
          <w:tab w:leader="none" w:pos="3000" w:val="left"/>
        </w:tabs>
        <w:numPr>
          <w:ilvl w:val="2"/>
          <w:numId w:val="10"/>
        </w:numPr>
        <w:rPr>
          <w:rFonts w:ascii="Times New Roman" w:cs="Times New Roman" w:eastAsia="Times New Roman" w:hAnsi="Times New Roman"/>
          <w:sz w:val="18"/>
          <w:szCs w:val="18"/>
          <w:color w:val="auto"/>
        </w:rPr>
      </w:pPr>
      <w:r>
        <w:rPr>
          <w:rFonts w:ascii="Arial" w:cs="Arial" w:eastAsia="Arial" w:hAnsi="Arial"/>
          <w:sz w:val="17"/>
          <w:szCs w:val="17"/>
          <w:color w:val="auto"/>
        </w:rPr>
        <w:t>An estimated survival rate of 71.4% at both 24 and 36 months was observed in patients who received CAN-2409 regimen together with SoC chemoradiation prior to surgery, versus only 16.7% estimated survival at 24 and 36 months with SoC chemoradiation prior to surgery</w:t>
      </w:r>
    </w:p>
    <w:p>
      <w:pPr>
        <w:spacing w:after="0" w:line="166" w:lineRule="exact"/>
        <w:rPr>
          <w:rFonts w:ascii="Times New Roman" w:cs="Times New Roman" w:eastAsia="Times New Roman" w:hAnsi="Times New Roman"/>
          <w:sz w:val="18"/>
          <w:szCs w:val="18"/>
          <w:color w:val="auto"/>
        </w:rPr>
      </w:pPr>
    </w:p>
    <w:p>
      <w:pPr>
        <w:ind w:left="3000" w:right="360" w:hanging="371"/>
        <w:spacing w:after="0" w:line="242" w:lineRule="auto"/>
        <w:tabs>
          <w:tab w:leader="none" w:pos="3000" w:val="left"/>
        </w:tabs>
        <w:numPr>
          <w:ilvl w:val="2"/>
          <w:numId w:val="10"/>
        </w:numPr>
        <w:rPr>
          <w:rFonts w:ascii="Times New Roman" w:cs="Times New Roman" w:eastAsia="Times New Roman" w:hAnsi="Times New Roman"/>
          <w:sz w:val="18"/>
          <w:szCs w:val="18"/>
          <w:color w:val="auto"/>
        </w:rPr>
      </w:pPr>
      <w:r>
        <w:rPr>
          <w:rFonts w:ascii="Arial" w:cs="Arial" w:eastAsia="Arial" w:hAnsi="Arial"/>
          <w:sz w:val="17"/>
          <w:szCs w:val="17"/>
          <w:color w:val="auto"/>
        </w:rPr>
        <w:t>Importantly, 5 out of 7 patients who received CAN-2409 were still alive at the time of data cutoff, with two patients surviving more than 45 months from enrollment. Only one patient randomized to control SoC chemotherapy remained alive at data cutoff (alive at 43 months).</w:t>
      </w:r>
    </w:p>
    <w:p>
      <w:pPr>
        <w:spacing w:after="0" w:line="166" w:lineRule="exact"/>
        <w:rPr>
          <w:rFonts w:ascii="Times New Roman" w:cs="Times New Roman" w:eastAsia="Times New Roman" w:hAnsi="Times New Roman"/>
          <w:sz w:val="18"/>
          <w:szCs w:val="18"/>
          <w:color w:val="auto"/>
        </w:rPr>
      </w:pPr>
    </w:p>
    <w:p>
      <w:pPr>
        <w:ind w:left="3000" w:right="440" w:hanging="371"/>
        <w:spacing w:after="0" w:line="253" w:lineRule="auto"/>
        <w:tabs>
          <w:tab w:leader="none" w:pos="3000" w:val="left"/>
        </w:tabs>
        <w:numPr>
          <w:ilvl w:val="2"/>
          <w:numId w:val="10"/>
        </w:numPr>
        <w:rPr>
          <w:rFonts w:ascii="Times New Roman" w:cs="Times New Roman" w:eastAsia="Times New Roman" w:hAnsi="Times New Roman"/>
          <w:sz w:val="18"/>
          <w:szCs w:val="18"/>
          <w:color w:val="auto"/>
        </w:rPr>
      </w:pPr>
      <w:r>
        <w:rPr>
          <w:rFonts w:ascii="Arial" w:cs="Arial" w:eastAsia="Arial" w:hAnsi="Arial"/>
          <w:sz w:val="17"/>
          <w:szCs w:val="17"/>
          <w:color w:val="auto"/>
        </w:rPr>
        <w:t>mOS has not been reached yet in patients who received CAN-2409 because most of the patients in the CAN-2409 group were still alive at data cut-off; mOS was 12.5 months in the control arm.</w:t>
      </w:r>
    </w:p>
    <w:p>
      <w:pPr>
        <w:spacing w:after="0" w:line="75" w:lineRule="exact"/>
        <w:rPr>
          <w:rFonts w:ascii="Times New Roman" w:cs="Times New Roman" w:eastAsia="Times New Roman" w:hAnsi="Times New Roman"/>
          <w:sz w:val="18"/>
          <w:szCs w:val="18"/>
          <w:color w:val="auto"/>
        </w:rPr>
      </w:pPr>
    </w:p>
    <w:p>
      <w:pPr>
        <w:ind w:left="3000" w:right="160" w:hanging="371"/>
        <w:spacing w:after="0" w:line="253" w:lineRule="auto"/>
        <w:tabs>
          <w:tab w:leader="none" w:pos="3000" w:val="left"/>
        </w:tabs>
        <w:numPr>
          <w:ilvl w:val="2"/>
          <w:numId w:val="10"/>
        </w:numPr>
        <w:rPr>
          <w:rFonts w:ascii="Times New Roman" w:cs="Times New Roman" w:eastAsia="Times New Roman" w:hAnsi="Times New Roman"/>
          <w:sz w:val="18"/>
          <w:szCs w:val="18"/>
          <w:color w:val="auto"/>
        </w:rPr>
      </w:pPr>
      <w:r>
        <w:rPr>
          <w:rFonts w:ascii="Arial" w:cs="Arial" w:eastAsia="Arial" w:hAnsi="Arial"/>
          <w:sz w:val="17"/>
          <w:szCs w:val="17"/>
          <w:color w:val="auto"/>
        </w:rPr>
        <w:t>Disease course was altered after salvage chemotherapy with improved CA19-9 levels and ongoing survival in CAN-2409 arm, but not in control arm.</w:t>
      </w:r>
    </w:p>
    <w:p>
      <w:pPr>
        <w:spacing w:after="0" w:line="156"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7"/>
          <w:szCs w:val="17"/>
          <w:color w:val="auto"/>
        </w:rPr>
        <w:t>Biomarker data analysis demonstrated:</w:t>
      </w:r>
    </w:p>
    <w:p>
      <w:pPr>
        <w:spacing w:after="0" w:line="198" w:lineRule="exact"/>
        <w:rPr>
          <w:rFonts w:ascii="Times New Roman" w:cs="Times New Roman" w:eastAsia="Times New Roman" w:hAnsi="Times New Roman"/>
          <w:sz w:val="18"/>
          <w:szCs w:val="18"/>
          <w:color w:val="auto"/>
        </w:rPr>
      </w:pPr>
    </w:p>
    <w:p>
      <w:pPr>
        <w:ind w:left="3000" w:hanging="371"/>
        <w:spacing w:after="0"/>
        <w:tabs>
          <w:tab w:leader="none" w:pos="3000" w:val="left"/>
        </w:tabs>
        <w:numPr>
          <w:ilvl w:val="2"/>
          <w:numId w:val="10"/>
        </w:numPr>
        <w:rPr>
          <w:rFonts w:ascii="Times New Roman" w:cs="Times New Roman" w:eastAsia="Times New Roman" w:hAnsi="Times New Roman"/>
          <w:sz w:val="18"/>
          <w:szCs w:val="18"/>
          <w:color w:val="auto"/>
        </w:rPr>
      </w:pPr>
      <w:r>
        <w:rPr>
          <w:rFonts w:ascii="Arial" w:cs="Arial" w:eastAsia="Arial" w:hAnsi="Arial"/>
          <w:sz w:val="17"/>
          <w:szCs w:val="17"/>
          <w:color w:val="auto"/>
        </w:rPr>
        <w:t>Consistent and robust activation of immune response after dosing with CAN-2409.</w:t>
      </w:r>
    </w:p>
    <w:p>
      <w:pPr>
        <w:spacing w:after="0" w:line="198" w:lineRule="exact"/>
        <w:rPr>
          <w:rFonts w:ascii="Times New Roman" w:cs="Times New Roman" w:eastAsia="Times New Roman" w:hAnsi="Times New Roman"/>
          <w:sz w:val="18"/>
          <w:szCs w:val="18"/>
          <w:color w:val="auto"/>
        </w:rPr>
      </w:pPr>
    </w:p>
    <w:p>
      <w:pPr>
        <w:jc w:val="both"/>
        <w:ind w:left="3000" w:right="120" w:hanging="371"/>
        <w:spacing w:after="0" w:line="242" w:lineRule="auto"/>
        <w:tabs>
          <w:tab w:leader="none" w:pos="3000" w:val="left"/>
        </w:tabs>
        <w:numPr>
          <w:ilvl w:val="2"/>
          <w:numId w:val="10"/>
        </w:numPr>
        <w:rPr>
          <w:rFonts w:ascii="Times New Roman" w:cs="Times New Roman" w:eastAsia="Times New Roman" w:hAnsi="Times New Roman"/>
          <w:sz w:val="18"/>
          <w:szCs w:val="18"/>
          <w:color w:val="auto"/>
        </w:rPr>
      </w:pPr>
      <w:r>
        <w:rPr>
          <w:rFonts w:ascii="Arial" w:cs="Arial" w:eastAsia="Arial" w:hAnsi="Arial"/>
          <w:sz w:val="17"/>
          <w:szCs w:val="17"/>
          <w:color w:val="auto"/>
        </w:rPr>
        <w:t>In pancreatic tissue of patients treated with CAN-2409 plus prodrug together with SoC (but not SoC alone), dense aggregates of CD8+ granzyme B positive cytotoxic T cells, dendritic cells, and B cells were observed in the tumor microenvironment.</w:t>
      </w:r>
    </w:p>
    <w:p>
      <w:pPr>
        <w:spacing w:after="0" w:line="166" w:lineRule="exact"/>
        <w:rPr>
          <w:rFonts w:ascii="Times New Roman" w:cs="Times New Roman" w:eastAsia="Times New Roman" w:hAnsi="Times New Roman"/>
          <w:sz w:val="18"/>
          <w:szCs w:val="18"/>
          <w:color w:val="auto"/>
        </w:rPr>
      </w:pPr>
    </w:p>
    <w:p>
      <w:pPr>
        <w:ind w:left="3000" w:right="80" w:hanging="371"/>
        <w:spacing w:after="0" w:line="253" w:lineRule="auto"/>
        <w:tabs>
          <w:tab w:leader="none" w:pos="3000" w:val="left"/>
        </w:tabs>
        <w:numPr>
          <w:ilvl w:val="2"/>
          <w:numId w:val="10"/>
        </w:numPr>
        <w:rPr>
          <w:rFonts w:ascii="Times New Roman" w:cs="Times New Roman" w:eastAsia="Times New Roman" w:hAnsi="Times New Roman"/>
          <w:sz w:val="18"/>
          <w:szCs w:val="18"/>
          <w:color w:val="auto"/>
        </w:rPr>
      </w:pPr>
      <w:r>
        <w:rPr>
          <w:rFonts w:ascii="Arial" w:cs="Arial" w:eastAsia="Arial" w:hAnsi="Arial"/>
          <w:sz w:val="17"/>
          <w:szCs w:val="17"/>
          <w:color w:val="auto"/>
        </w:rPr>
        <w:t>Increased levels of soluble granzymes B and H as well as pro-inflammatory cytokines, including IFN-γ, were observed in peripheral blood after CAN-2409 treatment, but not with control treatment.</w:t>
      </w:r>
    </w:p>
    <w:p>
      <w:pPr>
        <w:spacing w:after="0" w:line="156"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7"/>
          <w:szCs w:val="17"/>
          <w:color w:val="auto"/>
        </w:rPr>
        <w:t>Safety analysis:</w:t>
      </w:r>
    </w:p>
    <w:p>
      <w:pPr>
        <w:spacing w:after="0" w:line="198" w:lineRule="exact"/>
        <w:rPr>
          <w:rFonts w:ascii="Times New Roman" w:cs="Times New Roman" w:eastAsia="Times New Roman" w:hAnsi="Times New Roman"/>
          <w:sz w:val="18"/>
          <w:szCs w:val="18"/>
          <w:color w:val="auto"/>
        </w:rPr>
      </w:pPr>
    </w:p>
    <w:p>
      <w:pPr>
        <w:ind w:left="3000" w:hanging="371"/>
        <w:spacing w:after="0"/>
        <w:tabs>
          <w:tab w:leader="none" w:pos="3000" w:val="left"/>
        </w:tabs>
        <w:numPr>
          <w:ilvl w:val="2"/>
          <w:numId w:val="10"/>
        </w:numPr>
        <w:rPr>
          <w:rFonts w:ascii="Times New Roman" w:cs="Times New Roman" w:eastAsia="Times New Roman" w:hAnsi="Times New Roman"/>
          <w:sz w:val="18"/>
          <w:szCs w:val="18"/>
          <w:color w:val="auto"/>
        </w:rPr>
      </w:pPr>
      <w:r>
        <w:rPr>
          <w:rFonts w:ascii="Arial" w:cs="Arial" w:eastAsia="Arial" w:hAnsi="Arial"/>
          <w:sz w:val="17"/>
          <w:szCs w:val="17"/>
          <w:color w:val="auto"/>
        </w:rPr>
        <w:t>CAN-2409 was associated with a favorable tolerability profile.</w:t>
      </w:r>
    </w:p>
    <w:p>
      <w:pPr>
        <w:spacing w:after="0" w:line="198" w:lineRule="exact"/>
        <w:rPr>
          <w:rFonts w:ascii="Times New Roman" w:cs="Times New Roman" w:eastAsia="Times New Roman" w:hAnsi="Times New Roman"/>
          <w:sz w:val="18"/>
          <w:szCs w:val="18"/>
          <w:color w:val="auto"/>
        </w:rPr>
      </w:pPr>
    </w:p>
    <w:p>
      <w:pPr>
        <w:ind w:left="3000" w:right="120" w:hanging="371"/>
        <w:spacing w:after="0" w:line="253" w:lineRule="auto"/>
        <w:tabs>
          <w:tab w:leader="none" w:pos="3000" w:val="left"/>
        </w:tabs>
        <w:numPr>
          <w:ilvl w:val="2"/>
          <w:numId w:val="10"/>
        </w:numPr>
        <w:rPr>
          <w:rFonts w:ascii="Times New Roman" w:cs="Times New Roman" w:eastAsia="Times New Roman" w:hAnsi="Times New Roman"/>
          <w:sz w:val="18"/>
          <w:szCs w:val="18"/>
          <w:color w:val="auto"/>
        </w:rPr>
      </w:pPr>
      <w:r>
        <w:rPr>
          <w:rFonts w:ascii="Arial" w:cs="Arial" w:eastAsia="Arial" w:hAnsi="Arial"/>
          <w:sz w:val="17"/>
          <w:szCs w:val="17"/>
          <w:color w:val="auto"/>
        </w:rPr>
        <w:t>Addition of CAN-2409 regimen to SoC was generally well tolerated, with no reported dose-limiting toxicities, including no cases of pancreatitis.</w:t>
      </w:r>
    </w:p>
    <w:p>
      <w:pPr>
        <w:spacing w:after="0" w:line="200" w:lineRule="exact"/>
        <w:rPr>
          <w:sz w:val="20"/>
          <w:szCs w:val="20"/>
          <w:color w:val="auto"/>
        </w:rPr>
      </w:pPr>
    </w:p>
    <w:p>
      <w:pPr>
        <w:spacing w:after="0" w:line="22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Our lead HSV-based product candidate, CAN-3110, is currently in an ongoing investigator-sponsored phase 1 clinical trial in our initial target indication of recurrent high-grade glioma (HGG). In February 2024, we announced that the FDA granted fast track designation for CAN-3110 for the treatment of patients with recurrent HGG to improve overall survival. These patients have failed SoC treatment and have a poor prognosis (expected overall survival &lt; 6-9 months). Initial overall survival data from this clinical trial was presented in an oral presentation at the ASCO Annual Meeting in June 2021, and additional biomarker data was reported in an oral presentation at the Society for Neuro-Oncology Annual Meeting in November 2021. During our Research and Development Day in December 2022, we presented updated</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ind w:right="40"/>
        <w:spacing w:after="0" w:line="239" w:lineRule="auto"/>
        <w:rPr>
          <w:sz w:val="20"/>
          <w:szCs w:val="20"/>
          <w:color w:val="auto"/>
        </w:rPr>
      </w:pPr>
      <w:r>
        <w:rPr>
          <w:rFonts w:ascii="Arial" w:cs="Arial" w:eastAsia="Arial" w:hAnsi="Arial"/>
          <w:sz w:val="17"/>
          <w:szCs w:val="17"/>
          <w:color w:val="auto"/>
        </w:rPr>
        <w:t>data demonstrating that CAN-3110 was well tolerated with no observed dose-limiting toxicity; achieved 11.6 months mOS with a single dose; and showed evidence of persistent herpes simplex virus 1 (HSV-1) antigen and HSV-1 replication consistent with mechanism of action​as well as robust evidence of immune activation​. In May 2023, we presented clinical and biomarker data from this ongoing clinical trial in an oral presentation at the American Society of Gene &amp; Cell Therapy (ASGCT) Annual Meeting where we reported mOS in arm A (n=41) ongoing at 11.8 months and mOS in arm B (n=9) ongoing at 12.0 months as of the April 20, 2023 data cutoff. Safety and tolerability data reported no dose-limiting toxicities in both arm A and arm B.</w:t>
      </w:r>
    </w:p>
    <w:p>
      <w:pPr>
        <w:spacing w:after="0" w:line="10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 xml:space="preserve">In October 2023, we jointly published an article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that reported extended survival associated with immune activation in patients with recurrent HGG treated with CAN-3110. Notably, new data reported an increased survival in 66% of patients with positivity for anti-HSV1 antibodies (mOS of</w:t>
      </w:r>
    </w:p>
    <w:p>
      <w:pPr>
        <w:spacing w:after="0" w:line="1"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14.2 months). Immune status was positively associated with survival both in patients with pre-existing HSV1 antibodies (pre-treatment) and in 33% of patients that, while negative at baseline, developed anti-HSV1 antibodies after a single injection of CAN-3110. Clinical responses were observed in both injected and uninjected lesions in patients with multifocal disease. Significant tumor responses in both arm A and arm B were observed, with continued reduction in tumor volume in a patient in arm B approximately one year after CAN-3110 treatment. Clinical response for this patient, in follow-up as of data cutoff, continued without additional treatment. Analysis of post-treatment samples demonstrated evidence of persistent HSV antigen expression and replication in both injected and uninjected tumor tissue associated with CD8+ T cell infiltration. The extent of immune activation, measured by gene profiling and quantification of immune cells in post-treatment specimens, was associated with the presence of anti-HSV1 antibodies and survival. Survival was also associated with the diversity of the T cell repertoire in circulating T cells, suggesting that patients treated with CAN-3110 were able to mount a diverse immune response against the virus and tumor antigens released during the oncolytic process had improved survival.</w:t>
      </w:r>
    </w:p>
    <w:p>
      <w:pPr>
        <w:spacing w:after="0" w:line="76" w:lineRule="exact"/>
        <w:rPr>
          <w:sz w:val="20"/>
          <w:szCs w:val="20"/>
          <w:color w:val="auto"/>
        </w:rPr>
      </w:pPr>
    </w:p>
    <w:p>
      <w:pPr>
        <w:jc w:val="both"/>
        <w:ind w:right="320"/>
        <w:spacing w:after="0" w:line="249" w:lineRule="auto"/>
        <w:rPr>
          <w:sz w:val="20"/>
          <w:szCs w:val="20"/>
          <w:color w:val="auto"/>
        </w:rPr>
      </w:pPr>
      <w:r>
        <w:rPr>
          <w:rFonts w:ascii="Arial" w:cs="Arial" w:eastAsia="Arial" w:hAnsi="Arial"/>
          <w:sz w:val="17"/>
          <w:szCs w:val="17"/>
          <w:color w:val="auto"/>
        </w:rPr>
        <w:t>We are conducting an extension of the clinical trial known as arm C, in which patients with recurrent HGG will receive a repeat dosing regimen of CAN-3110 (up to six injections over four months). Clinical data from arm C will help evaluate whether multiple injections can increase mOS. This clinical trial extension is supported by the Break Through Cancer foundation.</w:t>
      </w:r>
    </w:p>
    <w:p>
      <w:pPr>
        <w:spacing w:after="0" w:line="188"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We are also designing other novel viral immunotherapy candidates using our proprietary enLIGHTEN™ Discovery Platform, a systematic, iterative HSV-based discovery platform leveraging human biology and advanced analytics to create new viral immunotherapy candidates for solid tumors. In October 2022, we entered into a collaboration with the University of Pennsylvania (UPenn) Center for Cellular Immunotherapies to study the impact of novel viral immunotherapy candidates based on our enLIGHTEN™ Discovery Platform to strengthen the activity of UPenn’s investigational CAR-T cell therapies in difficult to treat solid tumors.</w:t>
      </w:r>
    </w:p>
    <w:p>
      <w:pPr>
        <w:spacing w:after="0" w:line="7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November 2023, during the SITC 2023 Annual Meeting, we presented two posters describing the key elements of the platform and the development of the first experimental agent from the enLIGHTEN Discovery Platform. The new agent, Alpha-201 Macro1, is an investigational viral immunotherapy designed to interfere with the CD47/SIRPα pathway and activate innate immune surveillance. Results demonstrated monotherapy activity following local administration in a preclinical model of lung and breast cancer. Additional preclinical data presented at SITC confirmed the capability of the enLIGHTEN™ Advanced Analytics suite to predict optimal gene payload combinations to arm viral vectors, that enable the design of potential combination therapeutics to overcome tumor resistance especially in cancers resistant to ICI treatment.</w:t>
      </w:r>
    </w:p>
    <w:p>
      <w:pPr>
        <w:spacing w:after="0" w:line="74" w:lineRule="exact"/>
        <w:rPr>
          <w:sz w:val="20"/>
          <w:szCs w:val="20"/>
          <w:color w:val="auto"/>
        </w:rPr>
      </w:pPr>
    </w:p>
    <w:p>
      <w:pPr>
        <w:ind w:right="440"/>
        <w:spacing w:after="0" w:line="253" w:lineRule="auto"/>
        <w:rPr>
          <w:sz w:val="20"/>
          <w:szCs w:val="20"/>
          <w:color w:val="auto"/>
        </w:rPr>
      </w:pPr>
      <w:r>
        <w:rPr>
          <w:rFonts w:ascii="Arial" w:cs="Arial" w:eastAsia="Arial" w:hAnsi="Arial"/>
          <w:sz w:val="17"/>
          <w:szCs w:val="17"/>
          <w:color w:val="auto"/>
        </w:rPr>
        <w:t>In March 2024, we announced the acceptance of an abstract at the American Association for Cancer Research's (AACR) 2024 Annual Meeting related to the second candidate from our enLIGHTEN™ Discovery Platform, a first-in-class multimodal immunotherapy for induction of tertiary</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lymphoid structures as a novel therapeutic strategy for solid tumors.</w:t>
      </w:r>
    </w:p>
    <w:p>
      <w:pPr>
        <w:spacing w:after="0" w:line="93" w:lineRule="exact"/>
        <w:rPr>
          <w:sz w:val="20"/>
          <w:szCs w:val="20"/>
          <w:color w:val="auto"/>
        </w:rPr>
      </w:pPr>
    </w:p>
    <w:p>
      <w:pPr>
        <w:ind w:right="520"/>
        <w:spacing w:after="0" w:line="267" w:lineRule="auto"/>
        <w:rPr>
          <w:sz w:val="20"/>
          <w:szCs w:val="20"/>
          <w:color w:val="auto"/>
        </w:rPr>
      </w:pPr>
      <w:r>
        <w:rPr>
          <w:rFonts w:ascii="Arial" w:cs="Arial" w:eastAsia="Arial" w:hAnsi="Arial"/>
          <w:sz w:val="17"/>
          <w:szCs w:val="17"/>
          <w:color w:val="auto"/>
        </w:rPr>
        <w:t>We currently own development and commercialization rights for our programs in major markets, including the United States, Europe and Asia, allowing us to control development and seek approval in those areas as we prepare our commercialization efforts.</w:t>
      </w:r>
    </w:p>
    <w:p>
      <w:pPr>
        <w:spacing w:after="0" w:line="5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We were incorporated in Delaware in June 2003 as Advantagene, Inc. (Advantagene). In December 2019, Advantagene licensed substantially all the assets of Periphagen, a company focused on engineering HSV as a gene therapy vector, and in September 2020, licensed CAN-3110 from Mass General Brigham (MGB). In December 2020, we formally changed our name from Advantagene to Candel Therapeutics, Inc. We completed our initial public offering in July 2021.</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02" w:lineRule="exact"/>
        <w:rPr>
          <w:sz w:val="20"/>
          <w:szCs w:val="20"/>
          <w:color w:val="auto"/>
        </w:rPr>
      </w:pPr>
    </w:p>
    <w:p>
      <w:pPr>
        <w:ind w:right="640"/>
        <w:spacing w:after="0" w:line="267" w:lineRule="auto"/>
        <w:rPr>
          <w:sz w:val="20"/>
          <w:szCs w:val="20"/>
          <w:color w:val="auto"/>
        </w:rPr>
      </w:pPr>
      <w:r>
        <w:rPr>
          <w:rFonts w:ascii="Arial" w:cs="Arial" w:eastAsia="Arial" w:hAnsi="Arial"/>
          <w:sz w:val="17"/>
          <w:szCs w:val="17"/>
          <w:color w:val="auto"/>
        </w:rPr>
        <w:t>Our goal is to develop first-in class and best-in-class viral immunotherapies to transform the lives of cancer patients. We plan to develop and commercialize our two most advanced product candidates, CAN-2409 and CAN-3110, for the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0" w:name="page11"/>
    <w:bookmarkEnd w:id="10"/>
    <w:p>
      <w:pPr>
        <w:ind w:right="460"/>
        <w:spacing w:after="0" w:line="267" w:lineRule="auto"/>
        <w:rPr>
          <w:sz w:val="20"/>
          <w:szCs w:val="20"/>
          <w:color w:val="auto"/>
        </w:rPr>
      </w:pPr>
      <w:r>
        <w:rPr>
          <w:rFonts w:ascii="Arial" w:cs="Arial" w:eastAsia="Arial" w:hAnsi="Arial"/>
          <w:sz w:val="17"/>
          <w:szCs w:val="17"/>
          <w:color w:val="auto"/>
        </w:rPr>
        <w:t>treatment of a broad range of solid tumor indications, while continuing to build our pipeline through our discovery platform</w:t>
      </w:r>
      <w:r>
        <w:rPr>
          <w:rFonts w:ascii="Arial" w:cs="Arial" w:eastAsia="Arial" w:hAnsi="Arial"/>
          <w:sz w:val="17"/>
          <w:szCs w:val="17"/>
          <w:i w:val="1"/>
          <w:iCs w:val="1"/>
          <w:color w:val="auto"/>
        </w:rPr>
        <w:t>.</w:t>
      </w:r>
      <w:r>
        <w:rPr>
          <w:rFonts w:ascii="Arial" w:cs="Arial" w:eastAsia="Arial" w:hAnsi="Arial"/>
          <w:sz w:val="17"/>
          <w:szCs w:val="17"/>
          <w:color w:val="auto"/>
        </w:rPr>
        <w:t xml:space="preserve"> Key elements of our strategy include the following:</w:t>
      </w:r>
    </w:p>
    <w:p>
      <w:pPr>
        <w:spacing w:after="0" w:line="53" w:lineRule="exact"/>
        <w:rPr>
          <w:sz w:val="20"/>
          <w:szCs w:val="20"/>
          <w:color w:val="auto"/>
        </w:rPr>
      </w:pPr>
    </w:p>
    <w:p>
      <w:pPr>
        <w:ind w:left="1020" w:right="140" w:hanging="368"/>
        <w:spacing w:after="0"/>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Advance the late-stage development of, and seek regulatory approval for, our product candidate, CAN-2409, in newly diagnosed, localized prostate cancer. </w:t>
      </w:r>
      <w:r>
        <w:rPr>
          <w:rFonts w:ascii="Arial" w:cs="Arial" w:eastAsia="Arial" w:hAnsi="Arial"/>
          <w:sz w:val="17"/>
          <w:szCs w:val="17"/>
          <w:color w:val="auto"/>
        </w:rPr>
        <w:t>We are currently conducting a potentially registrational phase 3 clinical trial in intermediate- and high-risk</w:t>
      </w:r>
      <w:r>
        <w:rPr>
          <w:rFonts w:ascii="Arial" w:cs="Arial" w:eastAsia="Arial" w:hAnsi="Arial"/>
          <w:sz w:val="17"/>
          <w:szCs w:val="17"/>
          <w:i w:val="1"/>
          <w:iCs w:val="1"/>
          <w:color w:val="auto"/>
        </w:rPr>
        <w:t xml:space="preserve"> </w:t>
      </w:r>
      <w:r>
        <w:rPr>
          <w:rFonts w:ascii="Arial" w:cs="Arial" w:eastAsia="Arial" w:hAnsi="Arial"/>
          <w:sz w:val="17"/>
          <w:szCs w:val="17"/>
          <w:color w:val="auto"/>
        </w:rPr>
        <w:t>patients in combination with the SoC, radiotherapy. If approved, we believe CAN-2409 could be a first-in-class drug for localized prostate cancer patients with the potential to significantly increase percentage of patients that achieve disease-free survival or reduce disease progression and recurrence.</w:t>
      </w:r>
    </w:p>
    <w:p>
      <w:pPr>
        <w:spacing w:after="0" w:line="72" w:lineRule="exact"/>
        <w:rPr>
          <w:rFonts w:ascii="Times New Roman" w:cs="Times New Roman" w:eastAsia="Times New Roman" w:hAnsi="Times New Roman"/>
          <w:sz w:val="17"/>
          <w:szCs w:val="17"/>
          <w:color w:val="auto"/>
        </w:rPr>
      </w:pPr>
    </w:p>
    <w:p>
      <w:pPr>
        <w:ind w:left="1020" w:right="160" w:hanging="368"/>
        <w:spacing w:after="0" w:line="243" w:lineRule="auto"/>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Advance the clinical development of CAN-3110 from our HSV platform with tumor-specific enhanced replication potency. </w:t>
      </w:r>
      <w:r>
        <w:rPr>
          <w:rFonts w:ascii="Arial" w:cs="Arial" w:eastAsia="Arial" w:hAnsi="Arial"/>
          <w:sz w:val="17"/>
          <w:szCs w:val="17"/>
          <w:color w:val="auto"/>
        </w:rPr>
        <w:t>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investigator-sponsored phase 1b clinical trial is ongoing in recurrent HGG. This trial is evaluating the activity of CAN-3110 in therapy-resistant disease, where we believe a replicating virus may present therapeutic advantages. Our aim is to improve mOS compared to optimal SoC.</w:t>
      </w:r>
    </w:p>
    <w:p>
      <w:pPr>
        <w:spacing w:after="0" w:line="73" w:lineRule="exact"/>
        <w:rPr>
          <w:rFonts w:ascii="Times New Roman" w:cs="Times New Roman" w:eastAsia="Times New Roman" w:hAnsi="Times New Roman"/>
          <w:sz w:val="17"/>
          <w:szCs w:val="17"/>
          <w:color w:val="auto"/>
        </w:rPr>
      </w:pPr>
    </w:p>
    <w:p>
      <w:pPr>
        <w:ind w:left="1020" w:right="80" w:hanging="368"/>
        <w:spacing w:after="0" w:line="248" w:lineRule="auto"/>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Advance the development of CAN-2409 in stage III/IV NSCLC patients with inadequate responses to SoC immune checkpoint inhibitors (ICI). </w:t>
      </w:r>
      <w:r>
        <w:rPr>
          <w:rFonts w:ascii="Arial" w:cs="Arial" w:eastAsia="Arial" w:hAnsi="Arial"/>
          <w:sz w:val="17"/>
          <w:szCs w:val="17"/>
          <w:color w:val="auto"/>
        </w:rPr>
        <w:t>A phase 2 clinical trial that evaluates CAN-2409 in combination with ICI is currently underway in NSCLC. Our aim is to</w:t>
      </w:r>
      <w:r>
        <w:rPr>
          <w:rFonts w:ascii="Arial" w:cs="Arial" w:eastAsia="Arial" w:hAnsi="Arial"/>
          <w:sz w:val="17"/>
          <w:szCs w:val="17"/>
          <w:i w:val="1"/>
          <w:iCs w:val="1"/>
          <w:color w:val="auto"/>
        </w:rPr>
        <w:t xml:space="preserve"> </w:t>
      </w:r>
      <w:r>
        <w:rPr>
          <w:rFonts w:ascii="Arial" w:cs="Arial" w:eastAsia="Arial" w:hAnsi="Arial"/>
          <w:sz w:val="17"/>
          <w:szCs w:val="17"/>
          <w:color w:val="auto"/>
        </w:rPr>
        <w:t>improve mOS compared to optimal SoC (12-14 months).</w:t>
      </w:r>
    </w:p>
    <w:p>
      <w:pPr>
        <w:spacing w:after="0" w:line="66" w:lineRule="exact"/>
        <w:rPr>
          <w:rFonts w:ascii="Times New Roman" w:cs="Times New Roman" w:eastAsia="Times New Roman" w:hAnsi="Times New Roman"/>
          <w:sz w:val="17"/>
          <w:szCs w:val="17"/>
          <w:color w:val="auto"/>
        </w:rPr>
      </w:pPr>
    </w:p>
    <w:p>
      <w:pPr>
        <w:ind w:left="1020" w:right="280" w:hanging="368"/>
        <w:spacing w:after="0" w:line="249" w:lineRule="auto"/>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Advance the development of CAN-2409 in patients with newly diagnosed, localized prostate cancer. </w:t>
      </w:r>
      <w:r>
        <w:rPr>
          <w:rFonts w:ascii="Arial" w:cs="Arial" w:eastAsia="Arial" w:hAnsi="Arial"/>
          <w:sz w:val="17"/>
          <w:szCs w:val="17"/>
          <w:color w:val="auto"/>
        </w:rPr>
        <w:t>A phase 2 trial that evaluates</w:t>
      </w:r>
      <w:r>
        <w:rPr>
          <w:rFonts w:ascii="Arial" w:cs="Arial" w:eastAsia="Arial" w:hAnsi="Arial"/>
          <w:sz w:val="17"/>
          <w:szCs w:val="17"/>
          <w:i w:val="1"/>
          <w:iCs w:val="1"/>
          <w:color w:val="auto"/>
        </w:rPr>
        <w:t xml:space="preserve"> </w:t>
      </w:r>
      <w:r>
        <w:rPr>
          <w:rFonts w:ascii="Arial" w:cs="Arial" w:eastAsia="Arial" w:hAnsi="Arial"/>
          <w:sz w:val="17"/>
          <w:szCs w:val="17"/>
          <w:color w:val="auto"/>
        </w:rPr>
        <w:t>CAN-2409 as a monotherapy is currently underway in low to moderate risk patients who are under active surveillance. Our aim is to improve progression-free survival compared to the active surveillance approach.</w:t>
      </w:r>
    </w:p>
    <w:p>
      <w:pPr>
        <w:spacing w:after="0" w:line="65" w:lineRule="exact"/>
        <w:rPr>
          <w:rFonts w:ascii="Times New Roman" w:cs="Times New Roman" w:eastAsia="Times New Roman" w:hAnsi="Times New Roman"/>
          <w:sz w:val="17"/>
          <w:szCs w:val="17"/>
          <w:color w:val="auto"/>
        </w:rPr>
      </w:pPr>
    </w:p>
    <w:p>
      <w:pPr>
        <w:ind w:left="1020" w:right="340" w:hanging="368"/>
        <w:spacing w:after="0" w:line="243" w:lineRule="auto"/>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Advance the development of CAN-2409 in pancreatic cancer. </w:t>
      </w:r>
      <w:r>
        <w:rPr>
          <w:rFonts w:ascii="Arial" w:cs="Arial" w:eastAsia="Arial" w:hAnsi="Arial"/>
          <w:sz w:val="17"/>
          <w:szCs w:val="17"/>
          <w:color w:val="auto"/>
        </w:rPr>
        <w:t>We have initiated a randomized phase 2 clinical trial in patients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borderline resectable pancreatic adenocarcinoma. However, in March 2023, in connection with our cost management and dynamic portfolio management initiatives, we elected to pause new enrollment in this randomized phase 2 clinical trial, subject to additional funding, while we continue to follow the patients who participated in the clinical trial. Our aim is to improve mOS compared to SoC.</w:t>
      </w:r>
    </w:p>
    <w:p>
      <w:pPr>
        <w:spacing w:after="0" w:line="71" w:lineRule="exact"/>
        <w:rPr>
          <w:rFonts w:ascii="Times New Roman" w:cs="Times New Roman" w:eastAsia="Times New Roman" w:hAnsi="Times New Roman"/>
          <w:sz w:val="17"/>
          <w:szCs w:val="17"/>
          <w:color w:val="auto"/>
        </w:rPr>
      </w:pPr>
    </w:p>
    <w:p>
      <w:pPr>
        <w:ind w:left="1020" w:right="40" w:hanging="368"/>
        <w:spacing w:after="0" w:line="249" w:lineRule="auto"/>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Advance the development and initiate IND-enabling work of CAN-3110 in a second indication characterized by Nestin expression. </w:t>
      </w:r>
      <w:r>
        <w:rPr>
          <w:rFonts w:ascii="Arial" w:cs="Arial" w:eastAsia="Arial" w:hAnsi="Arial"/>
          <w:sz w:val="17"/>
          <w:szCs w:val="17"/>
          <w:color w:val="auto"/>
        </w:rPr>
        <w:t>We</w:t>
      </w:r>
      <w:r>
        <w:rPr>
          <w:rFonts w:ascii="Arial" w:cs="Arial" w:eastAsia="Arial" w:hAnsi="Arial"/>
          <w:sz w:val="17"/>
          <w:szCs w:val="17"/>
          <w:i w:val="1"/>
          <w:iCs w:val="1"/>
          <w:color w:val="auto"/>
        </w:rPr>
        <w:t xml:space="preserve"> </w:t>
      </w:r>
      <w:r>
        <w:rPr>
          <w:rFonts w:ascii="Arial" w:cs="Arial" w:eastAsia="Arial" w:hAnsi="Arial"/>
          <w:sz w:val="17"/>
          <w:szCs w:val="17"/>
          <w:color w:val="auto"/>
        </w:rPr>
        <w:t>intend to discuss a new clinical trial designed to explore safety, tolerability and preliminary efficacy in a new indication characterized by Nestin expression (such as breast cancer or melanoma) with the FDA.</w:t>
      </w:r>
    </w:p>
    <w:p>
      <w:pPr>
        <w:spacing w:after="0" w:line="65" w:lineRule="exact"/>
        <w:rPr>
          <w:rFonts w:ascii="Times New Roman" w:cs="Times New Roman" w:eastAsia="Times New Roman" w:hAnsi="Times New Roman"/>
          <w:sz w:val="17"/>
          <w:szCs w:val="17"/>
          <w:color w:val="auto"/>
        </w:rPr>
      </w:pPr>
    </w:p>
    <w:p>
      <w:pPr>
        <w:ind w:left="1020" w:right="340" w:hanging="368"/>
        <w:spacing w:after="0"/>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Leverage our HSV viral immunotherapy platform to develop additional HSV-based product candidates. </w:t>
      </w:r>
      <w:r>
        <w:rPr>
          <w:rFonts w:ascii="Arial" w:cs="Arial" w:eastAsia="Arial" w:hAnsi="Arial"/>
          <w:sz w:val="17"/>
          <w:szCs w:val="17"/>
          <w:color w:val="auto"/>
        </w:rPr>
        <w:t>Our new enLIGHTEN™</w:t>
      </w:r>
      <w:r>
        <w:rPr>
          <w:rFonts w:ascii="Arial" w:cs="Arial" w:eastAsia="Arial" w:hAnsi="Arial"/>
          <w:sz w:val="17"/>
          <w:szCs w:val="17"/>
          <w:i w:val="1"/>
          <w:iCs w:val="1"/>
          <w:color w:val="auto"/>
        </w:rPr>
        <w:t xml:space="preserve"> </w:t>
      </w:r>
      <w:r>
        <w:rPr>
          <w:rFonts w:ascii="Arial" w:cs="Arial" w:eastAsia="Arial" w:hAnsi="Arial"/>
          <w:sz w:val="17"/>
          <w:szCs w:val="17"/>
          <w:color w:val="auto"/>
        </w:rPr>
        <w:t>Discovery Platform enables rapid vector engineering to generate a range of new candidates in a data driven and indication specific manner. We utilize a key attribute of HSV, a high capacity for genetic cargo, to enable targeted modifications and deploy indication specific genes to the tumor microenvironment. Our platform is designed to generate both replication-defective and replication-competent agents depending on the demands of a particular application.</w:t>
      </w:r>
    </w:p>
    <w:p>
      <w:pPr>
        <w:spacing w:after="0" w:line="74" w:lineRule="exact"/>
        <w:rPr>
          <w:rFonts w:ascii="Times New Roman" w:cs="Times New Roman" w:eastAsia="Times New Roman" w:hAnsi="Times New Roman"/>
          <w:sz w:val="17"/>
          <w:szCs w:val="17"/>
          <w:color w:val="auto"/>
        </w:rPr>
      </w:pPr>
    </w:p>
    <w:p>
      <w:pPr>
        <w:ind w:left="1020" w:hanging="368"/>
        <w:spacing w:after="0" w:line="239" w:lineRule="auto"/>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Establish strategic partnerships to maximize the value of our current and future product candidates. </w:t>
      </w:r>
      <w:r>
        <w:rPr>
          <w:rFonts w:ascii="Arial" w:cs="Arial" w:eastAsia="Arial" w:hAnsi="Arial"/>
          <w:sz w:val="17"/>
          <w:szCs w:val="17"/>
          <w:color w:val="auto"/>
        </w:rPr>
        <w:t>In order to advance treatment</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for a large number of patients, we may partner with other companies with complementary resources to maximize the value of our current and future product candidates. Such partnerships may allow us to pair CAN-2409, CAN-3110 and our future product candidates with other novel agents owned by strategic partners. Partnerships may also help realize the full potential of our product candidates in markets where we are unlikely to pursue development or commercialization on our own. We intend to maintain significant economic interest in our product candidates and selectively consider partnership opportunities.</w:t>
      </w:r>
    </w:p>
    <w:p>
      <w:pPr>
        <w:spacing w:after="0" w:line="73" w:lineRule="exact"/>
        <w:rPr>
          <w:rFonts w:ascii="Times New Roman" w:cs="Times New Roman" w:eastAsia="Times New Roman" w:hAnsi="Times New Roman"/>
          <w:sz w:val="17"/>
          <w:szCs w:val="17"/>
          <w:color w:val="auto"/>
        </w:rPr>
      </w:pPr>
    </w:p>
    <w:p>
      <w:pPr>
        <w:ind w:left="1020" w:right="160" w:hanging="368"/>
        <w:spacing w:after="0" w:line="249" w:lineRule="auto"/>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Ensure commercial-scale manufacturing of our product candidates</w:t>
      </w:r>
      <w:r>
        <w:rPr>
          <w:rFonts w:ascii="Arial" w:cs="Arial" w:eastAsia="Arial" w:hAnsi="Arial"/>
          <w:sz w:val="17"/>
          <w:szCs w:val="17"/>
          <w:color w:val="auto"/>
        </w:rPr>
        <w:t>. We will rely on third party contract manufacturers for commercial-scale manufacturing of both product candidates, CAN-2409 and CAN-3110. We expect that our cost-of-goods will be substantially lower than cell- and antibody-based therapies because of our high-yield manufacturing process.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Approach</w:t>
      </w:r>
    </w:p>
    <w:p>
      <w:pPr>
        <w:spacing w:after="0" w:line="10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Conventional cancer therapies (chemotherapy, radiotherapy and surgery) often do not eradicate 100% of the tumor cells, which often leads to tumor progression or recurrence. Deep and durable responses, therefore, are still elusive for many cancer patients. Traditionally, surgery and/or radiotherapy are used for local tumor debulking, whereas chemotherapeutic agents target systemic eradication of tumor cells. These treatment modalities, however, are often limited by toxicity.</w:t>
      </w:r>
    </w:p>
    <w:p>
      <w:pPr>
        <w:spacing w:after="0" w:line="69"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color w:val="auto"/>
        </w:rPr>
        <w:t>Immunotherapy is a relatively new treatment modality that has expanded the anti-cancer treatment paradigm. FDA-approved immunotherapies include cytokines, cell therapies and antibodies, including ICIs. Much focus has been placed on harnessing the effector T cell arm of the immune system for tumor specific immunity. Adoptive T cell therapy</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1" w:name="page12"/>
    <w:bookmarkEnd w:id="11"/>
    <w:p>
      <w:pPr>
        <w:ind w:right="120"/>
        <w:spacing w:after="0" w:line="239" w:lineRule="auto"/>
        <w:rPr>
          <w:sz w:val="20"/>
          <w:szCs w:val="20"/>
          <w:color w:val="auto"/>
        </w:rPr>
      </w:pPr>
      <w:r>
        <w:rPr>
          <w:rFonts w:ascii="Arial" w:cs="Arial" w:eastAsia="Arial" w:hAnsi="Arial"/>
          <w:sz w:val="17"/>
          <w:szCs w:val="17"/>
          <w:color w:val="auto"/>
        </w:rPr>
        <w:t>has shown positive results but with limited activity in solid tumors, and is not scalable for widespread use. Vaccine approaches range in complexity from peptide antigens to autologous or allogeneic tumor cell products. The advantage of the single antigen approaches is that they can be easily manufactured and produced, however, they have the fundamental disadvantage of being potentially irrelevant for a patient’s specific tumor or immune system or easily bypassed by resistant clones. Cellular vaccines are not easily scalable and allogeneic vaccines may not bear the relevant antigens expressed by a patient’s tumor. ICIs such as anti-PD-1 and anti-PD-L1 antibodies, have transformed the treatment paradigm for different cancer indications. However, only approximately 15% to 40% of overall patients respond to such treatment.</w:t>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are focused on the development of viral immunotherapy approaches, which are based on an extensive history of research. Originally, the mechanism of action of those agents was believed to be based only on the ability of the virus to induce cancer cell lysis and to resolve tumors. Later, it was demonstrated that viral immunotherapy may induce immunogenic cell death. This effect may be enhanced by the pro-inflammatory effects of the viral capsid proteins. With the dramatic emergence of ICIs and immunotherapy as a core treatment modality, the importance of the immunostimulatory aspect of viral-mediated approaches became more widely evident. The currently understood generalized mechanism of action of viral immunotherapies is unique in combining both an anti-tumor cytotoxic component and an immune-stimulatory component. Together, these modalities lead to an “in-situ vaccination” effect against the injected tumor followed by an effect on uninjected distant metastases.</w:t>
      </w:r>
    </w:p>
    <w:p>
      <w:pPr>
        <w:spacing w:after="0" w:line="74"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Pairing this therapeutic approach with ICI treatment or with radiotherapy is based on a strong mechanistic rationale and has shown promise in experimental models of cancer. It has been observed that tumors that are least responsive to ICI are commonly characterized by low levels of lymphocytic infiltration and low or no PD-L1 expression levels; they are referred to as “cold” tumors. One of our areas of focus is the conversion of immunologically suppressed “cold” tumors into immunologically active “hot” tumors, thereby increasing their responsiveness to ICI or other therapies, such as radiotherapy.</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Mechanism of Action of Viral Immunotherapy:</w:t>
      </w:r>
    </w:p>
    <w:p>
      <w:pPr>
        <w:spacing w:after="0" w:line="102" w:lineRule="exact"/>
        <w:rPr>
          <w:sz w:val="20"/>
          <w:szCs w:val="20"/>
          <w:color w:val="auto"/>
        </w:rPr>
      </w:pPr>
    </w:p>
    <w:p>
      <w:pPr>
        <w:ind w:left="760" w:right="80" w:hanging="378"/>
        <w:spacing w:after="0" w:line="249" w:lineRule="auto"/>
        <w:tabs>
          <w:tab w:leader="none" w:pos="76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Direct anti-tumor cytotoxic activity. </w:t>
      </w:r>
      <w:r>
        <w:rPr>
          <w:rFonts w:ascii="Arial" w:cs="Arial" w:eastAsia="Arial" w:hAnsi="Arial"/>
          <w:sz w:val="17"/>
          <w:szCs w:val="17"/>
          <w:color w:val="auto"/>
        </w:rPr>
        <w:t>Tumor-specific viral-mediated oncolysis is achieved by both precise delivery of the engineered virus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tumor as well as the virus’ ability to selectively replicate within a cancer cell. Various approaches have been applied in different programs to increase the specificity and potency of viral toxicity aimed at tumor cells, including genetic modifications and use of prodrugs.</w:t>
      </w:r>
    </w:p>
    <w:p>
      <w:pPr>
        <w:spacing w:after="0" w:line="65" w:lineRule="exact"/>
        <w:rPr>
          <w:rFonts w:ascii="Times New Roman" w:cs="Times New Roman" w:eastAsia="Times New Roman" w:hAnsi="Times New Roman"/>
          <w:sz w:val="17"/>
          <w:szCs w:val="17"/>
          <w:color w:val="auto"/>
        </w:rPr>
      </w:pPr>
    </w:p>
    <w:p>
      <w:pPr>
        <w:ind w:left="760" w:hanging="378"/>
        <w:spacing w:after="0" w:line="243" w:lineRule="auto"/>
        <w:tabs>
          <w:tab w:leader="none" w:pos="76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Broad stimulation of anti-tumor immunity. </w:t>
      </w:r>
      <w:r>
        <w:rPr>
          <w:rFonts w:ascii="Arial" w:cs="Arial" w:eastAsia="Arial" w:hAnsi="Arial"/>
          <w:sz w:val="17"/>
          <w:szCs w:val="17"/>
          <w:color w:val="auto"/>
        </w:rPr>
        <w:t>The immunogenic cell death driven by oncolysis results in a potent local and systemic immune</w:t>
      </w:r>
      <w:r>
        <w:rPr>
          <w:rFonts w:ascii="Arial" w:cs="Arial" w:eastAsia="Arial" w:hAnsi="Arial"/>
          <w:sz w:val="17"/>
          <w:szCs w:val="17"/>
          <w:i w:val="1"/>
          <w:iCs w:val="1"/>
          <w:color w:val="auto"/>
        </w:rPr>
        <w:t xml:space="preserve"> </w:t>
      </w:r>
      <w:r>
        <w:rPr>
          <w:rFonts w:ascii="Arial" w:cs="Arial" w:eastAsia="Arial" w:hAnsi="Arial"/>
          <w:sz w:val="17"/>
          <w:szCs w:val="17"/>
          <w:color w:val="auto"/>
        </w:rPr>
        <w:t>stimulation with the increased expression of proinflammatory cytokines, chemokines and adhesion molecules. This, in turn, promotes the activation of both the innate and adaptive arms of the immune system in the presence of highly immunogenic viral components. This broad response commonly includes recruitment and activation of antigen-presenting cells and effector immune cells to the site of the tumor.</w:t>
      </w:r>
    </w:p>
    <w:p>
      <w:pPr>
        <w:spacing w:after="0" w:line="71" w:lineRule="exact"/>
        <w:rPr>
          <w:rFonts w:ascii="Times New Roman" w:cs="Times New Roman" w:eastAsia="Times New Roman" w:hAnsi="Times New Roman"/>
          <w:sz w:val="17"/>
          <w:szCs w:val="17"/>
          <w:color w:val="auto"/>
        </w:rPr>
      </w:pPr>
    </w:p>
    <w:p>
      <w:pPr>
        <w:ind w:left="760" w:right="380" w:hanging="378"/>
        <w:spacing w:after="0" w:line="249" w:lineRule="auto"/>
        <w:tabs>
          <w:tab w:leader="none" w:pos="76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Priming of the immune system against tumor antigens. </w:t>
      </w:r>
      <w:r>
        <w:rPr>
          <w:rFonts w:ascii="Arial" w:cs="Arial" w:eastAsia="Arial" w:hAnsi="Arial"/>
          <w:sz w:val="17"/>
          <w:szCs w:val="17"/>
          <w:color w:val="auto"/>
        </w:rPr>
        <w:t>The lysis of cancer cells leads to the exposure of tumor-specific antigens. This</w:t>
      </w:r>
      <w:r>
        <w:rPr>
          <w:rFonts w:ascii="Arial" w:cs="Arial" w:eastAsia="Arial" w:hAnsi="Arial"/>
          <w:sz w:val="17"/>
          <w:szCs w:val="17"/>
          <w:i w:val="1"/>
          <w:iCs w:val="1"/>
          <w:color w:val="auto"/>
        </w:rPr>
        <w:t xml:space="preserve"> </w:t>
      </w:r>
      <w:r>
        <w:rPr>
          <w:rFonts w:ascii="Arial" w:cs="Arial" w:eastAsia="Arial" w:hAnsi="Arial"/>
          <w:sz w:val="17"/>
          <w:szCs w:val="17"/>
          <w:color w:val="auto"/>
        </w:rPr>
        <w:t>early effect, combined with intratumoral immune cell infiltration and activation, leads to antigen presentation and initiation of a local adaptive immune response targeted against a set of tumor antigens expressed by the patient’s cancer cells.</w:t>
      </w:r>
    </w:p>
    <w:p>
      <w:pPr>
        <w:spacing w:after="0" w:line="119" w:lineRule="exact"/>
        <w:rPr>
          <w:rFonts w:ascii="Times New Roman" w:cs="Times New Roman" w:eastAsia="Times New Roman" w:hAnsi="Times New Roman"/>
          <w:sz w:val="17"/>
          <w:szCs w:val="17"/>
          <w:color w:val="auto"/>
        </w:rPr>
      </w:pPr>
    </w:p>
    <w:p>
      <w:pPr>
        <w:jc w:val="both"/>
        <w:ind w:left="760" w:right="60" w:hanging="378"/>
        <w:spacing w:after="0" w:line="249" w:lineRule="auto"/>
        <w:tabs>
          <w:tab w:leader="none" w:pos="76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Development of a systemic immune memory response. </w:t>
      </w:r>
      <w:r>
        <w:rPr>
          <w:rFonts w:ascii="Arial" w:cs="Arial" w:eastAsia="Arial" w:hAnsi="Arial"/>
          <w:sz w:val="17"/>
          <w:szCs w:val="17"/>
          <w:color w:val="auto"/>
        </w:rPr>
        <w:t>Viral immunotherapy induces the development of a long-lasting systemic immune</w:t>
      </w:r>
      <w:r>
        <w:rPr>
          <w:rFonts w:ascii="Arial" w:cs="Arial" w:eastAsia="Arial" w:hAnsi="Arial"/>
          <w:sz w:val="17"/>
          <w:szCs w:val="17"/>
          <w:i w:val="1"/>
          <w:iCs w:val="1"/>
          <w:color w:val="auto"/>
        </w:rPr>
        <w:t xml:space="preserve"> </w:t>
      </w:r>
      <w:r>
        <w:rPr>
          <w:rFonts w:ascii="Arial" w:cs="Arial" w:eastAsia="Arial" w:hAnsi="Arial"/>
          <w:sz w:val="17"/>
          <w:szCs w:val="17"/>
          <w:color w:val="auto"/>
        </w:rPr>
        <w:t>surveillance against the antigens associated with the injected tumor, and consequently, tumor antigens expressed at metastatic sites. This leads to a cytotoxic immune response against the distant tumor cells, also known as an abscopal effect.</w:t>
      </w:r>
    </w:p>
    <w:p>
      <w:pPr>
        <w:spacing w:after="0" w:line="66"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b w:val="1"/>
          <w:bCs w:val="1"/>
          <w:i w:val="1"/>
          <w:iCs w:val="1"/>
          <w:color w:val="auto"/>
        </w:rPr>
        <w:t xml:space="preserve">Desirable Clinical Properties. </w:t>
      </w:r>
      <w:r>
        <w:rPr>
          <w:rFonts w:ascii="Arial" w:cs="Arial" w:eastAsia="Arial" w:hAnsi="Arial"/>
          <w:sz w:val="17"/>
          <w:szCs w:val="17"/>
          <w:color w:val="auto"/>
        </w:rPr>
        <w:t>Viral immunotherapy has attributes that are important for cancer therapeutics. The agents are off-the-shelf and they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been shown to stimulate local and systemic immune responses in most patients, leading to an individualized anti-tumor immune response. In contrast, individualized cellular immunotherapies require specific manufacturing processes for each individual patient. The first viral immunotherapy was approved by the FDA in 2015, providing support that additional agents in this class may have similar potential. Furthermore, safety data shown in several clinical trials of various immunotherapies supports the ability to combine viral immunotherapy with other agents due to the potential for fewer overlapping side effects.</w:t>
      </w:r>
    </w:p>
    <w:p>
      <w:pPr>
        <w:spacing w:after="0" w:line="74" w:lineRule="exact"/>
        <w:rPr>
          <w:sz w:val="20"/>
          <w:szCs w:val="20"/>
          <w:color w:val="auto"/>
        </w:rPr>
      </w:pPr>
    </w:p>
    <w:p>
      <w:pPr>
        <w:ind w:right="880"/>
        <w:spacing w:after="0" w:line="267" w:lineRule="auto"/>
        <w:rPr>
          <w:sz w:val="20"/>
          <w:szCs w:val="20"/>
          <w:color w:val="auto"/>
        </w:rPr>
      </w:pPr>
      <w:r>
        <w:rPr>
          <w:rFonts w:ascii="Arial" w:cs="Arial" w:eastAsia="Arial" w:hAnsi="Arial"/>
          <w:sz w:val="17"/>
          <w:szCs w:val="17"/>
          <w:b w:val="1"/>
          <w:bCs w:val="1"/>
          <w:i w:val="1"/>
          <w:iCs w:val="1"/>
          <w:color w:val="auto"/>
        </w:rPr>
        <w:t xml:space="preserve">Our Immunotherapy Platforms. </w:t>
      </w:r>
      <w:r>
        <w:rPr>
          <w:rFonts w:ascii="Arial" w:cs="Arial" w:eastAsia="Arial" w:hAnsi="Arial"/>
          <w:sz w:val="17"/>
          <w:szCs w:val="17"/>
          <w:color w:val="auto"/>
        </w:rPr>
        <w:t>Our two clinical platforms, one based on adenovirus and the other based on HSV, provide different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complementary sets of attributes, which allows us to utilize the product candidate that is best suited for a particular clinical application.</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Key attributes across our viral immunotherapy platforms include:</w:t>
      </w:r>
    </w:p>
    <w:p>
      <w:pPr>
        <w:spacing w:after="0" w:line="102" w:lineRule="exact"/>
        <w:rPr>
          <w:sz w:val="20"/>
          <w:szCs w:val="20"/>
          <w:color w:val="auto"/>
        </w:rPr>
      </w:pPr>
    </w:p>
    <w:p>
      <w:pPr>
        <w:ind w:left="1020" w:hanging="368"/>
        <w:spacing w:after="0" w:line="256" w:lineRule="auto"/>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Targeting a Wide Range of Cell Types. </w:t>
      </w:r>
      <w:r>
        <w:rPr>
          <w:rFonts w:ascii="Arial" w:cs="Arial" w:eastAsia="Arial" w:hAnsi="Arial"/>
          <w:sz w:val="17"/>
          <w:szCs w:val="17"/>
          <w:color w:val="auto"/>
        </w:rPr>
        <w:t>Product candidates from both the HSV and adenoviral platforms can transduce a diverse range</w:t>
      </w:r>
      <w:r>
        <w:rPr>
          <w:rFonts w:ascii="Arial" w:cs="Arial" w:eastAsia="Arial" w:hAnsi="Arial"/>
          <w:sz w:val="17"/>
          <w:szCs w:val="17"/>
          <w:i w:val="1"/>
          <w:iCs w:val="1"/>
          <w:color w:val="auto"/>
        </w:rPr>
        <w:t xml:space="preserve"> </w:t>
      </w:r>
      <w:r>
        <w:rPr>
          <w:rFonts w:ascii="Arial" w:cs="Arial" w:eastAsia="Arial" w:hAnsi="Arial"/>
          <w:sz w:val="17"/>
          <w:szCs w:val="17"/>
          <w:color w:val="auto"/>
        </w:rPr>
        <w:t>of cell types, which we believe will allow us to address many different forms of cancer.</w:t>
      </w:r>
    </w:p>
    <w:p>
      <w:pPr>
        <w:ind w:left="1020" w:right="340" w:hanging="368"/>
        <w:spacing w:after="0" w:line="253" w:lineRule="auto"/>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Off-the-Shelf Product. </w:t>
      </w:r>
      <w:r>
        <w:rPr>
          <w:rFonts w:ascii="Arial" w:cs="Arial" w:eastAsia="Arial" w:hAnsi="Arial"/>
          <w:sz w:val="17"/>
          <w:szCs w:val="17"/>
          <w:color w:val="auto"/>
        </w:rPr>
        <w:t>A standardized product intended to be available as needed via prescription supports straightforward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administration, simplified manufacturing and supply chain management.</w:t>
      </w:r>
    </w:p>
    <w:p>
      <w:pPr>
        <w:ind w:left="1020" w:hanging="368"/>
        <w:spacing w:after="0" w:line="235" w:lineRule="auto"/>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Intratumoral Route of Administration. </w:t>
      </w:r>
      <w:r>
        <w:rPr>
          <w:rFonts w:ascii="Arial" w:cs="Arial" w:eastAsia="Arial" w:hAnsi="Arial"/>
          <w:sz w:val="17"/>
          <w:szCs w:val="17"/>
          <w:color w:val="auto"/>
        </w:rPr>
        <w:t>Both of our product candidates are administered by direct injection into the tumor site, and have</w:t>
      </w:r>
      <w:r>
        <w:rPr>
          <w:rFonts w:ascii="Arial" w:cs="Arial" w:eastAsia="Arial" w:hAnsi="Arial"/>
          <w:sz w:val="17"/>
          <w:szCs w:val="17"/>
          <w:i w:val="1"/>
          <w:iCs w:val="1"/>
          <w:color w:val="auto"/>
        </w:rPr>
        <w:t xml:space="preserve"> </w:t>
      </w:r>
      <w:r>
        <w:rPr>
          <w:rFonts w:ascii="Arial" w:cs="Arial" w:eastAsia="Arial" w:hAnsi="Arial"/>
          <w:sz w:val="17"/>
          <w:szCs w:val="17"/>
          <w:color w:val="auto"/>
        </w:rPr>
        <w:t>been shown to result in a systemic immune response. This approach aims to maximize immune stimulation and minimize systemic toxicity, factors that are believed to be suboptimal with intravenous administration. We believe that directly injecting these viral immunotherapies into a patient’s cancerous tissue helps to optimize the benefit/risk for these agents to be highly immunostimulatory at the site of the tumor, whereas systemically administered agents would need to avoid detection by the body’s immune surveillance mechanisms to avoid rapid destruction before getting to the target tumor. While our product candidates are administered directly into the tumor, we have observed a systemic anti-tumor immune response in our preclinical studies and clinical trials, resulting in improvement of both injected and uninjected tumors, also known as an “abscopal” effect. For the indications that we selected, intratumoral administration is a straightforward procedure that is aligned with clinical practice, leveraging SoC medical procedures, such as intra-prostate injection or delivery during diagnostic (bronchoscopy) or therapeutic (neurosurgery) procedures.</w:t>
      </w:r>
    </w:p>
    <w:p>
      <w:pPr>
        <w:spacing w:after="0" w:line="7" w:lineRule="exact"/>
        <w:rPr>
          <w:rFonts w:ascii="Times New Roman" w:cs="Times New Roman" w:eastAsia="Times New Roman" w:hAnsi="Times New Roman"/>
          <w:sz w:val="17"/>
          <w:szCs w:val="17"/>
          <w:color w:val="auto"/>
        </w:rPr>
      </w:pPr>
    </w:p>
    <w:p>
      <w:pPr>
        <w:ind w:left="1020" w:right="100" w:hanging="368"/>
        <w:spacing w:after="0" w:line="266" w:lineRule="auto"/>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Cost-efficient Manufacturing. </w:t>
      </w:r>
      <w:r>
        <w:rPr>
          <w:rFonts w:ascii="Arial" w:cs="Arial" w:eastAsia="Arial" w:hAnsi="Arial"/>
          <w:sz w:val="17"/>
          <w:szCs w:val="17"/>
          <w:color w:val="auto"/>
        </w:rPr>
        <w:t>Both product candidates are relatively inexpensive to manufacture, particularly when compared to other</w:t>
      </w:r>
      <w:r>
        <w:rPr>
          <w:rFonts w:ascii="Arial" w:cs="Arial" w:eastAsia="Arial" w:hAnsi="Arial"/>
          <w:sz w:val="17"/>
          <w:szCs w:val="17"/>
          <w:i w:val="1"/>
          <w:iCs w:val="1"/>
          <w:color w:val="auto"/>
        </w:rPr>
        <w:t xml:space="preserve"> </w:t>
      </w:r>
      <w:r>
        <w:rPr>
          <w:rFonts w:ascii="Arial" w:cs="Arial" w:eastAsia="Arial" w:hAnsi="Arial"/>
          <w:sz w:val="17"/>
          <w:szCs w:val="17"/>
          <w:color w:val="auto"/>
        </w:rPr>
        <w:t>biologic or cellular therapy treatments.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Key attributes of our Adenoviral platform include:</w:t>
      </w:r>
    </w:p>
    <w:p>
      <w:pPr>
        <w:spacing w:after="0" w:line="102" w:lineRule="exact"/>
        <w:rPr>
          <w:sz w:val="20"/>
          <w:szCs w:val="20"/>
          <w:color w:val="auto"/>
        </w:rPr>
      </w:pPr>
    </w:p>
    <w:p>
      <w:pPr>
        <w:ind w:left="1020" w:hanging="368"/>
        <w:spacing w:after="0" w:line="256" w:lineRule="auto"/>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Targeting a Wide Range of Cell Types. </w:t>
      </w:r>
      <w:r>
        <w:rPr>
          <w:rFonts w:ascii="Arial" w:cs="Arial" w:eastAsia="Arial" w:hAnsi="Arial"/>
          <w:sz w:val="17"/>
          <w:szCs w:val="17"/>
          <w:color w:val="auto"/>
        </w:rPr>
        <w:t>Adenoviruses can efficiently transduce cells from different lineages. This allows us to apply this</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to many different tumor types.</w:t>
      </w:r>
    </w:p>
    <w:p>
      <w:pPr>
        <w:ind w:left="1020" w:right="660" w:hanging="368"/>
        <w:spacing w:after="0" w:line="253" w:lineRule="auto"/>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Immunogenic Virus Particle. </w:t>
      </w:r>
      <w:r>
        <w:rPr>
          <w:rFonts w:ascii="Arial" w:cs="Arial" w:eastAsia="Arial" w:hAnsi="Arial"/>
          <w:sz w:val="17"/>
          <w:szCs w:val="17"/>
          <w:color w:val="auto"/>
        </w:rPr>
        <w:t>The adenoviral virus particles are strong simulators of the innate immune system, a property that</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contributes to immune activation at the site of administration.</w:t>
      </w:r>
    </w:p>
    <w:p>
      <w:pPr>
        <w:ind w:left="1020" w:right="400" w:hanging="368"/>
        <w:spacing w:after="0" w:line="251" w:lineRule="auto"/>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High-Titer Formulation. </w:t>
      </w:r>
      <w:r>
        <w:rPr>
          <w:rFonts w:ascii="Arial" w:cs="Arial" w:eastAsia="Arial" w:hAnsi="Arial"/>
          <w:sz w:val="17"/>
          <w:szCs w:val="17"/>
          <w:color w:val="auto"/>
        </w:rPr>
        <w:t>Adenovirus can be formulated at high titers, facilitating the administration of low volume doses sufficiently</w:t>
      </w:r>
      <w:r>
        <w:rPr>
          <w:rFonts w:ascii="Arial" w:cs="Arial" w:eastAsia="Arial" w:hAnsi="Arial"/>
          <w:sz w:val="17"/>
          <w:szCs w:val="17"/>
          <w:i w:val="1"/>
          <w:iCs w:val="1"/>
          <w:color w:val="auto"/>
        </w:rPr>
        <w:t xml:space="preserve"> </w:t>
      </w:r>
      <w:r>
        <w:rPr>
          <w:rFonts w:ascii="Arial" w:cs="Arial" w:eastAsia="Arial" w:hAnsi="Arial"/>
          <w:sz w:val="17"/>
          <w:szCs w:val="17"/>
          <w:color w:val="auto"/>
        </w:rPr>
        <w:t>potent to induce strong activity.</w:t>
      </w:r>
    </w:p>
    <w:p>
      <w:pPr>
        <w:ind w:left="1020" w:right="460" w:hanging="368"/>
        <w:spacing w:after="0" w:line="256" w:lineRule="auto"/>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Product Stability. </w:t>
      </w:r>
      <w:r>
        <w:rPr>
          <w:rFonts w:ascii="Arial" w:cs="Arial" w:eastAsia="Arial" w:hAnsi="Arial"/>
          <w:sz w:val="17"/>
          <w:szCs w:val="17"/>
          <w:color w:val="auto"/>
        </w:rPr>
        <w:t>The formulation deployed in clinical trials has stability at refrigerator temperatures (4°C), supporting use at less</w:t>
      </w:r>
      <w:r>
        <w:rPr>
          <w:rFonts w:ascii="Arial" w:cs="Arial" w:eastAsia="Arial" w:hAnsi="Arial"/>
          <w:sz w:val="17"/>
          <w:szCs w:val="17"/>
          <w:i w:val="1"/>
          <w:iCs w:val="1"/>
          <w:color w:val="auto"/>
        </w:rPr>
        <w:t xml:space="preserve"> </w:t>
      </w:r>
      <w:r>
        <w:rPr>
          <w:rFonts w:ascii="Arial" w:cs="Arial" w:eastAsia="Arial" w:hAnsi="Arial"/>
          <w:sz w:val="17"/>
          <w:szCs w:val="17"/>
          <w:color w:val="auto"/>
        </w:rPr>
        <w:t>specialized and therefore widely accessible sites such as community-based private clinics.</w:t>
      </w:r>
    </w:p>
    <w:p>
      <w:pPr>
        <w:ind w:left="1020" w:right="100" w:hanging="368"/>
        <w:spacing w:after="0" w:line="249" w:lineRule="auto"/>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Non-Replicating Design</w:t>
      </w:r>
      <w:r>
        <w:rPr>
          <w:rFonts w:ascii="Arial" w:cs="Arial" w:eastAsia="Arial" w:hAnsi="Arial"/>
          <w:sz w:val="17"/>
          <w:szCs w:val="17"/>
          <w:color w:val="auto"/>
        </w:rPr>
        <w:t>. Engineering the adenovirus to remove replication ability reduces the potential for viral shedding, something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which is particularly important in clinical applications such as prostate cancer. There is no need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amplification as the virus is highly immunogenic and can be administered at high titers.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Key attributes of our CAN-3110 platform include:</w:t>
      </w:r>
    </w:p>
    <w:p>
      <w:pPr>
        <w:spacing w:after="0" w:line="102" w:lineRule="exact"/>
        <w:rPr>
          <w:sz w:val="20"/>
          <w:szCs w:val="20"/>
          <w:color w:val="auto"/>
        </w:rPr>
      </w:pPr>
    </w:p>
    <w:p>
      <w:pPr>
        <w:ind w:left="1020" w:right="240" w:hanging="368"/>
        <w:spacing w:after="0" w:line="236" w:lineRule="auto"/>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Capacity for selective replication in the tumor. </w:t>
      </w:r>
      <w:r>
        <w:rPr>
          <w:rFonts w:ascii="Arial" w:cs="Arial" w:eastAsia="Arial" w:hAnsi="Arial"/>
          <w:sz w:val="17"/>
          <w:szCs w:val="17"/>
          <w:color w:val="auto"/>
        </w:rPr>
        <w:t>There is a strong rationale for use of a replication-competent virus that is designed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potent oncolysis and viral amplification in tumors characterized by high volume or located in less anatomically accessible areas, such as recurrent HGG. We have engineered CAN-3110 to selectively replicate only within tumors. This tumor specific replication ability of CAN-3110 is regulated by the expression of ICP34.5, a gene encoding for a protein that permits viral replication even in the presence of the interferon response that is normally able to quell viral infection. In the CAN-3110 construct, ICP34.5 expression is driven by the expression of Nestin, a protein largely expressed in certain tumors, like gliomas, but not in healthy brain tissue, thereby enabling replication specifically in the context of brain tumors. We believe our HSV-based platform will allow us to implement additional genetic modifications to leverage the use of CAN-3110 in recurrent HGG and in other tumor types expressing Nestin.</w:t>
      </w:r>
    </w:p>
    <w:p>
      <w:pPr>
        <w:spacing w:after="0" w:line="5" w:lineRule="exact"/>
        <w:rPr>
          <w:rFonts w:ascii="Times New Roman" w:cs="Times New Roman" w:eastAsia="Times New Roman" w:hAnsi="Times New Roman"/>
          <w:sz w:val="17"/>
          <w:szCs w:val="17"/>
          <w:color w:val="auto"/>
        </w:rPr>
      </w:pPr>
    </w:p>
    <w:p>
      <w:pPr>
        <w:ind w:left="1020" w:right="100" w:hanging="368"/>
        <w:spacing w:after="0" w:line="244" w:lineRule="auto"/>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Oncolytic activity combined with immunostimulatory properties. </w:t>
      </w:r>
      <w:r>
        <w:rPr>
          <w:rFonts w:ascii="Arial" w:cs="Arial" w:eastAsia="Arial" w:hAnsi="Arial"/>
          <w:sz w:val="17"/>
          <w:szCs w:val="17"/>
          <w:color w:val="auto"/>
        </w:rPr>
        <w:t>CAN-3110 is designed to persist and replicate at the site of the tumor.</w:t>
      </w:r>
      <w:r>
        <w:rPr>
          <w:rFonts w:ascii="Arial" w:cs="Arial" w:eastAsia="Arial" w:hAnsi="Arial"/>
          <w:sz w:val="17"/>
          <w:szCs w:val="17"/>
          <w:i w:val="1"/>
          <w:iCs w:val="1"/>
          <w:color w:val="auto"/>
        </w:rPr>
        <w:t xml:space="preserve"> </w:t>
      </w:r>
      <w:r>
        <w:rPr>
          <w:rFonts w:ascii="Arial" w:cs="Arial" w:eastAsia="Arial" w:hAnsi="Arial"/>
          <w:sz w:val="17"/>
          <w:szCs w:val="17"/>
          <w:color w:val="auto"/>
        </w:rPr>
        <w:t>Viral replication is accompanied by tumor oncolysis, with release of tumor antigens in the microenvironment and activation of a local systemic immune response.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Key attributes of the enLIGHTEN™ Discovery Platform include:</w:t>
      </w:r>
    </w:p>
    <w:p>
      <w:pPr>
        <w:spacing w:after="0" w:line="104" w:lineRule="exact"/>
        <w:rPr>
          <w:sz w:val="20"/>
          <w:szCs w:val="20"/>
          <w:color w:val="auto"/>
        </w:rPr>
      </w:pPr>
    </w:p>
    <w:p>
      <w:pPr>
        <w:ind w:left="1020" w:hanging="368"/>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Strong focus on human biology, including deep phenotyping of human tumors, to increase probability of success</w:t>
      </w:r>
    </w:p>
    <w:p>
      <w:pPr>
        <w:spacing w:after="0" w:line="112" w:lineRule="exact"/>
        <w:rPr>
          <w:rFonts w:ascii="Times New Roman" w:cs="Times New Roman" w:eastAsia="Times New Roman" w:hAnsi="Times New Roman"/>
          <w:sz w:val="17"/>
          <w:szCs w:val="17"/>
          <w:color w:val="auto"/>
        </w:rPr>
      </w:pPr>
    </w:p>
    <w:p>
      <w:pPr>
        <w:ind w:left="1020" w:hanging="368"/>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Data driven selection of the payload. </w:t>
      </w:r>
      <w:r>
        <w:rPr>
          <w:rFonts w:ascii="Arial" w:cs="Arial" w:eastAsia="Arial" w:hAnsi="Arial"/>
          <w:sz w:val="17"/>
          <w:szCs w:val="17"/>
          <w:color w:val="auto"/>
        </w:rPr>
        <w:t>The use of advanced analytics on proprietary and publicly available datasets enables us to select</w:t>
      </w:r>
      <w:r>
        <w:rPr>
          <w:rFonts w:ascii="Arial" w:cs="Arial" w:eastAsia="Arial" w:hAnsi="Arial"/>
          <w:sz w:val="17"/>
          <w:szCs w:val="17"/>
          <w:i w:val="1"/>
          <w:iCs w:val="1"/>
          <w:color w:val="auto"/>
        </w:rPr>
        <w:t xml:space="preserve"> </w:t>
      </w:r>
      <w:r>
        <w:rPr>
          <w:rFonts w:ascii="Arial" w:cs="Arial" w:eastAsia="Arial" w:hAnsi="Arial"/>
          <w:sz w:val="17"/>
          <w:szCs w:val="17"/>
          <w:color w:val="auto"/>
        </w:rPr>
        <w:t>what we believe is the best payload for combinatory strategy in a specific</w:t>
      </w: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13" w:name="page14"/>
    <w:bookmarkEnd w:id="13"/>
    <w:p>
      <w:pPr>
        <w:ind w:left="1020"/>
        <w:spacing w:after="0"/>
        <w:rPr>
          <w:sz w:val="20"/>
          <w:szCs w:val="20"/>
          <w:color w:val="auto"/>
        </w:rPr>
      </w:pPr>
      <w:r>
        <w:rPr>
          <w:rFonts w:ascii="Arial" w:cs="Arial" w:eastAsia="Arial" w:hAnsi="Arial"/>
          <w:sz w:val="17"/>
          <w:szCs w:val="17"/>
          <w:color w:val="auto"/>
        </w:rPr>
        <w:t>indication, rationalizing our payload selection, de-risking development and maximizing our probability of success</w:t>
      </w:r>
      <w:r>
        <w:rPr>
          <w:rFonts w:ascii="Arial" w:cs="Arial" w:eastAsia="Arial" w:hAnsi="Arial"/>
          <w:sz w:val="17"/>
          <w:szCs w:val="17"/>
          <w:i w:val="1"/>
          <w:iCs w:val="1"/>
          <w:color w:val="auto"/>
        </w:rPr>
        <w:t>.</w:t>
      </w:r>
    </w:p>
    <w:p>
      <w:pPr>
        <w:spacing w:after="0" w:line="102" w:lineRule="exact"/>
        <w:rPr>
          <w:sz w:val="20"/>
          <w:szCs w:val="20"/>
          <w:color w:val="auto"/>
        </w:rPr>
      </w:pPr>
    </w:p>
    <w:p>
      <w:pPr>
        <w:ind w:left="1020" w:right="380" w:hanging="368"/>
        <w:spacing w:after="0" w:line="266" w:lineRule="auto"/>
        <w:tabs>
          <w:tab w:leader="none" w:pos="1020" w:val="left"/>
        </w:tabs>
        <w:numPr>
          <w:ilvl w:val="1"/>
          <w:numId w:val="1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Use of HSV based on its high capacity for genetic cargos</w:t>
      </w:r>
      <w:r>
        <w:rPr>
          <w:rFonts w:ascii="Arial" w:cs="Arial" w:eastAsia="Arial" w:hAnsi="Arial"/>
          <w:sz w:val="17"/>
          <w:szCs w:val="17"/>
          <w:color w:val="auto"/>
        </w:rPr>
        <w:t>. Our HSV-based platform allows the introduction of large genetic cargos,</w:t>
      </w:r>
      <w:r>
        <w:rPr>
          <w:rFonts w:ascii="Arial" w:cs="Arial" w:eastAsia="Arial" w:hAnsi="Arial"/>
          <w:sz w:val="17"/>
          <w:szCs w:val="17"/>
          <w:i w:val="1"/>
          <w:iCs w:val="1"/>
          <w:color w:val="auto"/>
        </w:rPr>
        <w:t xml:space="preserve"> </w:t>
      </w:r>
      <w:r>
        <w:rPr>
          <w:rFonts w:ascii="Arial" w:cs="Arial" w:eastAsia="Arial" w:hAnsi="Arial"/>
          <w:sz w:val="17"/>
          <w:szCs w:val="17"/>
          <w:color w:val="auto"/>
        </w:rPr>
        <w:t>such as multiple immunomodulatory genes that may further enhance the anti-tumor immune response.</w:t>
      </w:r>
    </w:p>
    <w:p>
      <w:pPr>
        <w:spacing w:after="0" w:line="51" w:lineRule="exact"/>
        <w:rPr>
          <w:rFonts w:ascii="Times New Roman" w:cs="Times New Roman" w:eastAsia="Times New Roman" w:hAnsi="Times New Roman"/>
          <w:sz w:val="17"/>
          <w:szCs w:val="17"/>
          <w:color w:val="auto"/>
        </w:rPr>
      </w:pPr>
    </w:p>
    <w:p>
      <w:pPr>
        <w:ind w:left="1020" w:right="60" w:hanging="503"/>
        <w:spacing w:after="0" w:line="249" w:lineRule="auto"/>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Amenable to engineered modifications. </w:t>
      </w:r>
      <w:r>
        <w:rPr>
          <w:rFonts w:ascii="Arial" w:cs="Arial" w:eastAsia="Arial" w:hAnsi="Arial"/>
          <w:sz w:val="17"/>
          <w:szCs w:val="17"/>
          <w:color w:val="auto"/>
        </w:rPr>
        <w:t>Our knowledge of virus biology allows us to make modifications, such as those already present</w:t>
      </w:r>
      <w:r>
        <w:rPr>
          <w:rFonts w:ascii="Arial" w:cs="Arial" w:eastAsia="Arial" w:hAnsi="Arial"/>
          <w:sz w:val="17"/>
          <w:szCs w:val="17"/>
          <w:i w:val="1"/>
          <w:iCs w:val="1"/>
          <w:color w:val="auto"/>
        </w:rPr>
        <w:t xml:space="preserve"> </w:t>
      </w:r>
      <w:r>
        <w:rPr>
          <w:rFonts w:ascii="Arial" w:cs="Arial" w:eastAsia="Arial" w:hAnsi="Arial"/>
          <w:sz w:val="17"/>
          <w:szCs w:val="17"/>
          <w:color w:val="auto"/>
        </w:rPr>
        <w:t>in CAN-3110 to target certain tumor types. Leveraging these modifications, we can select the best viral vector to deliver the selected payload in a specific indication.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Pipeline</w:t>
      </w:r>
    </w:p>
    <w:p>
      <w:pPr>
        <w:spacing w:after="0" w:line="37" w:lineRule="exact"/>
        <w:rPr>
          <w:sz w:val="20"/>
          <w:szCs w:val="20"/>
          <w:color w:val="auto"/>
        </w:rPr>
      </w:pPr>
    </w:p>
    <w:p>
      <w:pPr>
        <w:ind w:right="360"/>
        <w:spacing w:after="0" w:line="248" w:lineRule="auto"/>
        <w:rPr>
          <w:sz w:val="20"/>
          <w:szCs w:val="20"/>
          <w:color w:val="auto"/>
        </w:rPr>
      </w:pPr>
      <w:r>
        <w:rPr>
          <w:rFonts w:ascii="Arial" w:cs="Arial" w:eastAsia="Arial" w:hAnsi="Arial"/>
          <w:sz w:val="17"/>
          <w:szCs w:val="17"/>
          <w:color w:val="auto"/>
        </w:rPr>
        <w:t>We have an advanced pipeline of late-stage and early-stage clinical trials with our two most advanced product candidates, CAN-2409 and CAN-3110.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5751830" cy="24771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183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CAN-2409, formerly known as gene mediated cytotoxic immunotherapy (GMCI), is our most advanced product candidate. It is a replication defective adenovirus that has been genetically modified to express the gene encoding the HSV-thymidine kinase enzyme. This enzyme activates the prodrug, valacyclovir, a widely available, generally well-tolerated antiviral at the site of the tumor, generating a powerful patient-specific anti-tumor immune response. We believe there are three key aspects of the mechanism of action. First, the direct, cellular killing activity is based on the transformation of valacyclovir into a toxic nucleotide analogue that disrupts DNA synthesis and repair. This phenomenon occurs preferentially in actively dividing cancer cells, thereby providing tumor specificity. This DNA repair inhibition is also hypothesized to be the mechanistic explanation behind the encouraging pre-clinical and clinical activity of CAN-2409 in combination with radiotherapy, a treatment known to cause DNA breaks requiring repair for continued cellular survival. Second, adenoviral capsid proteins themselves also directly trigger an immuno-inflammatory response through the establishment of a proinflammatory tumor microenvironment, resulting in the expression of proinflammatory cytokines, chemokines, and adhesion molecules that contribute to the optimal conditions to immunize against the tumor antigens that are released in the tumor microenvironment as a direct result of the formed toxic nucleotide analogues. Together, this results in the recruitment, activation and proliferation of anti-tumor effector cells, in particular CD8+ cytotoxic T cells. Consequently, the localized death of tumor cells releases numerous antigens that can be recognized by the patient’s own immune system, thereby training the immune system to recognize, target and destroy cancer cells bearing the same antigens that have spread to other sites in the body.</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To date, CAN-2409 has been administered to over 1000 patients with cancer, many of whom are in ongoing, placebo-controlled randomized clinical trials. In total, we have conducted more than 10 clinical trials with CAN-2409 in a range of solid tumor indications. We have seen encouraging clinical activity and a favorable tolerability profile with CAN-2409 in both monotherapy and combination settings with radiotherapy, ICI therapy, androgen deprivation therapy (ADT), chemotherapy and surgery. Based on the totality of our clinical data generated to date, we are currently pursuing indications in lung, pancreatic, and prostate cancer, which we believe all have great potential to address the unmet need.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4" w:name="page15"/>
    <w:bookmarkEnd w:id="14"/>
    <w:p>
      <w:pPr>
        <w:ind w:right="100"/>
        <w:spacing w:after="0" w:line="236" w:lineRule="auto"/>
        <w:rPr>
          <w:sz w:val="20"/>
          <w:szCs w:val="20"/>
          <w:color w:val="auto"/>
        </w:rPr>
      </w:pPr>
      <w:r>
        <w:rPr>
          <w:rFonts w:ascii="Arial" w:cs="Arial" w:eastAsia="Arial" w:hAnsi="Arial"/>
          <w:sz w:val="17"/>
          <w:szCs w:val="17"/>
          <w:color w:val="auto"/>
        </w:rPr>
        <w:t>We are conducting a phase 3 clinical trial of CAN-2409 under agreement with the FDA through the SPA process in newly diagnosed localized prostate cancer in intermediate- and certain high-risk patients in combination with the SoC that comprises radiotherapy and optional ADT. Our SPA provides FDA concurrence that our key endpoints and specific critical elements of our trial design are adequate to support a future marketing application if, among other things, we achieve the primary endpoint in the trial. The clinical trial is randomized, triple-blinded and placebo-controlled. It targeted enrollment of approximately 700 patients and was fully enrolled with 711 patients in September 2021, with topline data anticipated in the fourth quarter of 2024. We have also received fast track designation by the FDA for the development of CAN-2409 for the treatment of localized, primary prostate cancer in combination with radiotherapy to improve the local control rate, decrease recurrence and improve disease-free survival. We expect that if the trial is successful and if we obtain FDA approval, CAN-2409 could be the first new FDA approved pharmacologic treatment available in over 30 years as a first-line therapeutic for the over 100,000 patients who are newly diagnosed with localized prostate cancer each year in the United States.</w:t>
      </w:r>
    </w:p>
    <w:p>
      <w:pPr>
        <w:spacing w:after="0" w:line="76" w:lineRule="exact"/>
        <w:rPr>
          <w:sz w:val="20"/>
          <w:szCs w:val="20"/>
          <w:color w:val="auto"/>
        </w:rPr>
      </w:pPr>
    </w:p>
    <w:p>
      <w:pPr>
        <w:ind w:right="420"/>
        <w:spacing w:after="0" w:line="244" w:lineRule="auto"/>
        <w:rPr>
          <w:sz w:val="20"/>
          <w:szCs w:val="20"/>
          <w:color w:val="auto"/>
        </w:rPr>
      </w:pPr>
      <w:r>
        <w:rPr>
          <w:rFonts w:ascii="Arial" w:cs="Arial" w:eastAsia="Arial" w:hAnsi="Arial"/>
          <w:sz w:val="17"/>
          <w:szCs w:val="17"/>
          <w:color w:val="auto"/>
        </w:rPr>
        <w:t>We have also completed enrollment for a phase 2 clinical trial of CAN-2409 as monotherapy in newly diagnosed prostate cancer patients under active surveillance. This trial has recruited 187 patients with low-, intermediate- and certain high-risk localized prostate cancer. We expect to announce topline data in the fourth quarter of 2024. We believe that this trial, if successful, could position CAN-2409 as a first-line monotherapy treatment for patients with low- and intermediate-risk prostate cancer, thereby meaningfully expanding the addressable patient population.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In NSCLC, we have observed monotherapy activity of CAN-2409 in a phase 1 biomarker focused, window of opportunity clinical trial. In 2020, we initiated a phase 2 clinical trial evaluating CAN-2409 in combination with PD-(L)1 checkpoint inhibitors for patients with inadequate response to PD-(L)1 ICI. This open-label clinical trial was originally amended to target enrollment of approximately 80 patients with stage III/IV NSCLC in two separate cohorts. The cohorts are defined based on response to ICI at the time of enrollment. Cohort 1 addresses patients with stable disease at enrollment. Cohort 2 enrolls patients with progressive disease after at least 18 weeks of ICI treatment. Patients will continue treatment with their initial checkpoint inhibitor and CAN-2409 will be added to their regimen. The primary efficacy endpoints for this trial are tumor response as measured by RECIST criteria including overall response rate (ORR) and/or disease control rate (DCR). We reported initial data from this trial at the ASCO Annual Meeting in June 2022 and during our Research and Development Day in December 2022. These data were further supported in an update announced in September 2023, based on a data cutoff of August 1, 2023. In this September 2023 announcement, we presented updated data which showed evidence of local and systemic anti-tumor activity; a DCR of 77% (20/26) in patients entering the trial with disease progression (cohort 2); sustained and ongoing clinical responses greater than 1 year; favorable change in the trajectory of tumor progression; decreased tumor size of RECIST target lesions in most patients; reduced uninjected tumor size in 14/21 patients (67%); an overall response rate of 13% (4/30) across cohorts 1 and 2; durable disease stabilization translating into encouraging preliminary evidence of progression-free survival; consistent induction of local and systemic cytotoxic T cell response; increased infiltration of CD8+ T cells in the tumor microenvironment; systemic expansion of effector T cells and increase in soluble granzyme B levels in the peripheral blood; and a favorable safety/tolerability data with most treatment-related adverse events being grade 1/2. In December 2023, the recruitment of this study was paused as we completed target enrollment for cohort 2. We received FDA fast track designation for CAN-2409 plus valacyclovir in combination with pembrolizumab in order to improve survival or delay progression in patients with stage III/stage IV in NSCLC who are resistant to first line PD-(L)1 inhibitor therapy and who do not have activating molecular driver mutations or have progressed on directed molecular therapy in April 2023. We anticipate presenting topline overall survival data in the second quarter of 2024.</w:t>
      </w:r>
    </w:p>
    <w:p>
      <w:pPr>
        <w:spacing w:after="0" w:line="17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In a previous phase 1b trial, patients with pancreatic cancer treated with CAN-2409 in addition to SoC demonstrated a greater survival duration over the expected survival of the patients treated with the existing SoC alone in a comparison to historical trial results. Furthermore, in the group of patients where pre- and post-treatment tumor biopsies were available, a statistically significant increase in the number of CD8+ tumor infiltrating lymphocytes was observed. We have initiated a randomized phase 2 clinical trial evaluating CAN-2409 in borderline-resectable pancreatic adenocarcinoma. In March 2023, in connection with our cost management and dynamic portfolio management initiatives, we elected to pause new enrollment in this randomized phase 2 clinical trial, subject to additional funding. Despite the pause in patient enrollment, we presented initial clinical data in the fourth quarter of 2023. The initial data showed prolonged and sustained survival in patients treated with CAN-2409 but not in the control arm, We observed a separation of the survival curves with an estimated survival rate of 71% in the treatment arm, compared to 16.7% in the control arm at both 24 and 36 months after treatment. We received FDA fast track designation for CAN-2409 plus prodrug (valacyclovir) for the treatment of patients with PDAC to improve overall survival in December 2023. We expect to present an update of the survival data in the second quarter of 2024.</w:t>
      </w:r>
    </w:p>
    <w:p>
      <w:pPr>
        <w:spacing w:after="0" w:line="73"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Our second viral immunotherapy platform is based on a novel, next generation, genetically modified HSV that induces tumor specific oncolysis. The HSV-based platform enables generation of both replication-competent and replication-defective viral product candidates as well as capacity to clone, in the vector, up to five transgenes that will allow us to optimize our virus profile for different tumor settings. CAN-3110, our first HSV-based product candidate, has been engineered for enhanced specificity and tumor cell killing, while minimizing toxicity on healthy tissue. CAN-3110 was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5" w:name="page16"/>
    <w:bookmarkEnd w:id="15"/>
    <w:p>
      <w:pPr>
        <w:ind w:right="40"/>
        <w:spacing w:after="0" w:line="236" w:lineRule="auto"/>
        <w:rPr>
          <w:sz w:val="20"/>
          <w:szCs w:val="20"/>
          <w:color w:val="auto"/>
        </w:rPr>
      </w:pPr>
      <w:r>
        <w:rPr>
          <w:rFonts w:ascii="Arial" w:cs="Arial" w:eastAsia="Arial" w:hAnsi="Arial"/>
          <w:sz w:val="17"/>
          <w:szCs w:val="17"/>
          <w:color w:val="auto"/>
        </w:rPr>
        <w:t xml:space="preserve">formerly known as rQNestin34.5v.2. An investigator-sponsored phase 1b clinical trial is ongoing with CAN-3110 in our initial target indication of recurrent HGG and we reported additional biomarker results in November 2021. During our Research and Development Day in December 2022, we presented updated data demonstrating that the treatment was well tolerated, with no observed dose-limiting toxicity. This was further supported during an oral presentation at the ASGCT Annual Meeting in May of 2023, where we reported mOS of 11.8 months in arm A and 12.0 months in arm B with a single dose, based on a data cutoff date of April 20, 2023. Additionally, the data showed evidence of immune activation​and persistent HSV-1 antigen and HSV-1 replication consistent with the mechanism of action. Clinical and biomarker data for the first 41 patients treated with a single injection of CAN-3110 were published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in October 2023. The FDA has granted fast track designation to CAN-3110 for the treatment of patients with recurrent HGG to improve overall survival in February 2024. We are currently evaluating the effects of multiple doses of CAN-3110 in recurrent HGG supported by the Break Through Cancer foundation.</w:t>
      </w:r>
    </w:p>
    <w:p>
      <w:pPr>
        <w:spacing w:after="0" w:line="7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Based on the molecular targeting of CAN-3110, we believe that it could be evaluated in an expanded range of indications in the future, such as other neurologic tumors, melanoma, sarcoma, gastrointestinal stromal tumors, thyroid tumors, and breast cancer.</w:t>
      </w:r>
    </w:p>
    <w:p>
      <w:pPr>
        <w:spacing w:after="0" w:line="5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In addition, we are pursuing novel discovery programs based on our enLIGHTEN™ Discovery Platform. In November 2023, during the SITC 2023 Annual Meeting, we presented two posters describing the key elements of the platform and the development of the first experimental agent from the enLIGHTEN™ Discovery Platform. This first agent, Alpha-201 Macro1, is an investigational viral immunotherapy designed to interfere with the CD47/SIRPα pathway and activate innate immune surveillance. Results demonstrated monotherapy activity following local administration in a preclinical model of lung cancer. Additional preclinical data presented at SITC confirmed the capability of the enLIGHTEN™ Advanced Analytics suite to predict optimal gene payload combinations to arm viral vectors, that enable the design of potential combination therapeutics to overcome tumor resistance especially in cancers resistant to ICI treatment.</w:t>
      </w:r>
    </w:p>
    <w:p>
      <w:pPr>
        <w:spacing w:after="0" w:line="7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March 2024, we announced the acceptance of an abstract at AACR 2024 Annual Meeting related to the second candidate from our enLIGHTEN™ Discovery Platform, a first-in-class multimodal immunotherapy for induction of tertiary lymphoid structures as a novel therapeutic strategy for solid tumors.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Opportunity</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four indications where we have the most advanced clinical trials are localized prostate cancer, NSCLC, pancreatic cancer, and recurrent HGG.</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These types of cancer present substantial market opportunities and are also enabling indications for future expansion into other solid tumors.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Localized Prostate Cancer</w:t>
      </w:r>
    </w:p>
    <w:p>
      <w:pPr>
        <w:spacing w:after="0" w:line="102"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Prostate cancer is the second leading cause of cancer deaths in men in the United States, representing a high level of medical burden and unmet need. The prostate cancer therapy market is estimated to grow to over $16.1 billion by 2026. Approximately 200,000 men in the United States are diagnosed with prostate cancer annually, with more than 30,000 deaths each year. Although most deaths occur in patients with later stage metastatic disease, most prostate cancer patients roughly 150,000 annually in the United States are initially diagnosed in the early stage of disease, of which roughly 105,000 are considered to have intermediate- or high-risk of progression and approximately 45,000 are considered to be low-risk.</w:t>
      </w:r>
    </w:p>
    <w:p>
      <w:pPr>
        <w:spacing w:after="0" w:line="72"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For the intermediate- and high-risk patients, the SoC is radical prostatectomy and radiotherapy often in conjunction with androgen deprivation therapy or chemical castration. These treatments have a high incidence of potentially life altering side effects, including incontinence and erectile dysfunction. There is therefore a significant unmet need for a novel treatment able to forestall or prevent progression to later stages of disease without the burdensome side effects associated with the current SoC. Weighing the balance between therapeutic efficacy and side effects linked to therapy, about 10% of the intermediate-risk patients, and approximately 40% of the low-risk patients decide, in consultation with their physicians, to adopt a close monitoring approach known as active surveillance that involves periodic imaging, biomarker evaluation and biopsies. SoC in this early, localized setting, leaves substantial need unaddressed.</w:t>
      </w:r>
    </w:p>
    <w:p>
      <w:pPr>
        <w:spacing w:after="0" w:line="74"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As a result of PSA screening programs, most patients are diagnosed at early stages of disease with low grade, low volume, asymptomatic prostate cancer. Current screening methods are inadequate to definitively identify which patients are most likely to progress. As a result of the side effects and complications from currently available treatments, there is a large desire to delay or prevent the need for radical treatment. As a result, many men with prostate cancer meeting the National Comprehensive Cancer Network (NCCN) guidelines for low-risk prostate cancer choose not to be treated and to undergo an intense monitoring program, known as Active Surveillance (AS), as their preferred initial course of treatment. However, within 10 years of diagnosis, between 21% and 38% of men will have developed progressive cancer and require invasive treatments. It has been reported that 21% and 41% of patients initially under AS convert to active treatment based on progression of their disease within two and five years, and approximately 17% of men undergoing AS choose to move to active treatments within 10 years of diagnosis in the absence of any evidence of</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6" w:name="page17"/>
    <w:bookmarkEnd w:id="16"/>
    <w:p>
      <w:pPr>
        <w:ind w:right="160"/>
        <w:spacing w:after="0" w:line="267" w:lineRule="auto"/>
        <w:rPr>
          <w:sz w:val="20"/>
          <w:szCs w:val="20"/>
          <w:color w:val="auto"/>
        </w:rPr>
      </w:pPr>
      <w:r>
        <w:rPr>
          <w:rFonts w:ascii="Arial" w:cs="Arial" w:eastAsia="Arial" w:hAnsi="Arial"/>
          <w:sz w:val="17"/>
          <w:szCs w:val="17"/>
          <w:color w:val="auto"/>
        </w:rPr>
        <w:t>progression, underscoring the level of anxiety that patients experience when they carry a diagnosis of untreated prostate cancer and the significant unmet need in this early line of treatment.</w:t>
      </w:r>
    </w:p>
    <w:p>
      <w:pPr>
        <w:spacing w:after="0" w:line="5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To our knowledge, the only FDA-approved pharmacologic intervention indicated for newly diagnosed localized prostate cancer is chemical castration therapy, also known as ADT. SoC for localized disease is primarily surgery, radiotherapy and/or ADT. Because ADT has a potentially severe side effect profile, including impotence, hot flashes, mood changes, depression, impact on quality of life, and others, these hormone treatments are reserved only for those patients that present the highest risk of localized or metastatic prostate cancer. Similarly, surgical prostatectomy can often cause urinary dysfunction and sexual dysfunction that can last years and sometimes be permanent. Approximately one-third of men with normal baseline function will report an increase in urinary symptoms and urgency after prostatectomy and most men will experience erectile dysfunction after treatment with either surgery or radiation.</w:t>
      </w:r>
    </w:p>
    <w:p>
      <w:pPr>
        <w:spacing w:after="0" w:line="74" w:lineRule="exact"/>
        <w:rPr>
          <w:sz w:val="20"/>
          <w:szCs w:val="20"/>
          <w:color w:val="auto"/>
        </w:rPr>
      </w:pPr>
    </w:p>
    <w:p>
      <w:pPr>
        <w:ind w:right="480"/>
        <w:spacing w:after="0" w:line="249" w:lineRule="auto"/>
        <w:rPr>
          <w:sz w:val="20"/>
          <w:szCs w:val="20"/>
          <w:color w:val="auto"/>
        </w:rPr>
      </w:pPr>
      <w:r>
        <w:rPr>
          <w:rFonts w:ascii="Arial" w:cs="Arial" w:eastAsia="Arial" w:hAnsi="Arial"/>
          <w:sz w:val="17"/>
          <w:szCs w:val="17"/>
          <w:color w:val="auto"/>
        </w:rPr>
        <w:t>We believe CAN-2409 could provide a significant commercial opportunity for therapeutic use in the newly diagnosed, localized prostate cancer patient population, with the goal of reducing progression or recurrence of disease without significant toxicities and with a product that can be administered at outpatient facilities.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Non-Small Cell Lung Cancer</w:t>
      </w:r>
    </w:p>
    <w:p>
      <w:pPr>
        <w:spacing w:after="0" w:line="102"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In recent years ICI, specifically PD-1 directed agents, have transformed the treatment paradigm of NSCLC and become a backbone therapy for this indication. Over a half dozen ICI products have been approved in various cancer indications, and there are numerous other related drug candidates in preclinical and clinical development. Global sales for ICIs in 2019 were approximately $23 billion with NSCLC accounting for 50% to 55% of overall sales. The commercial opportunity in NSCLC is significant. Drug treated patient populations in the US for 2020 are estimated at 75,160; 47,920 and 21,990 in first-, second- and third-line treatment, respectively. ICI use in NSCLC has become SoC with approximately 49% of first-line patients in the United States being treated with an ICI alone or in combination with other agents. Nonetheless, 60% of these patients will have an inadequate response after one year of ICI treatment, and 80% after three years.</w:t>
      </w:r>
    </w:p>
    <w:p>
      <w:pPr>
        <w:spacing w:after="0" w:line="74"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believe CAN-2409 could provide a significant commercial opportunity for therapeutic use in NSCLC patients with an inadequate response to ICI, if we are able to demonstrate overall survival of more than 12-14 months after treatment per protocol.</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Pancreatic Cancer</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American Cancer Society estimates that approximately 64,050 people in the United States (33,130 men and 30,920 women) will be diagnosed with pancreatic cancer in 2023; about 50,550 people (26,620 men and 23,930 women) will die of pancreatic cancer this year. Treatment is with surgery in cases where tumors are resectable, followed by adjuvant chemoradiation; there is increasing use of neoadjuvant chemoradiation in borderline resectable or even resectable disease in order to better reduce the risk of recurrence. For resected patients, while surgery and adjuvant approaches (e.g. FOLFORINOX) have improved mOS, 5 year survival rates remain modest (20-30%) and most tumors will recur (median recurrence free survival ~1.5 years). While there is a high level of total clinical research and development activity across pancreatic cancer settings (over 150 investigational products in phase 2 or later development), the majority are targeting metastatic disease. Physicians have identified a continued unmet need for more effective treatment options across the pancreatic cancer setting, including a need for further approaches which can increase the resectability of borderline / locally advanced patients, and improving cure rates in resected patients. There are an estimated 18,510 patients with resectable disease, with a sizeable proportion receiving surgery and adjuvant therapy; there are 12,340 patients with borderline resectable disease and 30,850 with locally advanced tumors (with the majority undergoing neoadjuvant / induction treatment) in the US/EU5.</w:t>
      </w:r>
    </w:p>
    <w:p>
      <w:pPr>
        <w:spacing w:after="0" w:line="73" w:lineRule="exact"/>
        <w:rPr>
          <w:sz w:val="20"/>
          <w:szCs w:val="20"/>
          <w:color w:val="auto"/>
        </w:rPr>
      </w:pPr>
    </w:p>
    <w:p>
      <w:pPr>
        <w:jc w:val="both"/>
        <w:ind w:right="200"/>
        <w:spacing w:after="0" w:line="249" w:lineRule="auto"/>
        <w:rPr>
          <w:sz w:val="20"/>
          <w:szCs w:val="20"/>
          <w:color w:val="auto"/>
        </w:rPr>
      </w:pPr>
      <w:r>
        <w:rPr>
          <w:rFonts w:ascii="Arial" w:cs="Arial" w:eastAsia="Arial" w:hAnsi="Arial"/>
          <w:sz w:val="17"/>
          <w:szCs w:val="17"/>
          <w:color w:val="auto"/>
        </w:rPr>
        <w:t>We believe CAN-2409 could provide a significant commercial opportunity for therapeutic use in borderline resectable pancreatic cancer patients, if we are able to confirm the improvement in overall survival two years after initiation of treatment in patients who received CAN-2409 combined with SoC compared to SoC alone.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High-Grade Glioma</w:t>
      </w:r>
    </w:p>
    <w:p>
      <w:pPr>
        <w:spacing w:after="0" w:line="102" w:lineRule="exact"/>
        <w:rPr>
          <w:sz w:val="20"/>
          <w:szCs w:val="20"/>
          <w:color w:val="auto"/>
        </w:rPr>
      </w:pPr>
    </w:p>
    <w:p>
      <w:pPr>
        <w:ind w:right="360"/>
        <w:spacing w:after="0" w:line="249" w:lineRule="auto"/>
        <w:rPr>
          <w:sz w:val="20"/>
          <w:szCs w:val="20"/>
          <w:color w:val="auto"/>
        </w:rPr>
      </w:pPr>
      <w:r>
        <w:rPr>
          <w:rFonts w:ascii="Arial" w:cs="Arial" w:eastAsia="Arial" w:hAnsi="Arial"/>
          <w:sz w:val="17"/>
          <w:szCs w:val="17"/>
          <w:color w:val="auto"/>
        </w:rPr>
        <w:t>Glioblastoma, the most common form of HGG, is a relatively rare cancer with first-line drug treated prevalent population in the United States of approximately 16,113 patients. Treatment in the upfront setting is surgical resection, if possible, coupled with temozolomide and/or radiotherapy; however, virtually all patients eventually develop recurrent disease.</w:t>
      </w:r>
    </w:p>
    <w:p>
      <w:pPr>
        <w:spacing w:after="0" w:line="67" w:lineRule="exact"/>
        <w:rPr>
          <w:sz w:val="20"/>
          <w:szCs w:val="20"/>
          <w:color w:val="auto"/>
        </w:rPr>
      </w:pPr>
    </w:p>
    <w:p>
      <w:pPr>
        <w:jc w:val="both"/>
        <w:ind w:right="460"/>
        <w:spacing w:after="0" w:line="244" w:lineRule="auto"/>
        <w:rPr>
          <w:sz w:val="20"/>
          <w:szCs w:val="20"/>
          <w:color w:val="auto"/>
        </w:rPr>
      </w:pPr>
      <w:r>
        <w:rPr>
          <w:rFonts w:ascii="Arial" w:cs="Arial" w:eastAsia="Arial" w:hAnsi="Arial"/>
          <w:sz w:val="17"/>
          <w:szCs w:val="17"/>
          <w:color w:val="auto"/>
        </w:rPr>
        <w:t>The prognosis for glioblastoma that has recurred is dire; mOS with second line chemotherapy such as lomustine is associated with mOS of 6-9 months. Few pharmaceutical treatment options exist for patients with recurrent HGG, with the last significant FDA approval over a decade ago. Avastin was approved in 2009, specifically for patients with recurrent glioblastoma, and approval was granted despite the absence of a survival benefit in the registrational studies. New agents to treat patients with recurrent HGG are urgently needed.</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7" w:name="page18"/>
    <w:bookmarkEnd w:id="17"/>
    <w:p>
      <w:pPr>
        <w:ind w:right="240"/>
        <w:spacing w:after="0" w:line="267" w:lineRule="auto"/>
        <w:rPr>
          <w:sz w:val="20"/>
          <w:szCs w:val="20"/>
          <w:color w:val="auto"/>
        </w:rPr>
      </w:pPr>
      <w:r>
        <w:rPr>
          <w:rFonts w:ascii="Arial" w:cs="Arial" w:eastAsia="Arial" w:hAnsi="Arial"/>
          <w:sz w:val="17"/>
          <w:szCs w:val="17"/>
          <w:color w:val="auto"/>
        </w:rPr>
        <w:t xml:space="preserve">We believe CAN-3110 provides a significant opportunity for therapeutic use in recurrent HGG based on the results published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in October 2023, showing nearly doubling of the expected mOS after just a single injection of CAN-3110.</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Candidates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Product Candidate - CAN-2409</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We believe the adenovirus-based CAN-2409 has advantageous properties that differentiate from other viral immunotherapies. Namely, CAN-2409:</w:t>
      </w:r>
    </w:p>
    <w:p>
      <w:pPr>
        <w:spacing w:after="0" w:line="104" w:lineRule="exact"/>
        <w:rPr>
          <w:sz w:val="20"/>
          <w:szCs w:val="20"/>
          <w:color w:val="auto"/>
        </w:rPr>
      </w:pPr>
    </w:p>
    <w:p>
      <w:pPr>
        <w:ind w:left="1020" w:hanging="368"/>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consistently shown activity in clinical trials across a range of solid tumor types.</w:t>
      </w:r>
    </w:p>
    <w:p>
      <w:pPr>
        <w:spacing w:after="0" w:line="114"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been dosed in more than a thousand patients and has generated favorable tolerability and safety data.</w:t>
      </w:r>
    </w:p>
    <w:p>
      <w:pPr>
        <w:spacing w:after="0" w:line="114" w:lineRule="exact"/>
        <w:rPr>
          <w:rFonts w:ascii="Times New Roman" w:cs="Times New Roman" w:eastAsia="Times New Roman" w:hAnsi="Times New Roman"/>
          <w:sz w:val="17"/>
          <w:szCs w:val="17"/>
          <w:color w:val="auto"/>
        </w:rPr>
      </w:pPr>
    </w:p>
    <w:p>
      <w:pPr>
        <w:ind w:left="1020" w:right="240" w:hanging="368"/>
        <w:spacing w:after="0" w:line="264"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Is engineered to be potently immunogenic but non-replicating with the goal of eliciting a systemic anti-tumor immune response while minimizing the risk for local and systemic toxicity.</w:t>
      </w:r>
    </w:p>
    <w:p>
      <w:pPr>
        <w:spacing w:after="0" w:line="55" w:lineRule="exact"/>
        <w:rPr>
          <w:rFonts w:ascii="Times New Roman" w:cs="Times New Roman" w:eastAsia="Times New Roman" w:hAnsi="Times New Roman"/>
          <w:sz w:val="17"/>
          <w:szCs w:val="17"/>
          <w:color w:val="auto"/>
        </w:rPr>
      </w:pPr>
    </w:p>
    <w:p>
      <w:pPr>
        <w:ind w:left="1020" w:right="120" w:hanging="368"/>
        <w:spacing w:after="0" w:line="264"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Can be stored at 4°C, facilitating the use of CAN-2409 in out-patient clinics. This aspect is particularly favorable in indications such as prostate cancer, where patients are often monitored in individual private practices.</w:t>
      </w:r>
    </w:p>
    <w:p>
      <w:pPr>
        <w:spacing w:after="0" w:line="5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CAN-2409 (international non-proprietary name: aglatimagene besadenovec) is an adenovirus-based replication-defective engineered gene construct encoding the thymidine kinase gene derived from the herpes simplex virus. It is injected directly into a tumor or target tissue. Localized injection is intended to minimize systemic toxicities associated with systemic intravenous administration, eliminating the requirement for complex immune evasion or tumor-specific targeting mechanisms, and reprograms the immune response against the injected tumor, while activating the desired systemic anti-tumoral immune response against the injected tumor and uninjected metastases. The adenoviral vector is used to transport the HSV-thymidine kinase gene into the tumor cells at the site of injection. HSV-thymidine kinase converts generic, FDA-approved anti-herpes drugs, such as ganciclovir, acyclovir and valacyclovir, which we use as prodrugs, into a toxic nucleotide analogue. These agents are widely available, inexpensive and are generally well-tolerated. Cells transduced with the HSV-thymidine kinase gene as well as neighboring cells that are replicating or exhibit DNA damage undergo immunogenic cell death after exposure to these systemically administered prodrugs that are converted in the tumor microenvironment into toxic metabolites.</w:t>
      </w:r>
    </w:p>
    <w:p>
      <w:pPr>
        <w:spacing w:after="0" w:line="7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prodrug-derived cytotoxic nucleotide analogs are designed to inhibit DNA replication and repair, leading to the death of multiplying tumor cells, and in particular of cells undergoing repair from radiation or chemotherapy damage. This form of cell death is immunogenic and exposes tumor antigens that can elicit a further tumor-specific immune response. Additionally, the virus itself stimulates a marked immuno-inflammatory response. Key pro-inflammatory cytokines as well as chemokines, adhesion molecules and costimulatory molecules are locally upregulated, resulting in an inflamed (hot) tumor microenvironment, able to further enhance CD8+ cytotoxic tumor infiltrating lymphocyte cell activation and immunization against various released tumor antigens.</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This local effect provides a strong mechanistic rationale for the combination of viral immunotherapy with ICIs such as PD-1 or PD-L1 targeting antibodies. ICI agents work by unmasking the inhibitory signals provided by PD-L1 ligands on tumor cells when bound to PD-1 receptors on T cells. By blocking this suppressive signal pharmacologically, it has been demonstrated that T cells can be unleashed to attack cancer cells and that profound clinical benefit can be achieved, but this benefits only a minority of patients. It has been hypothesized that treatment results can be significantly improved by optimizing recognition of the specific tumor antigens by the patient’s adaptive immune system using viral immunotherapy combined with the non-specific stimulation of T cells induced by ICI treatment. It appears that a duality of signals is required: releasing the checkpoint inhibition as described earlier, coupled with the provision of a positive, stimulatory signal to T cells. The efficient presentation of tumor specific antigens by MHC class I molecules to the immune system provides just such a specific, stimulatory signal. Viral immunotherapies have been shown to facilitate such cross presentation of tumor antigens and are therefore an attractive complement to PD-1 or PD-L1 checkpoint blockade.</w:t>
      </w:r>
    </w:p>
    <w:p>
      <w:pPr>
        <w:spacing w:after="0" w:line="7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immune system is highly dynamic, with continuous trafficking of different populations of immune cells throughout the body. One outcome of this is that when T cells are locally activated and reprogrammed to recognize tumor-specific antigens, they can act systemically to drive an efficient immune response at sites distant from the original tumor. This abscopal effect may explain the significant effects observed at distant, uninjected sites demonstrated in experimental models of cancers. Abscopal effect has been shown with CAN-2409 in a mouse model of prostate cancer. The model employed RM-1, a syngeneic prostate cell line, that was implanted both in the flanks of the mice as well as systemic, via a tail vein injection to mimic metastatic disease, resulting in the emergence of lung tumor nodules. After intratumor treatment of the flank tumor masses with either CAN-2409 and systemic prodrug, alone or in combination with radiotherapy, we observed a beneficial response in both injected and uninjected metastatic tumor. Use of CAN-2409 resulted in a 38% mean reduction in tumor volume and, in the combination arm, a reduction of 61% in tumor volume. Notably, the average number of lung nodules was reduced from 20.5 in the control arm and 22.4 in the mice that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18" w:name="page19"/>
    <w:bookmarkEnd w:id="18"/>
    <w:p>
      <w:pPr>
        <w:jc w:val="both"/>
        <w:ind w:right="520"/>
        <w:spacing w:after="0" w:line="249" w:lineRule="auto"/>
        <w:rPr>
          <w:sz w:val="20"/>
          <w:szCs w:val="20"/>
          <w:color w:val="auto"/>
        </w:rPr>
      </w:pPr>
      <w:r>
        <w:rPr>
          <w:rFonts w:ascii="Arial" w:cs="Arial" w:eastAsia="Arial" w:hAnsi="Arial"/>
          <w:sz w:val="17"/>
          <w:szCs w:val="17"/>
          <w:color w:val="auto"/>
        </w:rPr>
        <w:t>received radiotherapy to 13.0 in the CAN-2409 arm, and to 6.6 when CAN-2409 was combined with radiotherapy. We have also observed the abscopal response in connection with the experimental treatment of CAN-2409 in patients with NSCLC. We observed regression of uninjected lesions in about two-thirds of evaluable patients presenting with multiple lesions.</w:t>
      </w:r>
    </w:p>
    <w:p>
      <w:pPr>
        <w:spacing w:after="0" w:line="6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activity of CAN-2409 treatment has been shown to be dependent on CD8+ T cell involvement in studies in mouse models that evaluated permutations of CAN-2409 treatment and T cell depletion. Furthermore, T cells from mice that were successfully treated with CAN-2409 and prodrug were shown to be sufficient to inhibit tumor growth when mixed with AKR tumor model cells and implanted subcutaneously in mouse flanks. This activity was not observed with T cells from untreated mice, from mice that were treated with a control vector that lacked the thymidine kinase gene, or when the AKR tumor cells were xenografted alone. These data are consistent with a T cell dependent mechanism of action of CAN-2409. Additionally, we have shown the induction of CD8+ T cell infiltration at the site of the tumor in patients with prostate cancer, pancreatic cancer, and NSCLC.</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 Product Candidate - CAN-3110</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CAN-3110 is a modified HSV with specific properties that can be leveraged in diverse clinical indications. Namely, CAN-3110:</w:t>
      </w:r>
    </w:p>
    <w:p>
      <w:pPr>
        <w:spacing w:after="0" w:line="104" w:lineRule="exact"/>
        <w:rPr>
          <w:sz w:val="20"/>
          <w:szCs w:val="20"/>
          <w:color w:val="auto"/>
        </w:rPr>
      </w:pPr>
    </w:p>
    <w:p>
      <w:pPr>
        <w:ind w:left="1020" w:hanging="368"/>
        <w:spacing w:after="0"/>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Is engineered to provide oncolysis through replication specifically in Nestin expressing cancer cells.</w:t>
      </w:r>
    </w:p>
    <w:p>
      <w:pPr>
        <w:spacing w:after="0" w:line="114"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demonstrated statistically significant survival benefit in preclinical models of brain cancer.</w:t>
      </w:r>
    </w:p>
    <w:p>
      <w:pPr>
        <w:spacing w:after="0" w:line="114" w:lineRule="exact"/>
        <w:rPr>
          <w:rFonts w:ascii="Times New Roman" w:cs="Times New Roman" w:eastAsia="Times New Roman" w:hAnsi="Times New Roman"/>
          <w:sz w:val="17"/>
          <w:szCs w:val="17"/>
          <w:color w:val="auto"/>
        </w:rPr>
      </w:pPr>
    </w:p>
    <w:p>
      <w:pPr>
        <w:ind w:left="1020" w:right="620" w:hanging="368"/>
        <w:spacing w:after="0" w:line="264" w:lineRule="auto"/>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generated favorable tolerability and safety data, not reaching a dose limiting toxicity in the dose range tested in an ongoing investigator-sponsored phase 1b trial.</w:t>
      </w:r>
    </w:p>
    <w:p>
      <w:pPr>
        <w:spacing w:after="0" w:line="55"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shown a clinical signal in a difficult to treat brain cancer population, critically defined by a highly immunosuppressive environment.</w:t>
      </w:r>
    </w:p>
    <w:p>
      <w:pPr>
        <w:spacing w:after="0" w:line="114"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been engineered to replicate in a range of other indications characterized by Nestin expression.</w:t>
      </w:r>
    </w:p>
    <w:p>
      <w:pPr>
        <w:spacing w:after="0" w:line="114"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Is derived from our HSV-based platform that also provides the potential to support expansion of our pipeline with novel agents.</w:t>
      </w:r>
    </w:p>
    <w:p>
      <w:pPr>
        <w:spacing w:after="0" w:line="11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CAN-3110 is an engineered HSV where the expression of ICP34.5, the gene responsible for viral replication, has been placed under the control of a tumor-specific Nestin promoter. Nestin is a cytoskeletal protein that is overexpressed in glioma cells, but it is absent in the healthy adult brain. In CAN-3110, ICP34.5 expression is controlled by the Nestin promotor enabling viral replication selectively in tumor cells. This replication-competent HSV construct provides tumor-specific cytolytic activity, while sparing healthy cells that do not express Nestin.</w:t>
      </w:r>
    </w:p>
    <w:p>
      <w:pPr>
        <w:spacing w:after="0" w:line="69"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This modification of the viral genome of CAN-3110 enables us to maintain the function of ICP34.5, an HSV protein that allows virus replication even in the presence of a suppressive interferon response, under strict control and only in tumor cells.</w:t>
      </w:r>
    </w:p>
    <w:p>
      <w:pPr>
        <w:spacing w:after="0" w:line="51"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ICP34.5 is deleted in other HSV oncolytic viruses that may be less tumor selective with an intent of achieving a favorable safety profile, which may result in viruses characterized by poor replication ability and a limited ability to generate an effective anti-tumor immune response.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Clinical Trials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CAN-2409 for Prostate Cancer</w:t>
      </w:r>
    </w:p>
    <w:p>
      <w:pPr>
        <w:spacing w:after="0" w:line="10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We have completed multiple phase 1 and phase 2 clinical trials in non-metastatic prostate cancer using CAN-2409 as monotherapy and in combination with SoC. These trials generated favorable tolerability and safety data and also provide evidence to support CAN-2409 immune activation, dosing levels and schedules. We have administered CAN-2409 to more than 700 patients with localized prostate cancer to date, most of whom are currently in ongoing, placebo-controlled randomized trials.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Monotherapy Activity</w:t>
      </w:r>
    </w:p>
    <w:p>
      <w:pPr>
        <w:spacing w:after="0" w:line="100"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We have observed what we believe to be a clinical response with CAN-2409 as monotherapy in our phase 1 trials. These responses have been consistently observed in patients with prostate cancer, including patients with newly diagnosed, localized disease, as well as those whose cancer was progressing even after radiotherapy.</w:t>
      </w:r>
    </w:p>
    <w:p>
      <w:pPr>
        <w:spacing w:after="0" w:line="67"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newly diagnosed patients with localized prostate cancer, analysis of biopsies following monotherapy CAN-2409 treatment revealed a change in glandular architecture, necrosis and increased immune cell infiltration as compared to baseline biopsy. We observed in treated samples a 4-fold increase in the number of CD8+ T cells and a 3-fold increase in the number of CD68+ macrophages, demonstrating an immune response after CAN-2409 administration.</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In another phase 1/2 clinical trial, patients whose prostate cancer had progressed following radiotherapy and that presented a persistently rising PSA</w:t>
      </w:r>
    </w:p>
    <w:p>
      <w:pPr>
        <w:spacing w:after="0" w:line="20" w:lineRule="exact"/>
        <w:rPr>
          <w:sz w:val="20"/>
          <w:szCs w:val="20"/>
          <w:color w:val="auto"/>
        </w:rPr>
      </w:pPr>
    </w:p>
    <w:p>
      <w:pPr>
        <w:ind w:right="240"/>
        <w:spacing w:after="0" w:line="229" w:lineRule="auto"/>
        <w:rPr>
          <w:sz w:val="20"/>
          <w:szCs w:val="20"/>
          <w:color w:val="auto"/>
        </w:rPr>
      </w:pPr>
      <w:r>
        <w:rPr>
          <w:rFonts w:ascii="Arial" w:cs="Arial" w:eastAsia="Arial" w:hAnsi="Arial"/>
          <w:sz w:val="17"/>
          <w:szCs w:val="17"/>
          <w:color w:val="auto"/>
        </w:rPr>
        <w:t>level, were treated with CAN-2409 as monotherapy using six dose levels, ranging from 1x10</w:t>
      </w:r>
      <w:r>
        <w:rPr>
          <w:rFonts w:ascii="Arial" w:cs="Arial" w:eastAsia="Arial" w:hAnsi="Arial"/>
          <w:sz w:val="22"/>
          <w:szCs w:val="22"/>
          <w:color w:val="auto"/>
          <w:vertAlign w:val="superscript"/>
        </w:rPr>
        <w:t>8</w:t>
      </w:r>
      <w:r>
        <w:rPr>
          <w:rFonts w:ascii="Arial" w:cs="Arial" w:eastAsia="Arial" w:hAnsi="Arial"/>
          <w:sz w:val="17"/>
          <w:szCs w:val="17"/>
          <w:color w:val="auto"/>
        </w:rPr>
        <w:t>–1x10</w:t>
      </w:r>
      <w:r>
        <w:rPr>
          <w:rFonts w:ascii="Arial" w:cs="Arial" w:eastAsia="Arial" w:hAnsi="Arial"/>
          <w:sz w:val="22"/>
          <w:szCs w:val="22"/>
          <w:color w:val="auto"/>
          <w:vertAlign w:val="superscript"/>
        </w:rPr>
        <w:t>11</w:t>
      </w:r>
      <w:r>
        <w:rPr>
          <w:rFonts w:ascii="Arial" w:cs="Arial" w:eastAsia="Arial" w:hAnsi="Arial"/>
          <w:sz w:val="17"/>
          <w:szCs w:val="17"/>
          <w:color w:val="auto"/>
        </w:rPr>
        <w:t xml:space="preserve"> viral particles. In 27 of the 36 patients recruited, a decrease in PSA levels was observed following a single cycle of CAN-2409, as measured by the best PSA decrease in serial assessments within the first 3 months after treatment. PSA, while an imperfect biomarker for prostate cancer, is still widely employed for patient management in conjunction with biopsy, as rising PSA levels, and in particular PSA doubling time are associated with disease progression. In that same trial, we observed that the PSA doubling time improved significantly (p=0.0271) from 15.9 months at baseline to 42.5 months after a single cycle of CAN-2409 administration, in this treatment-resistant patient population. A subset of the patients in this trial also received second or third injection courses of CAN-2409. In most of those patients, a decrease from pre-administration PSA levels was again observed upon repeated injection.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Combination Therapy</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Because of the increasing prevalence of combination therapy for cancer patients, the ability to combine novel agents with SoC treatments without overlapping toxicity is of increasing importance. We believe that the favorable tolerability and safety data generated for CAN-2409 in our clinical trials is encouraging for our current and future development plans, in combination with other agents but also as a monotherapy in lower risk patient populations that are not willing to undergo more aggressive forms of treatment. The safety data from our phase 2 clinical trial in prostate cancer patients treated with CAN-2409 in combination with SoC of radiotherapy or androgen deprivation therapy, reported no grade 4 treatment-related adverse events and only single-patient incidence of grade 3 treatment related adverse events. It was anticipated that flu-like symptoms would be evident, because CAN-2409 is an adenoviral gene construct known to induce a systemic immune response. Greater than 50% of patients reported fever and/or chills often associated with viral immune activation. These symptoms, which generally manifested early and transiently, often occurred on the evening of the intratumoral administration of CAN-2409 and resolved by the following morning. The rates of the gastrointestinal adverse events in this study are consistent with those typically reported by patients undergoing radiotherapy, which is a component of SoC in this population.</w:t>
      </w:r>
    </w:p>
    <w:p>
      <w:pPr>
        <w:spacing w:after="0" w:line="7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Our previous phase 2 clinical trial data informed our agreement with the FDA under the SPA for our ongoing phase 3 clinical trial. Although the data is limited as we have not conducted head-to-head studies, in our phase 2 clinical trial we observed that intermediate-risk patients who received CAN-2409 in combination with radiotherapy had failure rates that were 75% lower than those reported in four other contemporaneous trials of similar patient populations. Where these other clinical trials reported freedom from failure rates of between 75%-79%, corresponding to cumulative recurrence rates of 21%-25%, CAN-2409 resulted in a 5% recurrence rate in patients with intermediate-risk prostate cancer. The median follow-up of patients who received CAN-2409 in this clinical trial was 5.7 years. Similarly, results in this clinical trial also demonstrated reduced recurrence rates in the low- and high-risk patients enrolled when compared to these other trials. Furthermore, a pathological complete response (pCR) was observed in 93% of the biopsies available at 2yrs (37%-73% in control populations). In this trial, low-risk patients achieved a PSA of &lt; 2ng/ml in 77% of CAN-2409 treated patients versus 58% in control populations.</w:t>
      </w:r>
    </w:p>
    <w:p>
      <w:pPr>
        <w:spacing w:after="0" w:line="79"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The endpoint used in our phase 2 trial was freedom from failure (FFF), defined by the period of time between treatment and the occurrence of a clinical or biochemical failure. Under the SPA agreement, we have selected disease-free survival (DFS) as the endpoint for our phase 3 clinical trial. The DFS definition requires an objective detection of tumor progression. This largely overlaps with FFF as it is often triggered by detection of increased PSA levels (i.e., biochemical failure). We have also reanalyzed our previous phase 2 data using DFS parameters, supporting the implementation of DFS as endpoint in our phase 3 trial.</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Potentially Registrational Phase 3 Clinical Trial for Localized Prostate Cancer</w:t>
      </w:r>
    </w:p>
    <w:p>
      <w:pPr>
        <w:spacing w:after="0" w:line="100"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are developing CAN-2409 as a potential therapeutic option that avoids the long-term severe side effects of hormone therapy or surgical interventions. Based on the data from our clinical trials to date, we believe that CAN-2409 has the potential, if approved, to be the first new first-line product candidate approved for patients with localized prostate cancer in over 30 years. We are currently conducting a potentially registrational phase 3 trial for CAN-2409, with agreement, under an SPA with the FDA for a single pivotal trial in newly diagnosed localized prostate cancer in intermediate and high-risk patients in combination with the SoC, radiotherapy.</w:t>
      </w:r>
    </w:p>
    <w:p>
      <w:pPr>
        <w:spacing w:after="0" w:line="7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This phase 3 clinical trial is fully enrolled with 711 patients, randomized 2:1. Patients receive three investigational treatment courses of CAN-2409, each consisting of four concurrent injections of transrectal or transperineal ultrasound guided administration of CAN-2409 followed by a course of oral valacyclovir. The first injection course is given at least 15 days but not more than 8 weeks before starting radiation. The second injection course is given 0-3 days prior to radiotherapy. The third and final injection course is delivered 15-22 days after the second injections. A fixed dose of valacyclovir is given for 14 days after each CAN-2409 administration. SoC external beam radiotherapy is administered to patients throughout the course of the trial with optional ADT as determined by the treating physician.</w:t>
      </w:r>
    </w:p>
    <w:p>
      <w:pPr>
        <w:spacing w:after="0" w:line="74"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Trial inclusion criteria are based on patients with localized prostate cancer meeting the NCCN criteria of intermediate-risk or patients presenting only one NCCN high-risk feature. NCCN intermediate-risk is defined as having at least one of</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0" w:name="page21"/>
    <w:bookmarkEnd w:id="20"/>
    <w:p>
      <w:pPr>
        <w:ind w:right="40"/>
        <w:spacing w:after="0" w:line="249" w:lineRule="auto"/>
        <w:rPr>
          <w:sz w:val="20"/>
          <w:szCs w:val="20"/>
          <w:color w:val="auto"/>
        </w:rPr>
      </w:pPr>
      <w:r>
        <w:rPr>
          <w:rFonts w:ascii="Arial" w:cs="Arial" w:eastAsia="Arial" w:hAnsi="Arial"/>
          <w:sz w:val="17"/>
          <w:szCs w:val="17"/>
          <w:color w:val="auto"/>
        </w:rPr>
        <w:t>the following: prostate serum antigen (PSA) of 10-20 ng/ml, Gleason Score of 7, and is staged T2b-T2c via the TNM staging system. Patients may also exhibit one high-risk characteristic that may consist of a PSA of 20+ ng/ml, a Gleason Score of 8-10, or a cancer that is up to stage T3a, but not more than one of these high-risk factors.</w:t>
      </w:r>
    </w:p>
    <w:p>
      <w:pPr>
        <w:spacing w:after="0" w:line="67" w:lineRule="exact"/>
        <w:rPr>
          <w:sz w:val="20"/>
          <w:szCs w:val="20"/>
          <w:color w:val="auto"/>
        </w:rPr>
      </w:pPr>
    </w:p>
    <w:p>
      <w:pPr>
        <w:ind w:right="380"/>
        <w:spacing w:after="0" w:line="234" w:lineRule="auto"/>
        <w:rPr>
          <w:sz w:val="20"/>
          <w:szCs w:val="20"/>
          <w:color w:val="auto"/>
        </w:rPr>
      </w:pPr>
      <w:r>
        <w:rPr>
          <w:rFonts w:ascii="Arial" w:cs="Arial" w:eastAsia="Arial" w:hAnsi="Arial"/>
          <w:sz w:val="17"/>
          <w:szCs w:val="17"/>
          <w:color w:val="auto"/>
        </w:rPr>
        <w:t>The SPA specifically defines agreement with the FDA on the statistical design and power of the phase 3 trial, as well as the primary endpoint definition. The SPA states that the trial is adequately designed to provide the necessary data that, depending on the outcome, could support a Biologics License Application (BLA) submission. The SPA does note the general point for all SPAs, that BLA acceptance and approvability are review issues and that a BLA approval will depend on the quality of actual clinical trial data, the robustness of the effect on the stated primary endpoint, the impact on the secondary endpoints, a favorable assessment of the study conduct, and analysis of safety information and other supportive data. We have approximately 50 active clinical sites for this clinical trial and have completed enrollment in September 2021 with 711 patients. The primary endpoint for the clinical trial is DFS. This trial has been designed to have 90% power, a hazard ratio of 0.5 and an alpha of</w:t>
      </w:r>
    </w:p>
    <w:p>
      <w:pPr>
        <w:spacing w:after="0" w:line="5"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0.05. We are assuming a 15% improvement in the active arm (CAN-2409) as compared to placebo in the rate of events measured according to the DFS definition provided above. We expect topline data from this phase 3 clinical trial in the fourth quarter of 2024.</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2 Clinical Trial for Active Surveillance</w:t>
      </w:r>
    </w:p>
    <w:p>
      <w:pPr>
        <w:spacing w:after="0" w:line="100"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Clinical results to date suggest that CAN-2409 as monotherapy may reduce the rates of biochemical failure for patients with localized prostate cancer. In the AS setting, we will assess whether CAN-2409 has the potential to delay or prevent tumor progression to a later stage that demands radical treatment.</w:t>
      </w:r>
    </w:p>
    <w:p>
      <w:pPr>
        <w:spacing w:after="0" w:line="67"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In May 2019, the Company completed enrollment of 187 patients in its phase 2 clinical trial of CAN-2409 in patients with low-to-intermediate-risk, localized, non-metastatic prostate cancer, randomized 2:1. The primary endpoint is biopsy-proven progression-free survival (PFS). Progression is defined as an increase in Gleason grade or increase in tumor volume to &gt; 33%. As the primary endpoint is event-driven, in February 2023, based on a blinded review of the event rate, the Company determined that additional time is required for patient follow up in order to collect a sufficient number of events. Based on the current rate of events, the Company currently anticipates topline data to be available in the fourth quarter of 2024.</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CAN-2409 for Non-Small Cell Lung Cancer (NSCLC)</w:t>
      </w:r>
    </w:p>
    <w:p>
      <w:pPr>
        <w:spacing w:after="0" w:line="102"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To assess the potential for CAN-2409 to trigger local and systemic immune activation and produce a “hot” tumor phenotype, we designed and completed a clinical trial in patients with surgically resectable lung cancer. In this proof of mechanism phase 1 clinical trial, dose escalation of intratumoral neoadjuvant CAN-2409 was followed by tumor resection three weeks later. The specific goal was to obtain biological data to better understand the impact of CAN-2409 on the tumor microenvironment, with a specific focus on intratumoral CD8+ tumor infiltrating lymphocyte cell activation and function while also assessing the effects on the systemic immune response. The effects of CAN-2409 were evaluated by comparing post-injection specimens to an internal control consisting of each patient’s own pre-treatment needle biopsy and blood samples, and an external cohort of matched patients who underwent standard surgical resection without CAN-2409. The results showed evidence of significant intratumoral and systemic immune activation after experimental CAN-2409 monotherapy treatment. Analysis of peripheral blood mononuclear cells, both before and after CAN-2409 administration, demonstrated a significant increase in expression of proliferation and activation markers including HLA-DR, CD38 and Ki67 three weeks after CAN-2409 initiation. Other relevant findings in this clinical trial included an increase in markers of T cell activation such as PD-1 and CTLA-4, which are targets of ICI that have been approved for use in NSCLC.</w:t>
      </w:r>
    </w:p>
    <w:p>
      <w:pPr>
        <w:spacing w:after="0" w:line="73"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this NSCLC phase 1 clinical trial, two patients experienced grade 3 dehydration with renal insufficiency, two patients presented grade 3 urinary retention and six patients were observed to have a grade 4 low lymphocyte count. Of significant interest, one patient, a 70 year-old male with a 14.8 cm stage IIIA sarcomatoid carcinoma, exhibited a nearly 50% decrease in tumor volume at 3 weeks after CAN-2409 monotherapy treatment. Collectively, these results lead us to believe that CAN-2409 could provide an opportunity to improve ICI response rates in patients with NSCLC by eliciting additional immune activation in lung cancer patients.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CAN-2409 and Checkpoint Combination Phase 2 Clinical Trial for NSCLC in Patients with Inadequate Response to ICI</w:t>
      </w:r>
    </w:p>
    <w:p>
      <w:pPr>
        <w:spacing w:after="0" w:line="10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2020, we initiated a phase 2 clinical trial of CAN-2409 in NSCLC patients with inadequate response to ICI that has enrolled patients receiving SoC ICI (plus chemotherapy if indicated) in combination with two courses of CAN-2409 plus continued ICI. This open label clinical trial, as amended, targeted enrollment of approximately 80 patients with stage III/IV NSCLC in two separate cohorts. The cohorts are defined based on response to ICIs at the time of enrollment. Cohort 1 addresses patients with stable disease and Cohort 2 enrolled patients with progressive disease after at least 18 weeks of ICI treatment. Patients continue treatment with their initial ICI and CAN-2409 was added to their regimen. The primary efficacy endpoints for this trial are response rate measured by RECIST and/or Disease Control Rate, with overall survival as a key study endpoint.</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1" w:name="page22"/>
    <w:bookmarkEnd w:id="21"/>
    <w:p>
      <w:pPr>
        <w:ind w:right="100"/>
        <w:spacing w:after="0" w:line="236" w:lineRule="auto"/>
        <w:rPr>
          <w:sz w:val="20"/>
          <w:szCs w:val="20"/>
          <w:color w:val="auto"/>
        </w:rPr>
      </w:pPr>
      <w:r>
        <w:rPr>
          <w:rFonts w:ascii="Arial" w:cs="Arial" w:eastAsia="Arial" w:hAnsi="Arial"/>
          <w:sz w:val="17"/>
          <w:szCs w:val="17"/>
          <w:color w:val="auto"/>
        </w:rPr>
        <w:t>We reported initial data from this trial at the ASCO Annual Meeting in June 2022. During our Research and Development Day in December 2022. These data were further supported in an update announced in September 2023, based on a data cutoff of August 1, 2023, where we presented updated data demonstrating evidence of local and systemic anti-tumor activity; a disease control rate of 77% (20/26) in patients entering trial with disease progression (cohort 2); sustained and ongoing clinical responses greater than 1 year; favorable change in the trajectory of tumor progression; decreased tumor size of RECIST target lesions in most patients; reduced uninjected tumor size in 14/21 patients (67%); an overall response rate of 13% (4/30) across cohorts 1 and 2; durable disease stabilization translating into encouraging preliminary evidence of progression-free survival; consistent induction of local and systemic cytotoxic T cell response; increased infiltration of CD8+ T cells in the tumor microenvironment; systemic expansion of effector T cells and increase in soluble granzyme B levels in the peripheral blood; and favorable safety/tolerability data with most treatment-related adverse events being grade 1/2. In December 2023, the recruitment of this study was paused as we completed target enrollment for cohort 2.</w:t>
      </w:r>
    </w:p>
    <w:p>
      <w:pPr>
        <w:spacing w:after="0" w:line="76" w:lineRule="exact"/>
        <w:rPr>
          <w:sz w:val="20"/>
          <w:szCs w:val="20"/>
          <w:color w:val="auto"/>
        </w:rPr>
      </w:pPr>
    </w:p>
    <w:p>
      <w:pPr>
        <w:ind w:right="2000"/>
        <w:spacing w:after="0" w:line="364" w:lineRule="auto"/>
        <w:rPr>
          <w:sz w:val="20"/>
          <w:szCs w:val="20"/>
          <w:color w:val="auto"/>
        </w:rPr>
      </w:pPr>
      <w:r>
        <w:rPr>
          <w:rFonts w:ascii="Arial" w:cs="Arial" w:eastAsia="Arial" w:hAnsi="Arial"/>
          <w:sz w:val="17"/>
          <w:szCs w:val="17"/>
          <w:color w:val="auto"/>
        </w:rPr>
        <w:t xml:space="preserve">We anticipate presenting topline overall survival data from this ongoing phase 2 clinical trial in the second quarter of 2024. </w:t>
      </w:r>
      <w:r>
        <w:rPr>
          <w:rFonts w:ascii="Arial" w:cs="Arial" w:eastAsia="Arial" w:hAnsi="Arial"/>
          <w:sz w:val="17"/>
          <w:szCs w:val="17"/>
          <w:b w:val="1"/>
          <w:bCs w:val="1"/>
          <w:color w:val="auto"/>
        </w:rPr>
        <w:t>CAN-2409 for Pancreatic Cancer</w:t>
      </w:r>
    </w:p>
    <w:p>
      <w:pPr>
        <w:spacing w:after="0" w:line="1"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In a previous phase 1b clinical trial, patients with pancreatic cancer treated with CAN-2409 in addition to SoC demonstrated a greater survival duration over the expected survival of the patients treated with the existing SoC alone in a comparison to historical trial results. Furthermore, in the subset of patients where pre- and post-treatment tumor biopsies were available, a statistically significant increase in the number of CD8+ tumor infiltrating lymphocytes was observed. In addition, the study demonstrated that CAN-2409 was generally well-tolerated in combination with SoC.</w:t>
      </w:r>
    </w:p>
    <w:p>
      <w:pPr>
        <w:spacing w:after="0" w:line="6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are currently conducting a randomized phase 2 clinical trial of CAN-2409 in borderline resectable pancreatic cancer, with a target enrollment of up to 54 patients. In March 2023, in connection with our cost management and dynamic portfolio management initiatives, we elected to pause new enrollment in this randomized phase 2 clinical trial, subject to additional funding. Despite the pause in patient enrollment, we presented initial clinical data in the fourth quarter of 2023, based on a data cutoff date of August 21, 2023. The initial data showed prolonged and sustained survival in patients who were treated with CAN-2409 and there was a separation of the survival rates in the treatment and placebo arms. Estimated survival was 71.4% when 2-3 CAN-2409 courses were added to standard neoadjuvant chemoradiotherapy followed by attempted surgical resection compared to 16.7% with standard neoadjuvant chemoradiotherapy followed by attempted surgical resection alone at both 24 and 36 months after treatment. We expect to present an update to this survival data in the second quarter of 2024.</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CAN-2409 for High-Grade Glioma</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3 Clinical Trial of CAN-2409 in High-Grade Glioma</w:t>
      </w:r>
    </w:p>
    <w:p>
      <w:pPr>
        <w:spacing w:after="0" w:line="100"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At our Research &amp; Development Day in December 2022 we announced that we have made a portfolio and resource prioritization decision to pursue CAN-3110 in recurrent HGG, but not to pursue a phase 3 clinical trial of CAN-2409 in high-grade glioma. The CAN-3110 program in recurrent HGG may serve as an enabling clinical trial for future expansion into earlier stages of HGG as well as other solid tumors outside the brain that are characterized by Nestin expression.</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1 Clinical Trial of CAN-2409 With Opdivo in High-Grade Glioma</w:t>
      </w:r>
    </w:p>
    <w:p>
      <w:pPr>
        <w:spacing w:after="0" w:line="10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conducted a phase 1b clinical trial in patients with newly diagnosed HGG examining the combination of CAN-2409 and anti-PD-1 nivolumab (Opdivo, BMS) in collaboration with BMS and Adult Brain Tumor Consortium. This was the first clinical trial to evaluate the combination of CAN-2409 and nivolumab in HGG patients with the goal of enhancing anti-tumor T cell activation and expansion and the potential for better clinical outcome.</w:t>
      </w:r>
    </w:p>
    <w:p>
      <w:pPr>
        <w:spacing w:after="0" w:line="67" w:lineRule="exact"/>
        <w:rPr>
          <w:sz w:val="20"/>
          <w:szCs w:val="20"/>
          <w:color w:val="auto"/>
        </w:rPr>
      </w:pPr>
    </w:p>
    <w:p>
      <w:pPr>
        <w:ind w:right="300"/>
        <w:spacing w:after="0" w:line="237" w:lineRule="auto"/>
        <w:rPr>
          <w:sz w:val="20"/>
          <w:szCs w:val="20"/>
          <w:color w:val="auto"/>
        </w:rPr>
      </w:pPr>
      <w:r>
        <w:rPr>
          <w:rFonts w:ascii="Arial" w:cs="Arial" w:eastAsia="Arial" w:hAnsi="Arial"/>
          <w:sz w:val="17"/>
          <w:szCs w:val="17"/>
          <w:color w:val="auto"/>
        </w:rPr>
        <w:t>Data for this phase 1b clinical trial were presented at the 37th Annual Meeting of Society for Immunotherapy of Cancer (SITC) in Boston in November 2022. In the trial involving 35 evaluable patients, extensive biomarker analyses demonstrated that the combination of CAN-2409 and nivolumab resulted in a statistically significant expansion of activated tumor-fighting CD4+ and CD8+ T cells effector cells as well as decreased markers of exhaustion on effector cells. Proteomic analysis by OLINK revealed an increase in pro-inflammatory cytokines, including interferon-gamma, the chemokines CXCL9/10 and CXCL11, MCP-1, MCP-3, and granzyme A. Systemic immune activation was observed after the single administration of CAN-2409, prior to initiation of nivolumab (week 3 post treatment). mOS for patients with methylated MGMT promoter was 30.6 months for those who underwent gross total resection (GTR) (n=10) and 12.6 months for those who underwent sub-total resection (STR) (n=5). mOS for patients with unmethylated MGMT was 13.2 months (GTR) (n=16) and 15.9 months (STR) (n=4),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1b/2 Clinical Trial of CAN-2409 Combined with SoC in High-Grade Glioma</w:t>
      </w:r>
    </w:p>
    <w:p>
      <w:pPr>
        <w:spacing w:after="0" w:line="100" w:lineRule="exact"/>
        <w:rPr>
          <w:sz w:val="20"/>
          <w:szCs w:val="20"/>
          <w:color w:val="auto"/>
        </w:rPr>
      </w:pPr>
    </w:p>
    <w:p>
      <w:pPr>
        <w:ind w:right="600"/>
        <w:spacing w:after="0" w:line="267" w:lineRule="auto"/>
        <w:rPr>
          <w:sz w:val="20"/>
          <w:szCs w:val="20"/>
          <w:color w:val="auto"/>
        </w:rPr>
      </w:pPr>
      <w:r>
        <w:rPr>
          <w:rFonts w:ascii="Arial" w:cs="Arial" w:eastAsia="Arial" w:hAnsi="Arial"/>
          <w:sz w:val="17"/>
          <w:szCs w:val="17"/>
          <w:color w:val="auto"/>
        </w:rPr>
        <w:t>In our phase 1b/2 clinical trial in newly diagnosed patients with HGGs, including the difficult-to-treat glioblastoma, CAN-2409 demonstrated a statistically significant increase in patient survival when combined with current SoC over the</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22" w:name="page23"/>
    <w:bookmarkEnd w:id="22"/>
    <w:p>
      <w:pPr>
        <w:spacing w:after="0" w:line="235" w:lineRule="auto"/>
        <w:rPr>
          <w:sz w:val="20"/>
          <w:szCs w:val="20"/>
          <w:color w:val="auto"/>
        </w:rPr>
      </w:pPr>
      <w:r>
        <w:rPr>
          <w:rFonts w:ascii="Arial" w:cs="Arial" w:eastAsia="Arial" w:hAnsi="Arial"/>
          <w:sz w:val="17"/>
          <w:szCs w:val="17"/>
          <w:color w:val="auto"/>
        </w:rPr>
        <w:t>current SoC alone (surgery, radiation and temozolomide). The trial compared the overall survival of 48 enrolled patients treated at 4 clinical sites with CAN-2409 plus SoC against a matched controlled set of 134 patients enrolled at MGB who received only SoC. The results demonstrated that the mOS of patients receiving SoC alone was 13.5 months while patients receiving CAN-2409 plus SoC was 17.1 months (p=0.0417). Importantly, a pre-planned analysis on a subset of patients treated surgically with gross total resection (&gt;95% of tumor removed) during surgery (18 patients compared to 44 in the control arm), demonstrated a mOS of 25.1 months in the CAN-2409 arm versus 16.3 months in the SoC group, with approximately a</w:t>
      </w:r>
    </w:p>
    <w:p>
      <w:pPr>
        <w:spacing w:after="0" w:line="4"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50% improvement (p=0.0120). In this patient population, after three years, one in three patients was alive in the CAN-2409 arm compared to 1 in 20 patients in the SoC group. At the end of the study, three of the patients who received CAN-2409 were alive without progression after 43, 62.1 and</w:t>
      </w:r>
    </w:p>
    <w:p>
      <w:pPr>
        <w:ind w:right="20"/>
        <w:spacing w:after="0" w:line="248" w:lineRule="auto"/>
        <w:rPr>
          <w:sz w:val="20"/>
          <w:szCs w:val="20"/>
          <w:color w:val="auto"/>
        </w:rPr>
      </w:pPr>
      <w:r>
        <w:rPr>
          <w:rFonts w:ascii="Arial" w:cs="Arial" w:eastAsia="Arial" w:hAnsi="Arial"/>
          <w:sz w:val="17"/>
          <w:szCs w:val="17"/>
          <w:color w:val="auto"/>
        </w:rPr>
        <w:t>88.5 months. CAN-2409 was generally well tolerated, with most treatment-related adverse events being grade 1 or 2, and few reports of grade 3 or 4 events.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Opportunities for CAN-2409 in Other Cancer Indications</w:t>
      </w:r>
    </w:p>
    <w:p>
      <w:pPr>
        <w:spacing w:after="0" w:line="102"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In addition to patients with prostate, lung, pancreatic, and brain cancer, CAN-2409 has been dosed in small early-stage exploratory clinical trials in patients with ovarian cancer, malignant pleural effusion, pediatric brain cancer and retinoblastoma, supporting the tolerability and safety profile described above.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CAN-3110 for Recurrent High-grade Glioma</w:t>
      </w:r>
    </w:p>
    <w:p>
      <w:pPr>
        <w:spacing w:after="0" w:line="10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Our first HSV-based product candidate, CAN-3110, is in an ongoing investigator-sponsored phase 1b clinical trial in recurrent HGG. This is an open-label, dose-escalation clinical trial in patients who have failed SoC. The primary objective of this clinical trial is to analyze the safety of CAN-3110 use</w:t>
      </w:r>
    </w:p>
    <w:p>
      <w:pPr>
        <w:spacing w:after="0" w:line="1" w:lineRule="exact"/>
        <w:rPr>
          <w:sz w:val="20"/>
          <w:szCs w:val="20"/>
          <w:color w:val="auto"/>
        </w:rPr>
      </w:pPr>
    </w:p>
    <w:p>
      <w:pPr>
        <w:ind w:right="300"/>
        <w:spacing w:after="0" w:line="221" w:lineRule="auto"/>
        <w:rPr>
          <w:sz w:val="20"/>
          <w:szCs w:val="20"/>
          <w:color w:val="auto"/>
        </w:rPr>
      </w:pPr>
      <w:r>
        <w:rPr>
          <w:rFonts w:ascii="Arial" w:cs="Arial" w:eastAsia="Arial" w:hAnsi="Arial"/>
          <w:sz w:val="17"/>
          <w:szCs w:val="17"/>
          <w:color w:val="auto"/>
        </w:rPr>
        <w:t>in patients with recurrent HGG. No dose-limiting toxicities were observed in doses ranging from 1x10</w:t>
      </w:r>
      <w:r>
        <w:rPr>
          <w:rFonts w:ascii="Arial" w:cs="Arial" w:eastAsia="Arial" w:hAnsi="Arial"/>
          <w:sz w:val="22"/>
          <w:szCs w:val="22"/>
          <w:color w:val="auto"/>
          <w:vertAlign w:val="superscript"/>
        </w:rPr>
        <w:t>6</w:t>
      </w:r>
      <w:r>
        <w:rPr>
          <w:rFonts w:ascii="Arial" w:cs="Arial" w:eastAsia="Arial" w:hAnsi="Arial"/>
          <w:sz w:val="17"/>
          <w:szCs w:val="17"/>
          <w:color w:val="auto"/>
        </w:rPr>
        <w:t xml:space="preserve"> to 1x10</w:t>
      </w:r>
      <w:r>
        <w:rPr>
          <w:rFonts w:ascii="Arial" w:cs="Arial" w:eastAsia="Arial" w:hAnsi="Arial"/>
          <w:sz w:val="22"/>
          <w:szCs w:val="22"/>
          <w:color w:val="auto"/>
          <w:vertAlign w:val="superscript"/>
        </w:rPr>
        <w:t>10</w:t>
      </w:r>
      <w:r>
        <w:rPr>
          <w:rFonts w:ascii="Arial" w:cs="Arial" w:eastAsia="Arial" w:hAnsi="Arial"/>
          <w:sz w:val="17"/>
          <w:szCs w:val="17"/>
          <w:color w:val="auto"/>
        </w:rPr>
        <w:t xml:space="preserve"> PFU in half-log increments. More than 50 patients have been treated.</w:t>
      </w:r>
    </w:p>
    <w:p>
      <w:pPr>
        <w:spacing w:after="0" w:line="73" w:lineRule="exact"/>
        <w:rPr>
          <w:sz w:val="20"/>
          <w:szCs w:val="20"/>
          <w:color w:val="auto"/>
        </w:rPr>
      </w:pPr>
    </w:p>
    <w:p>
      <w:pPr>
        <w:ind w:right="800"/>
        <w:spacing w:after="0" w:line="267" w:lineRule="auto"/>
        <w:rPr>
          <w:sz w:val="20"/>
          <w:szCs w:val="20"/>
          <w:color w:val="auto"/>
        </w:rPr>
      </w:pPr>
      <w:r>
        <w:rPr>
          <w:rFonts w:ascii="Arial" w:cs="Arial" w:eastAsia="Arial" w:hAnsi="Arial"/>
          <w:sz w:val="17"/>
          <w:szCs w:val="17"/>
          <w:color w:val="auto"/>
        </w:rPr>
        <w:t>Immunohistology studies showed persistent presence of HSV antigen and infiltration by CD8+ cytotoxic tumor infiltrating lymphocytes post treatment, providing support for the expected mechanism of action of CAN-3110.</w:t>
      </w:r>
    </w:p>
    <w:p>
      <w:pPr>
        <w:spacing w:after="0" w:line="5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are particularly encouraged by the clinical course of a few patients who received a single injection with CAN-3110 as monotherapy upon recurrence of glioblastoma. One patient, originally diagnosed with multicentric glioblastoma and initially treated with SoC surgical resection followed by temozolomide and radiotherapy has been treated with CAN-3110 monotherapy, upon recurrency with development of two lesions visualized on MRI. One lesion, in the frontal region, had developed at the site of the initially resected mass. The second, larger mass was a new lesion. The patient received CAN-3110 via stereotactic administration into the injected lesion. At day 56 post-injection, there was a visible decrease in the volume of both masses. By day 112 post-injection, the volume of both masses was further reduced and the patient was able to go back to work. The patient eventually developed a third lesion, experienced a stroke secondary to a diagnostic procedure, and refused further treatment, dying approximately 15 months after entering the trial. A second patient initially diagnosed with methylated grade IV HGG located in the temporal lobe underwent 2 consecutive resections and treatment with chemoradiation for rapid progressive disease. The patient was injected with CAN-3110</w:t>
      </w:r>
    </w:p>
    <w:p>
      <w:pPr>
        <w:spacing w:after="0" w:line="2"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(10E8 pfus), at the site of the original lesion. An MRI scan performed at day 91 showed increased enhancement at the site of injection. The patient underwent an additional resection, but, importantly, histological report showed mainly inflammatory tissue with high density of tumor infiltrating lymphocytes. The patient did not have detectable disease, in absence of any additional treatment for more than 2 years and passed away as passenger of a motor vehicle accident on day 717 post CAN-3110 treatment. Another patient, originally diagnosed with grade IV astrocytoma, was treated with CAN-3110 for a recurrence following first-line therapy with subtotal resection, chemoradiation and adjuvant temozolomide. At time of recurrence, a mass was evident in the left frontal lobe. The patient was enrolled in arm B of the phase 1 clinical trial which includes treatment with Cytoxan (24 mg/kg one dose day -2) prior to CAN-3110 injection. Post-treatment scan demonstrated progressive reduction in enhancement with cavitary necrosis at the site of injection. The patient remains clinically stable as of February 2024 and has not required additional therapies in the two years post CAN-3110 treatment. We find these case reports to be encouraging because of the unusually favorable disease course experienced by these patients with recurrent HGG who had previously failed SoC treatment, in absence of concurrent therapies. Additionally, we have observed a mOS of 11.8 months in the phase 1b trial in the first 41 patients as of the cutoff date of April 20, 2023. This data was confirmed in an independent cohort of 9 patients (cohort B; mOS 12.0 months). Prolonged survival after CAN-3110 treatment was associated with HSV-1 seropositivity as well as with changes in T cell fractions and TCRβ diversity. Given the mOS of less than 6-9 months in historical clinical trials of other investigational agents in patients with recurrent HGG, who have failed SoC treatment we believe this is encouraging evidence of clinical activity. We expect to report additional data, including the potential benefits from multiple injections of CAN-3110, from the ongoing phase 1b clinical trial in the second half of 2024.</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Collaborations and Other Transactions</w:t>
      </w:r>
    </w:p>
    <w:p>
      <w:pPr>
        <w:spacing w:after="0" w:line="10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are a party to various license and collaboration agreements under which we license patents, patent applications and other intellectual property to and from third parties. These licenses impose various diligence and financial payment</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3" w:name="page24"/>
    <w:bookmarkEnd w:id="23"/>
    <w:p>
      <w:pPr>
        <w:ind w:right="660"/>
        <w:spacing w:after="0" w:line="267" w:lineRule="auto"/>
        <w:rPr>
          <w:sz w:val="20"/>
          <w:szCs w:val="20"/>
          <w:color w:val="auto"/>
        </w:rPr>
      </w:pPr>
      <w:r>
        <w:rPr>
          <w:rFonts w:ascii="Arial" w:cs="Arial" w:eastAsia="Arial" w:hAnsi="Arial"/>
          <w:sz w:val="17"/>
          <w:szCs w:val="17"/>
          <w:color w:val="auto"/>
        </w:rPr>
        <w:t>obligations on us. We expect to continue to enter into these types of license agreements in the future. We consider the following license and collaboration agreements to be material to our business:</w:t>
      </w:r>
    </w:p>
    <w:p>
      <w:pPr>
        <w:spacing w:after="0" w:line="51"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b w:val="1"/>
          <w:bCs w:val="1"/>
          <w:i w:val="1"/>
          <w:iCs w:val="1"/>
          <w:color w:val="auto"/>
        </w:rPr>
        <w:t xml:space="preserve">Periphagen. </w:t>
      </w:r>
      <w:r>
        <w:rPr>
          <w:rFonts w:ascii="Arial" w:cs="Arial" w:eastAsia="Arial" w:hAnsi="Arial"/>
          <w:sz w:val="17"/>
          <w:szCs w:val="17"/>
          <w:color w:val="auto"/>
        </w:rPr>
        <w:t>On December 9, 2019, we entered into a series of agreements, including an exclusive license agreement, a novation agreement,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purchase agreement and an intellectual property assignment agreement, collectively the Periphagen Agreements, with Periphagen, whereby we acquired certain assets and licensed certain rights (including specified patent rights and know-how, or the Licensed IP Rights) of Periphagen, primarily consisting of exclusive rights to their technology platform and a portfolio of pre-clinical, development stage virus vectors, as well as certain physical property and equipment. The primary classes of assets are HSV-derived assets expressing neurotrophin-3 (or NT-3 Assets) and other HSV-derived assets (Gene Transfer Neuro-Assets). Under the license agreement, Periphagen granted us a worldwide exclusive license with the right to grant sublicenses through multiple tiers under the Licensed IP Rights to conduct research and to develop, make, have made, use, have used, offer for sale, have sold, export and import products incorporating the Licensed IP Rights in all fields of use except the treatment, diagnosis, and prevention of nononcologic skin diseases and conditions (including use as an aesthetic).</w:t>
      </w:r>
    </w:p>
    <w:p>
      <w:pPr>
        <w:spacing w:after="0" w:line="79"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In addition, pursuant to the Periphagen Agreements, we undertook certain commitments and obligations, including the assumption of Periphagen’s outstanding loan in the principal amount of $1,000,000 with Diamyd Medical, AB. The promissory note has a contractual interest rate of 2% compounded annually, with the outstanding balance and accrued interest due upon maturity in November 2027, with no interim installments.</w:t>
      </w:r>
    </w:p>
    <w:p>
      <w:pPr>
        <w:spacing w:after="0" w:line="67"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In consideration for the licenses under the Periphagen Agreements, we paid Periphagen $811,000 upon signing and agreed to make the following royalty and other payments:</w:t>
      </w:r>
    </w:p>
    <w:p>
      <w:pPr>
        <w:spacing w:after="0" w:line="51" w:lineRule="exact"/>
        <w:rPr>
          <w:sz w:val="20"/>
          <w:szCs w:val="20"/>
          <w:color w:val="auto"/>
        </w:rPr>
      </w:pPr>
    </w:p>
    <w:p>
      <w:pPr>
        <w:ind w:left="760" w:right="20" w:hanging="378"/>
        <w:spacing w:after="0" w:line="249" w:lineRule="auto"/>
        <w:tabs>
          <w:tab w:leader="none" w:pos="7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NT-3 Assets: a single digit percentage of net sales of NT-3 Assets, or, if applicable, a percentage of royalties received by us in the event of a license, sublicense, assignment or other transfer to a third party for commercialization (but no greater than the original royalty percentage we would be required to pay in the event we did not license, sublicense, assign or transfer NT-3 Assets);</w:t>
      </w:r>
    </w:p>
    <w:p>
      <w:pPr>
        <w:spacing w:after="0" w:line="65" w:lineRule="exact"/>
        <w:rPr>
          <w:rFonts w:ascii="Times New Roman" w:cs="Times New Roman" w:eastAsia="Times New Roman" w:hAnsi="Times New Roman"/>
          <w:sz w:val="17"/>
          <w:szCs w:val="17"/>
          <w:color w:val="auto"/>
        </w:rPr>
      </w:pPr>
    </w:p>
    <w:p>
      <w:pPr>
        <w:ind w:left="760" w:right="260" w:hanging="378"/>
        <w:spacing w:after="0" w:line="243" w:lineRule="auto"/>
        <w:tabs>
          <w:tab w:leader="none" w:pos="7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Gene Transfer Neuro-Assets: a single digit percentage of net sales of Gene Transfer Neuro-Assets, or, if applicable, a percentage of royalties received by us in the event of a license, sublicense, assignment or other transfer to a third party for commercialization to treat certain conditions and diseases (but no greater than the original royalty percentage we would be required to pay in the event we did not license, sublicense, assign or transfer Gene Transfer Neuro-Assets);</w:t>
      </w:r>
    </w:p>
    <w:p>
      <w:pPr>
        <w:spacing w:after="0" w:line="71" w:lineRule="exact"/>
        <w:rPr>
          <w:rFonts w:ascii="Times New Roman" w:cs="Times New Roman" w:eastAsia="Times New Roman" w:hAnsi="Times New Roman"/>
          <w:sz w:val="17"/>
          <w:szCs w:val="17"/>
          <w:color w:val="auto"/>
        </w:rPr>
      </w:pPr>
    </w:p>
    <w:p>
      <w:pPr>
        <w:ind w:left="760" w:right="180" w:hanging="378"/>
        <w:spacing w:after="0" w:line="266" w:lineRule="auto"/>
        <w:tabs>
          <w:tab w:leader="none" w:pos="7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Combination Products: a certain percentage (based on the weighted average sale price of NT-3 Assets, or Gene Transfer Neuro-Assets, as applicable) of net sales of combination products; and</w:t>
      </w:r>
    </w:p>
    <w:p>
      <w:pPr>
        <w:spacing w:after="0" w:line="51" w:lineRule="exact"/>
        <w:rPr>
          <w:rFonts w:ascii="Times New Roman" w:cs="Times New Roman" w:eastAsia="Times New Roman" w:hAnsi="Times New Roman"/>
          <w:sz w:val="17"/>
          <w:szCs w:val="17"/>
          <w:color w:val="auto"/>
        </w:rPr>
      </w:pPr>
    </w:p>
    <w:p>
      <w:pPr>
        <w:ind w:left="760" w:right="200" w:hanging="378"/>
        <w:spacing w:after="0"/>
        <w:tabs>
          <w:tab w:leader="none" w:pos="7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Disposition Income: (i) a single digit royalty rate of certain consideration we receive for the grant of a license, assignment or other intellectual property rights related to the NT-3 Assets and (ii) if we consummate a strategic collaboration with certain specified parties to treat non-oncolygic neurological conditions and diseases, either 2nd decile (if consummated within 18 months) or mid-2nd decile to mid-3rd decile (if consummated thereafter) royalty rates of certain consideration we receive for the grant of a license, assignment or other intellectual property rights related to the Gene Transfer Neuro-Assets.</w:t>
      </w:r>
    </w:p>
    <w:p>
      <w:pPr>
        <w:spacing w:after="0" w:line="75"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If we are required to pay royalties to a third party on any product covered under the Periphagen Agreements, we may credit such royalty payments against the royalties owed to Periphagen in the applicable country, up to a percentage reduction in the mid-2nd decile.</w:t>
      </w:r>
    </w:p>
    <w:p>
      <w:pPr>
        <w:spacing w:after="0" w:line="5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exclusive license agreement with Periphagen (the Periphagen License Agreement) requires us to use commercially reasonable efforts to complete a human proof of concept clinical trial of an NT-3 Asset, which includes certain specified clinical milestones. If we fail to use such efforts, subject to dispute and escalation provisions in the Periphagen License Agreement, then we may submit a specified payment in lieu of satisfying such obligations. If we fail to do so, Periphagen may terminate the Periphagen License Agreement for material breach. On December 15, 2022, Periphagen notified us by letter of its claim that we have failed to use commercially reasonable efforts to complete a human proof of concept clinical trial of an NT-3 Asset under an Exclusive License Agreement dated December 9, 2019 between us and Periphagen (the “Periphagen License Agreement”). On January 13, 2023, we filed a demand for arbitration against Periphagen with the American Arbitration Association, seeking a declaration that Periphagen’s December 15 letter failed to comply with the dispute and escalation provisions in the Periphagen License Agreement. On March 10, 2023, Periphagen filed its answer and counterclaims to our demand for arbitration. In its counterclaims, Periphagen sought a declaration that we have not used commercially reasonable efforts to complete a human proof of concept clinical trial of the NT-3 Asset and a declaration that any further extension of time would not be scientifically or commercially reasonable. We denied Periphagen’s counterclaims.</w:t>
      </w:r>
    </w:p>
    <w:p>
      <w:pPr>
        <w:spacing w:after="0" w:line="7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June 7, 2023, the parties entered into an amendment to the Exclusive License Agreement that resolved the dispute and resulted in termination of the arbitration. See Part I, Item 3 “Legal Proceedings”.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4" w:name="page25"/>
    <w:bookmarkEnd w:id="24"/>
    <w:p>
      <w:pPr>
        <w:ind w:right="80"/>
        <w:spacing w:after="0" w:line="241" w:lineRule="auto"/>
        <w:rPr>
          <w:sz w:val="20"/>
          <w:szCs w:val="20"/>
          <w:color w:val="auto"/>
        </w:rPr>
      </w:pPr>
      <w:r>
        <w:rPr>
          <w:rFonts w:ascii="Arial" w:cs="Arial" w:eastAsia="Arial" w:hAnsi="Arial"/>
          <w:sz w:val="17"/>
          <w:szCs w:val="17"/>
          <w:color w:val="auto"/>
        </w:rPr>
        <w:t>The Periphagen License Agreement expires on the later of December 9, 2069 or the end of the Royalty Term. Upon expiration, we will have a fully paid-up, non-exclusive license to make, use, sell, offer for sale and import any products that incorporate the Licensed IP Rights. The Royalty Term means, on a product-by-product and country-by-country basis, the period starting on the first commercial sale of such product in such country and concluding on the later of (i) expiration of patent coverage under the Licensed IP Rights or regulatory exclusivity for such product in such country; or (ii) the date that a certain amount of generic competition exists in such country, provided that no Royalty Term shall exceed 30 years.</w:t>
      </w:r>
    </w:p>
    <w:p>
      <w:pPr>
        <w:spacing w:after="0" w:line="7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Periphagen License Agreement may be terminated (i) by us for convenience upon 90 days’ prior written notice to Periphagen, (ii) by Periphagen if we remain in breach of the Periphagen Agreement following a cure period to remedy the breach or (iii) by Periphagen if we become bankrupt, file for bankruptcy or otherwise become insolvent or are placed in receivership.</w:t>
      </w:r>
    </w:p>
    <w:p>
      <w:pPr>
        <w:spacing w:after="0" w:line="67" w:lineRule="exact"/>
        <w:rPr>
          <w:sz w:val="20"/>
          <w:szCs w:val="20"/>
          <w:color w:val="auto"/>
        </w:rPr>
      </w:pPr>
    </w:p>
    <w:p>
      <w:pPr>
        <w:spacing w:after="0" w:line="241" w:lineRule="auto"/>
        <w:rPr>
          <w:sz w:val="20"/>
          <w:szCs w:val="20"/>
          <w:color w:val="auto"/>
        </w:rPr>
      </w:pPr>
      <w:r>
        <w:rPr>
          <w:rFonts w:ascii="Arial" w:cs="Arial" w:eastAsia="Arial" w:hAnsi="Arial"/>
          <w:sz w:val="17"/>
          <w:szCs w:val="17"/>
          <w:b w:val="1"/>
          <w:bCs w:val="1"/>
          <w:i w:val="1"/>
          <w:iCs w:val="1"/>
          <w:color w:val="auto"/>
        </w:rPr>
        <w:t xml:space="preserve">Mass General Brigham (MGB). </w:t>
      </w:r>
      <w:r>
        <w:rPr>
          <w:rFonts w:ascii="Arial" w:cs="Arial" w:eastAsia="Arial" w:hAnsi="Arial"/>
          <w:sz w:val="17"/>
          <w:szCs w:val="17"/>
          <w:color w:val="auto"/>
        </w:rPr>
        <w:t>On January 20, 2018, we entered into an exclusive option agreement (the Option Agreement) with MGB. Pursuant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Option Agreement, we obtained the exclusive right from MGB to negotiate an exclusive worldwide, royalty-bearing license to develop and commercialize products covered by certain MGB patents, including those patents covering CAN-3110, in the field of gene therapy and vector therapy for the treatment or prevention of cancerous tumors in humans or animals, as such field is further detailed in the Option Agreement (Licensed Field). In consideration for MGB’s granting of the exclusive option, we paid MGB a non-refundable fee of $40,000.</w:t>
      </w:r>
    </w:p>
    <w:p>
      <w:pPr>
        <w:spacing w:after="0" w:line="7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Under the Option Agreement, we were required to use reasonable efforts to enter into a clinical trial agreement with MGB. We entered into such clinical trial agreement with MGB (MGB Clinical Trial Agreement) on June 19, 2018. Under the MGB Clinical Trial Agreement, we have committed to remitting up to $750,000 for the performance of a specified phase 1 clinical trial by MGB pursuant to a protocol summary contained in the Option Agreement.</w:t>
      </w:r>
    </w:p>
    <w:p>
      <w:pPr>
        <w:spacing w:after="0" w:line="69"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On September 15, 2020, we exercised our option and entered into an exclusive patent license agreement with MGB (the MGB License Agreement). Under the MGB License Agreement, MGB granted to us (a) an exclusive, royalty-bearing license under certain of MGB’s patents to make, have made, use, have used, sell and have sold certain products covered by such licensed patents (the Licensed Products) and otherwise practice processes covered by such licensed patents (Licensed Processes); and (b) a non-exclusive, royalty-bearing license under certain other of MGB’s patents to make, have made, use, have used, sell and have sold Licensed Products, but not to sell or have sold Licensed Processes. The foregoing rights are sublicensable, subject to sublicensing terms set forth in the MGB License Agreement. In connection with executing the MGB License Agreement, we paid a license issue fee of $100,000. We also agreed to reimburse MGB for all reasonable fees and expenses MGB had incurred and will incur for the preparation, filing, prosecution and maintenance of the licensed patent rights, in an amount equal to $141,268.</w:t>
      </w:r>
    </w:p>
    <w:p>
      <w:pPr>
        <w:spacing w:after="0" w:line="76"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Under the MGB License Agreement, we are required to use commercially reasonable efforts to develop and make available to the public Licensed Products in the Licensed Field, which efforts include certain milestones detailed in the MGB License Agreement.</w:t>
      </w:r>
    </w:p>
    <w:p>
      <w:pPr>
        <w:spacing w:after="0" w:line="51"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Under the MGB License Agreement, prior to the first commercial sale of the Licensed Products, we are required to pay MGB an annual license fee beginning on the fourth anniversary of the effective date. Following the first commercial sale of the Licensed Products, we are required to pay MGB an annual minimum royalty, which amount may be credited against earned royalties starting in the fourth year following the first commercial sale.</w:t>
      </w:r>
    </w:p>
    <w:p>
      <w:pPr>
        <w:spacing w:after="0" w:line="67"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In addition to such annual license fee and royalty obligations, the MGB License Agreement contains cumulative milestone payments for up to a maximum amount of $39,000,000, upon the achievement of various clinical, commercial and sales milestones of clinical and commercial development and sales, certain of which milestones apply to development and sale of any Licensed Product as a monotherapy and certain of which milestones apply to development and sale of any Licensed Product in combination with another therapy modality for the treatment of solid tumors.</w:t>
      </w:r>
    </w:p>
    <w:p>
      <w:pPr>
        <w:spacing w:after="0" w:line="6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We are required to pay royalties to MGB upon first commercial sale of the Licensed Products, which are paid at an increasing rate as net sales increase, ranging from low single digits to high single digits. We also agreed to pay a single digit royalty rate on net sales of any products developed using certain MGB know-how but which is not covered by the licensed patent rights, or derived products.</w:t>
      </w:r>
    </w:p>
    <w:p>
      <w:pPr>
        <w:spacing w:after="0" w:line="67"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We may reduce our royalty obligations to MGB on any product (but not derived products) by an agreed-upon percentage if we are required to pay a royalty to a third party to avoid patent infringement claims in respect of our development and commercialization of Licensed Products. The royalty rate paid to MGB may not fall below a pre-specified percentage for the sale of any product and another percentage for the sale of any derived product.</w:t>
      </w:r>
    </w:p>
    <w:p>
      <w:pPr>
        <w:spacing w:after="0" w:line="69" w:lineRule="exact"/>
        <w:rPr>
          <w:sz w:val="20"/>
          <w:szCs w:val="20"/>
          <w:color w:val="auto"/>
        </w:rPr>
      </w:pPr>
    </w:p>
    <w:p>
      <w:pPr>
        <w:jc w:val="both"/>
        <w:ind w:right="80"/>
        <w:spacing w:after="0" w:line="249" w:lineRule="auto"/>
        <w:rPr>
          <w:sz w:val="20"/>
          <w:szCs w:val="20"/>
          <w:color w:val="auto"/>
        </w:rPr>
      </w:pPr>
      <w:r>
        <w:rPr>
          <w:rFonts w:ascii="Arial" w:cs="Arial" w:eastAsia="Arial" w:hAnsi="Arial"/>
          <w:sz w:val="17"/>
          <w:szCs w:val="17"/>
          <w:color w:val="auto"/>
        </w:rPr>
        <w:t>Our obligation to pay royalties to MGB expires on a country-by-country basis on the latest of (i) the date upon which there ceases to be a valid claim of patent rights as further detailed in the MGB License Agreement in such country, (ii) expiration of statutory or regulatory exclusivity in such country and (iii) 10 years after the first commercial sale.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5" w:name="page26"/>
    <w:bookmarkEnd w:id="25"/>
    <w:p>
      <w:pPr>
        <w:ind w:right="140"/>
        <w:spacing w:after="0" w:line="241" w:lineRule="auto"/>
        <w:rPr>
          <w:sz w:val="20"/>
          <w:szCs w:val="20"/>
          <w:color w:val="auto"/>
        </w:rPr>
      </w:pPr>
      <w:r>
        <w:rPr>
          <w:rFonts w:ascii="Arial" w:cs="Arial" w:eastAsia="Arial" w:hAnsi="Arial"/>
          <w:sz w:val="17"/>
          <w:szCs w:val="17"/>
          <w:color w:val="auto"/>
        </w:rPr>
        <w:t>The MGB License Agreement also requires us to pay a percentage of any non-royalty income attributable to the sublicense, including (i) 2nd decile rates if such sublicense occurs prior to dosing the first patient in a phase 2 trial, (ii) 1st decile rates if such sublicense occurs after dosing the first patient in a phase 2 trial but before approval of a BLA by the FDA (or the equivalent approval and regulatory body in another major market country) and (iii) single digit rates if such sublicense occurs after approval of a BLA by the FDA (or the equivalent approval and regulatory body in another major market country).</w:t>
      </w:r>
    </w:p>
    <w:p>
      <w:pPr>
        <w:spacing w:after="0" w:line="7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MGB License Agreement expires on the latest of (i) the 10th anniversary of the first commercial sale in the last country which has a commercial sale, (ii) the date on which all relevant issued patents and filed patent applications have expired or been abandoned and (iii) upon the expiration of market exclusivity on the applicable product.</w:t>
      </w:r>
    </w:p>
    <w:p>
      <w:pPr>
        <w:spacing w:after="0" w:line="67"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MGB License Agreement may be terminated by MGB (i) if we fail to pay any amounts owed under the terms of the agreement within a specified cure period, (ii) if we fail to maintain insurance in accordance with the MGB License Agreement, (iii) if we file for bankruptcy, or (iv) if we remain in default of the MGB License Agreement for non-financial reasons following a specified cure period to remedy the breach. The MGB License Agreement may be terminated by us for convenience upon 90 days’ prior written notice.</w:t>
      </w:r>
    </w:p>
    <w:p>
      <w:pPr>
        <w:spacing w:after="0" w:line="6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b w:val="1"/>
          <w:bCs w:val="1"/>
          <w:i w:val="1"/>
          <w:iCs w:val="1"/>
          <w:color w:val="auto"/>
        </w:rPr>
        <w:t>Ventagen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1, 2014, we entered into an exclusive license agreement (the Ventagen Agreement), with Ventagen, LLC (Ventagen).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Ventagen Agreement provides Ventagen an exclusive license, with rights to grant sublicenses (subject to certain terms and conditions) under any worldwide patent rights and know-how owned or controlled by us during the term of the Ventagen Agreement which cover applicable technology utilizing the delivery method of the herpes derived TK protein to tumors or other tissues via a viral vector (as further specified therein), to research, use, have used, import, have imported, export, have exported, offer for sale, have sold, sell, distribute and market certain products for the prevention or treatment of cancer in humans and any use in animals (or the Field of Use) (Licensed Products), for commercial sale and distribution within Mexico, Belize, Guatemala, Honduras, El Salvador, Costa Rica, Nicaragua, Panama, Colombia and Bolivia (or the Territory).</w:t>
      </w:r>
    </w:p>
    <w:p>
      <w:pPr>
        <w:spacing w:after="0" w:line="74"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Under the Ventagen Agreement, Ventagen agreed to use commercially reasonable efforts to develop and commercialize Licensed Products in the Territory in the Field of Use.</w:t>
      </w:r>
    </w:p>
    <w:p>
      <w:pPr>
        <w:spacing w:after="0" w:line="51" w:lineRule="exact"/>
        <w:rPr>
          <w:sz w:val="20"/>
          <w:szCs w:val="20"/>
          <w:color w:val="auto"/>
        </w:rPr>
      </w:pPr>
    </w:p>
    <w:p>
      <w:pPr>
        <w:jc w:val="both"/>
        <w:ind w:right="320"/>
        <w:spacing w:after="0" w:line="249" w:lineRule="auto"/>
        <w:rPr>
          <w:sz w:val="20"/>
          <w:szCs w:val="20"/>
          <w:color w:val="auto"/>
        </w:rPr>
      </w:pPr>
      <w:r>
        <w:rPr>
          <w:rFonts w:ascii="Arial" w:cs="Arial" w:eastAsia="Arial" w:hAnsi="Arial"/>
          <w:sz w:val="17"/>
          <w:szCs w:val="17"/>
          <w:color w:val="auto"/>
        </w:rPr>
        <w:t>Ventagen agreed to pay us $1,000,000 for research and development, which we received in 2014 and 2015, and agreed to pay us a fixed future milestone payment of $2,500,000 upon Ventagen’s achievement of a specified amount of sales of a Licensed Product, which is subject to certain reductions for our direct cost over a specified threshold.</w:t>
      </w:r>
    </w:p>
    <w:p>
      <w:pPr>
        <w:spacing w:after="0" w:line="67" w:lineRule="exact"/>
        <w:rPr>
          <w:sz w:val="20"/>
          <w:szCs w:val="20"/>
          <w:color w:val="auto"/>
        </w:rPr>
      </w:pPr>
    </w:p>
    <w:p>
      <w:pPr>
        <w:ind w:right="40"/>
        <w:spacing w:after="0"/>
        <w:rPr>
          <w:sz w:val="20"/>
          <w:szCs w:val="20"/>
          <w:color w:val="auto"/>
        </w:rPr>
      </w:pPr>
      <w:r>
        <w:rPr>
          <w:rFonts w:ascii="Arial" w:cs="Arial" w:eastAsia="Arial" w:hAnsi="Arial"/>
          <w:sz w:val="17"/>
          <w:szCs w:val="17"/>
          <w:color w:val="auto"/>
        </w:rPr>
        <w:t>Ventagen also agreed to purchase all of its clinical and commercial supply of Licensed Products from us required for clinical or commercial purposes at a price of cost plus a specified increase of the wholesale price of the Licensed Products, subject to a minimum and maximum price, through the end of the Royalty Term, which is defined as the period commencing on the effective date of the Ventagen Agreement and ending on a country-by-country basis on the later of (i) the last expiration date of the patent rights covering a Licensed Product, (ii) twelve years from the receipt of marketing authorization of the Licensed Product in the applicable country, or (iii) the date a generic version of a Licensed Product that is manufactured, owned or controlled by a third party is granted a market authorization. If we are unable or unwilling to manufacture supply under the terms of the Ventagen Agreement, Ventagen has the right to manufacture its own supply and will be required to pay to us a fixed fee per dose sold by Ventagen, its affiliates, agents, sublicensee or end users. We have also agreed to provide certain services to Ventagen related to Ventagen’s development plan.</w:t>
      </w:r>
    </w:p>
    <w:p>
      <w:pPr>
        <w:spacing w:after="0" w:line="24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Ventagen Agreement expires on the date of the expiration of the final Royalty Term in all countries in the Territory. The Ventagen Agreement may be terminated (i) by Ventagen at will upon 30 days’ prior written notice to us, (ii) by us subject to a specified notice period if Ventagen files for bankruptcy or becomes insolvent or (iii) by us if Ventagen remains in material breach of the Ventagen Agreement following notice and a cure period to remedy the breach. Ventagen retains an irrevocable, perpetual, paid up, royalty-free license, with rights of sublicense to use, have used, lease, import and export, offer to sell, sell, have sold, product, distribute and market Licensed Products in each country in the Territory after the expiration of the Royalty Term in such country.</w:t>
      </w:r>
    </w:p>
    <w:p>
      <w:pPr>
        <w:spacing w:after="0" w:line="74"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Certain of our current stockholders own 49.5% of the voting stock of Ventagen, but we do not hold any management position or run the day-to-day operations of Ventagen. See “Certain Relationships and Related Person Transactions.”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0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from major pharmaceutical, specialty pharmaceutical and biotechnology companies among others with respect to CAN-2409 and CAN-3110 and will face similar competition with respect to any product candidates that we may seek to develop or commercialize in the future. We compete in pharmaceutical, biotechnology and other related markets that develop immuno-oncology therapies for the treatment of cancer. There are other companies working to develop viral immunotherapies for the treatment of cancer including divisions of large pharmaceutical and biotechnology companies of various sizes. The large pharmaceutical and biotechnology companies that have commercialized and/or are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6" w:name="page27"/>
    <w:bookmarkEnd w:id="26"/>
    <w:p>
      <w:pPr>
        <w:ind w:right="120"/>
        <w:spacing w:after="0" w:line="267" w:lineRule="auto"/>
        <w:rPr>
          <w:sz w:val="20"/>
          <w:szCs w:val="20"/>
          <w:color w:val="auto"/>
        </w:rPr>
      </w:pPr>
      <w:r>
        <w:rPr>
          <w:rFonts w:ascii="Arial" w:cs="Arial" w:eastAsia="Arial" w:hAnsi="Arial"/>
          <w:sz w:val="17"/>
          <w:szCs w:val="17"/>
          <w:color w:val="auto"/>
        </w:rPr>
        <w:t>developing immuno-oncology treatments for cancer include AstraZeneca, Bristol-Myers Squibb, Gilead Sciences, Merck &amp; Co., Novartis, Pfizer and Genentech.</w:t>
      </w:r>
    </w:p>
    <w:p>
      <w:pPr>
        <w:spacing w:after="0" w:line="5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Some of the products and therapies developed by our competitors are based on scientific approaches that are the same as or similar to our approach, including with respect to the use of viral immunotherapy with adenovirus and HSV. Other competitive products and therapies are based on entirely different approaches. We are aware that Replimune Group, Inc., Amgen Inc., Astellas Pharma, Inc, Istari Oncology Inc, Orca Therapeutics, B.V., CG Oncology, Inc, ImmVira Co., Ltd., IconOVir Bio, Inc., and FerGene, Inc., among others, are developing viral immunotherapies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4"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Many of the companies we compete against or may compete against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the concentration of even more resources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74"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or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Commercialization</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and partnering opportunities may all influence or alter our commercialization plans.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0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We have established an operations leadership team with extensive experience in manufacturing biologics based on viruses, including viral immunotherapy products and gene therapy products, and in the construction, validation, approval and operation of facilities designed to manufacture biologics. We have secured a third-party contract manufacturing organization for clinical and commercial-scale manufacturing of our CAN-2409 and CAN-3110 product candidates.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02"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We believe that approval of our CAN-2409 and CAN-3110 product candidates under a BLA may result in 12 years of data exclusivity in the United States under the Patient Protection and Affordable Care Act, as amended by the Health Care and Education Reconciliation Act (collectively the ACA), 10 years of market exclusivity in Europe and significant durations in other markets, which would be complementary to any relevant patent exclusivity.</w:t>
      </w:r>
    </w:p>
    <w:p>
      <w:pPr>
        <w:spacing w:after="0" w:line="6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With regard to patent exclusivities, we have or are pursuing patent protection for our CAN-2409 and CAN-3110 product candidates and our enLIGHTEN™ Discovery Platform. With regard to our CAN-2409 product candidate, we own a United States patent and a pending patent application that relate to a method of use of CAN-2409 in combination with an immune checkpoint inhibitor. The issued patent and the pending application, if issued, are expected to expire in 2034. With regard to our CAN-3110 product candidate, we have rights to issued composition of matter patents in the United States, Australia, Canada, China, Europe, and Japan and patent applications pending in Australia, Europe, and Korea that relate to CAN-3110. The issued patents and the pending applications, if issued, are expected to expire in 2036. This patent family is exclusively licensed to us from MGB. In addition, we have entered into an option agreement with MGB to a pending U.S. provisional patent application that relates to the use of biomarkers for the selection of cancer patients for treatment with CAN-3110 and for the management of treatment regimens in cancer patients receiving CAN-3110. The term of patents claiming priority to the provisional patent application, if issued, are expected to expire in 2044.</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7" w:name="page28"/>
    <w:bookmarkEnd w:id="27"/>
    <w:p>
      <w:pPr>
        <w:spacing w:after="0" w:line="237" w:lineRule="auto"/>
        <w:rPr>
          <w:sz w:val="20"/>
          <w:szCs w:val="20"/>
          <w:color w:val="auto"/>
        </w:rPr>
      </w:pPr>
      <w:r>
        <w:rPr>
          <w:rFonts w:ascii="Arial" w:cs="Arial" w:eastAsia="Arial" w:hAnsi="Arial"/>
          <w:sz w:val="17"/>
          <w:szCs w:val="17"/>
          <w:color w:val="auto"/>
        </w:rPr>
        <w:t>With regard to our enLIGHTEN™ Discovery Platform, we have exclusively in-licensed from Periphagen a patent family that includes composition of matter patents in the United States, Europe, and China and pending applications in the United States and China that relate to an HSV vector used in our enLIGHTEN™ Discovery Platform. The issued patents and the pending applications, if issued, are expected to expire in 2037. In addition, we own a pending international patent application filed under the Patent Cooperation Treaty with composition of matter claims that also relate to an HSV vector and candidate payloads used in our enLIGHTEN™ Discovery Platform and methods of use. The term of patents claiming priority to the international patent application, if issued, are expected to expire in 2043. We also own a pending U.S. provisional patent application that relates to methods of treating certain cancer patients using our HSV vector. The term of patents claiming priority to the provisional patent application, if issued, are expected to expire in 2044.</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02"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In the United States, biological products are subject to regulation under the Federal Food, Drug, and Cosmetic Act (FD&amp;C Act) and licensure under the Public Health Service Act (PHS Act), and other federal, state, local and foreign statutes and regulations. The FD&amp;C Act and corresponding regulations govern, among other things, the research, development, clinical trial, testing, manufacturing, quality control, approval, safety, efficacy, labeling, packaging, storage, record keeping, distribution, reporting, marketing, promotion, export and import, advertising, post-approval monitoring, and post-approval reporting involving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74"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Further, even if we obtain the required regulatory approvals for our products, pharmaceutical companies are subject to myriad federal, state, and foreign healthcare laws, rules, and regulations governing all aspects of our operations, including, but not limited to, our relationships with healthcare professionals, healthcare institutions, distributors of our products, and sales and marketing personnel; governmental and other third-party payor coverage and reimbursement of our products; and data privacy and security. Such laws, rules, and regulations are complex, continuously evolving, and, in many cases, have not been subject to extensive interpretation by applicable regulatory agencies or the courts. We are required to invest significant time and financial resources in policies, procedures, processes, and systems to ensure compliance with these laws, rules, and regulations, and our failure to do so may result in the imposition of substantial monetary or other penalties by federal or state regulatory agencies, give rise to reputational harm, or otherwise have a material adverse effect on our results of operations and financial condition.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States Biological Products Development Process</w:t>
      </w:r>
    </w:p>
    <w:p>
      <w:pPr>
        <w:spacing w:after="0" w:line="102"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The process required by the FDA before a biological product candidate may be licensed for marketing in the United States generally involves the following:</w:t>
      </w:r>
    </w:p>
    <w:p>
      <w:pPr>
        <w:spacing w:after="0" w:line="51" w:lineRule="exact"/>
        <w:rPr>
          <w:sz w:val="20"/>
          <w:szCs w:val="20"/>
          <w:color w:val="auto"/>
        </w:rPr>
      </w:pPr>
    </w:p>
    <w:p>
      <w:pPr>
        <w:ind w:left="760" w:right="580" w:hanging="378"/>
        <w:spacing w:after="0" w:line="266" w:lineRule="auto"/>
        <w:tabs>
          <w:tab w:leader="none" w:pos="7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completion of nonclinical laboratory tests and animal studies performed in accordance with FDA’s good laboratory practices (GLPs) requirements and applicable requirements for the humane use of laboratory animals or other applicable regulations;</w:t>
      </w:r>
    </w:p>
    <w:p>
      <w:pPr>
        <w:spacing w:after="0" w:line="51" w:lineRule="exact"/>
        <w:rPr>
          <w:rFonts w:ascii="Times New Roman" w:cs="Times New Roman" w:eastAsia="Times New Roman" w:hAnsi="Times New Roman"/>
          <w:sz w:val="17"/>
          <w:szCs w:val="17"/>
          <w:color w:val="auto"/>
        </w:rPr>
      </w:pPr>
    </w:p>
    <w:p>
      <w:pPr>
        <w:ind w:left="760" w:right="420" w:hanging="378"/>
        <w:spacing w:after="0" w:line="266" w:lineRule="auto"/>
        <w:tabs>
          <w:tab w:leader="none" w:pos="7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submission to the FDA of an application for an investigational new drug application (IND) which must become effective before human clinical trials may begin;</w:t>
      </w:r>
    </w:p>
    <w:p>
      <w:pPr>
        <w:spacing w:after="0" w:line="51" w:lineRule="exact"/>
        <w:rPr>
          <w:rFonts w:ascii="Times New Roman" w:cs="Times New Roman" w:eastAsia="Times New Roman" w:hAnsi="Times New Roman"/>
          <w:sz w:val="17"/>
          <w:szCs w:val="17"/>
          <w:color w:val="auto"/>
        </w:rPr>
      </w:pPr>
    </w:p>
    <w:p>
      <w:pPr>
        <w:ind w:left="760" w:right="600" w:hanging="378"/>
        <w:spacing w:after="0" w:line="266" w:lineRule="auto"/>
        <w:tabs>
          <w:tab w:leader="none" w:pos="7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approval of the protocol and related documentation by an IRB or ethics committee at each clinical trial site before each trial may be initiated;</w:t>
      </w:r>
    </w:p>
    <w:p>
      <w:pPr>
        <w:spacing w:after="0" w:line="51" w:lineRule="exact"/>
        <w:rPr>
          <w:rFonts w:ascii="Times New Roman" w:cs="Times New Roman" w:eastAsia="Times New Roman" w:hAnsi="Times New Roman"/>
          <w:sz w:val="17"/>
          <w:szCs w:val="17"/>
          <w:color w:val="auto"/>
        </w:rPr>
      </w:pPr>
    </w:p>
    <w:p>
      <w:pPr>
        <w:ind w:left="760" w:right="200" w:hanging="378"/>
        <w:spacing w:after="0" w:line="249" w:lineRule="auto"/>
        <w:tabs>
          <w:tab w:leader="none" w:pos="7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performance of adequate and well-controlled human clinical trials according to good clinical practices (GCPs) requirements and any additional requirements for the protection of human research subjects and their health information, to establish the safety and efficacy of the proposed biological product candidate for its intended use;</w:t>
      </w:r>
    </w:p>
    <w:p>
      <w:pPr>
        <w:spacing w:after="0" w:line="65" w:lineRule="exact"/>
        <w:rPr>
          <w:rFonts w:ascii="Times New Roman" w:cs="Times New Roman" w:eastAsia="Times New Roman" w:hAnsi="Times New Roman"/>
          <w:sz w:val="17"/>
          <w:szCs w:val="17"/>
          <w:color w:val="auto"/>
        </w:rPr>
      </w:pPr>
    </w:p>
    <w:p>
      <w:pPr>
        <w:ind w:left="760" w:right="300" w:hanging="378"/>
        <w:spacing w:after="0" w:line="249" w:lineRule="auto"/>
        <w:tabs>
          <w:tab w:leader="none" w:pos="7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preparation of and submission to the FDA of a BLA for marketing approval that includes sufficient evidence of establishing the safety, purity, and potency of the proposed biological product for its intended indication, including from results of nonclinical testing and clinical trials;</w:t>
      </w:r>
    </w:p>
    <w:p>
      <w:pPr>
        <w:spacing w:after="0" w:line="65"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a determination by the FDA within 60 days of its receipt of a BLA to accept and file the application;</w:t>
      </w:r>
    </w:p>
    <w:p>
      <w:pPr>
        <w:spacing w:after="0" w:line="114" w:lineRule="exact"/>
        <w:rPr>
          <w:rFonts w:ascii="Times New Roman" w:cs="Times New Roman" w:eastAsia="Times New Roman" w:hAnsi="Times New Roman"/>
          <w:sz w:val="17"/>
          <w:szCs w:val="17"/>
          <w:color w:val="auto"/>
        </w:rPr>
      </w:pPr>
    </w:p>
    <w:p>
      <w:pPr>
        <w:jc w:val="both"/>
        <w:ind w:left="760" w:right="80" w:hanging="378"/>
        <w:spacing w:after="0" w:line="249" w:lineRule="auto"/>
        <w:tabs>
          <w:tab w:leader="none" w:pos="7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satisfactory completion of an FDA pre-license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p>
      <w:pPr>
        <w:spacing w:after="0" w:line="65"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satisfactory completion of an FDA advisory committee review, if applicable;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sectPr>
      </w:pPr>
    </w:p>
    <w:bookmarkStart w:id="28" w:name="page29"/>
    <w:bookmarkEnd w:id="28"/>
    <w:p>
      <w:pPr>
        <w:ind w:left="760" w:right="380" w:hanging="378"/>
        <w:spacing w:after="0" w:line="266" w:lineRule="auto"/>
        <w:tabs>
          <w:tab w:leader="none" w:pos="76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FDA audit of the nonclinical study and clinical trial sites that generated the data in support of the BLA in accordance with any applicable expedited programs or designations;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payment of user fees for FDA review of the BLA (unless a fee waiver applies); and</w:t>
      </w:r>
    </w:p>
    <w:p>
      <w:pPr>
        <w:spacing w:after="0" w:line="114" w:lineRule="exact"/>
        <w:rPr>
          <w:rFonts w:ascii="Times New Roman" w:cs="Times New Roman" w:eastAsia="Times New Roman" w:hAnsi="Times New Roman"/>
          <w:sz w:val="17"/>
          <w:szCs w:val="17"/>
          <w:color w:val="auto"/>
        </w:rPr>
      </w:pPr>
    </w:p>
    <w:p>
      <w:pPr>
        <w:ind w:left="760" w:right="400" w:hanging="378"/>
        <w:spacing w:after="0" w:line="266" w:lineRule="auto"/>
        <w:tabs>
          <w:tab w:leader="none" w:pos="76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FDA review and approval, or licensure, of the BLA to permit commercial marketing of the product for specific indications for use in the United States.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Pre-clinical Studies and the IND Process</w:t>
      </w:r>
    </w:p>
    <w:p>
      <w:pPr>
        <w:spacing w:after="0" w:line="102"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Before testing any biological product candidate in humans, the product candidate enters the preclinical testing stage. Preclinical tests, also referred to as nonclinical studies, include laboratory evaluations of the product’s biological characteristics, chemistry, toxicity and formulation, as well as animal studies to assess the potential safety and activity of the product candidate. The conduct of the preclinical tests must comply with federal regulations and requirements including GLPs.</w:t>
      </w:r>
    </w:p>
    <w:p>
      <w:pPr>
        <w:spacing w:after="0" w:line="6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Prior to commencing an initial clinical trial in humans with a product candidate in the United States,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may begin. Once submitted, the IND automatically becomes effective 30 days after receipt by the FDA, unless the FDA places the IND on a full or partial clinical hold within that 30-day time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 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Clinical Trials</w:t>
      </w:r>
    </w:p>
    <w:p>
      <w:pPr>
        <w:spacing w:after="0" w:line="10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Clinical trials involve the administration of the biological product candidate to healthy volunteers or patients under the supervision of qualified investigators, generally physicians not employed by or under control of the trial sponsor. Clinical trials are conducted under protocols detailing, among other things, the objectives of the clinical trial, dosing procedures, subject selection and exclusion criteria, and the parameters and criteria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An IRB representing each institution participating in the clinical trial must review and approve the plan for any clinical trial before it commences at that institution, and the IRB must conduct continuing review and reapprove the trial at least annually. The IRB must review and approve, among other things, the trial protocol and informed consent information to be provided to trial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79"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Some trials are overseen by an independent group of qualified experts organized by the trial sponsor, known as a data safety monitoring board or committee (DSMB). This group provides authorization as to whether or not a trial may move forward at designated check points based on access that only the group maintains to available data from the trial and may recommend halting the clinical trial if it determines that there is an unacceptable safety risk for subjects or other grounds, such as no demonstration of efficacy.</w:t>
      </w:r>
    </w:p>
    <w:p>
      <w:pPr>
        <w:spacing w:after="0" w:line="69" w:lineRule="exact"/>
        <w:rPr>
          <w:sz w:val="20"/>
          <w:szCs w:val="20"/>
          <w:color w:val="auto"/>
        </w:rPr>
      </w:pPr>
    </w:p>
    <w:p>
      <w:pPr>
        <w:ind w:right="860"/>
        <w:spacing w:after="0" w:line="267" w:lineRule="auto"/>
        <w:rPr>
          <w:sz w:val="20"/>
          <w:szCs w:val="20"/>
          <w:color w:val="auto"/>
        </w:rPr>
      </w:pPr>
      <w:r>
        <w:rPr>
          <w:rFonts w:ascii="Arial" w:cs="Arial" w:eastAsia="Arial" w:hAnsi="Arial"/>
          <w:sz w:val="17"/>
          <w:szCs w:val="17"/>
          <w:color w:val="auto"/>
        </w:rPr>
        <w:t>Certain information about certain clinical trials must also be submitted within specific timeframes to the NIH for public dissemination on its ClinicalTrials.gov website.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Clinical trials typically are conducted in three sequential phases that may overlap or be combined:</w:t>
      </w:r>
    </w:p>
    <w:p>
      <w:pPr>
        <w:spacing w:after="0" w:line="102" w:lineRule="exact"/>
        <w:rPr>
          <w:sz w:val="20"/>
          <w:szCs w:val="20"/>
          <w:color w:val="auto"/>
        </w:rPr>
      </w:pPr>
    </w:p>
    <w:p>
      <w:pPr>
        <w:ind w:left="760" w:right="140" w:hanging="378"/>
        <w:spacing w:after="0" w:line="249" w:lineRule="auto"/>
        <w:tabs>
          <w:tab w:leader="none" w:pos="76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Phase 1. The biological product candidate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9" w:name="page30"/>
    <w:bookmarkEnd w:id="29"/>
    <w:p>
      <w:pPr>
        <w:ind w:left="760" w:right="240"/>
        <w:spacing w:after="0" w:line="267" w:lineRule="auto"/>
        <w:rPr>
          <w:sz w:val="20"/>
          <w:szCs w:val="20"/>
          <w:color w:val="auto"/>
        </w:rPr>
      </w:pPr>
      <w:r>
        <w:rPr>
          <w:rFonts w:ascii="Arial" w:cs="Arial" w:eastAsia="Arial" w:hAnsi="Arial"/>
          <w:sz w:val="17"/>
          <w:szCs w:val="17"/>
          <w:color w:val="auto"/>
        </w:rPr>
        <w:t>in patients. These studies are designed to test the safety, dosage tolerance, absorption, metabolism and distribution of the biological product candidate in humans, the side effects associated with increasing doses, and, if possible, to gain early evidence of effectiveness.</w:t>
      </w:r>
    </w:p>
    <w:p>
      <w:pPr>
        <w:spacing w:after="0" w:line="51" w:lineRule="exact"/>
        <w:rPr>
          <w:sz w:val="20"/>
          <w:szCs w:val="20"/>
          <w:color w:val="auto"/>
        </w:rPr>
      </w:pPr>
    </w:p>
    <w:p>
      <w:pPr>
        <w:ind w:left="760" w:right="140" w:hanging="378"/>
        <w:spacing w:after="0" w:line="243" w:lineRule="auto"/>
        <w:tabs>
          <w:tab w:leader="none" w:pos="76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Phase 2. The biological product candidate is evaluated in a limited patient population with a specific disease or condition to identify possible adverse effects and safety risks, to preliminarily evaluate the efficacy of the product for specific targeted diseases and to determine dosage tolerance, optimal dosage and dosing schedule. Multiple phase 2 clinical trials may be conducted to obtain information prior to beginning larger and more expensive phase 3 clinical trials.</w:t>
      </w:r>
    </w:p>
    <w:p>
      <w:pPr>
        <w:spacing w:after="0" w:line="71" w:lineRule="exact"/>
        <w:rPr>
          <w:rFonts w:ascii="Times New Roman" w:cs="Times New Roman" w:eastAsia="Times New Roman" w:hAnsi="Times New Roman"/>
          <w:sz w:val="17"/>
          <w:szCs w:val="17"/>
          <w:color w:val="auto"/>
        </w:rPr>
      </w:pPr>
    </w:p>
    <w:p>
      <w:pPr>
        <w:ind w:left="760" w:right="180" w:hanging="378"/>
        <w:spacing w:after="0" w:line="249" w:lineRule="auto"/>
        <w:tabs>
          <w:tab w:leader="none" w:pos="76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Phase 3. The biological product candidate is administered to an expanded patient population to further evaluate dosage, clinical efficacy, potency, and safety, generally at multiple geographically dispersed clinical trial sites. These clinical trials are intended to establish the overall risk/benefit ratio of the product candidate and provide an adequate basis for approval and product labeling.</w:t>
      </w:r>
    </w:p>
    <w:p>
      <w:pPr>
        <w:spacing w:after="0" w:line="6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March 2022, the FDA released a final guidance entitled “Expansion Cohorts: Use in First-In-Human Clinical Trials to Expedite Development of Oncology Drugs and Biologics,” which outlines how developers can utilize an adaptive trial design commonly referred to as a seamless trial design in early stages of oncology biological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biological product development and reduce developmental costs and time.</w:t>
      </w:r>
    </w:p>
    <w:p>
      <w:pPr>
        <w:spacing w:after="0" w:line="74"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with regard to conducting required phase 4 clinical trials could result in withdrawal of approval for products.</w:t>
      </w:r>
    </w:p>
    <w:p>
      <w:pPr>
        <w:spacing w:after="0" w:line="6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Concurrent with clinical trials, companies usually complete additional animal studies and also develop additional information about the chemistry and physical characteristics of the biological product as well as finalize a process for manufacturing the product in commercial quantities in accordance with cGMP requirements. To help reduce the risk of the introduction of adventitious agents with use of biological products, the Public Health Service Act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7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Both the FDA and the EMA provide expedited pathways for the development of biological product candidates for the treatment of rare diseases, particularly life-threatening diseases with high unmet medical need. Such biological product candidates may be eligible to proceed to registration following an early phase single clinical trial in a limited patient population which may be deemed a pivotal or registrational trial following review of the trial’s design, primary endpoints and results by the applicable regulatory agencies. Determination of the requirements to be deemed a pivotal or registrational trial is subject to the applicable regulatory authority’s scientific judgement and these requirements may differ in the United States and the European Union.</w:t>
      </w:r>
    </w:p>
    <w:p>
      <w:pPr>
        <w:spacing w:after="0" w:line="74"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During all phases of clinical development, regulatory agencies require a sponsor assure extensive monitoring and auditing of all clinical activities, clinical data, and clinical trial investigators. Annual progress reports detailing the results of the clinical trials, particularly the safety information, must be submitted to the FDA. Written IND safety reports must be promptly submitted to the FDA and the investigators for serious and unexpected adverse events associated with the use of the study drug, and in some cases, any findings from other studies of the same drug,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76"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Review and Approval Processes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0" w:name="page31"/>
    <w:bookmarkEnd w:id="30"/>
    <w:p>
      <w:pPr>
        <w:spacing w:after="0" w:line="239"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results of product development, laboratory and animal studies, human clinical trials,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74"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Within 60 days following submission of the application, the FDA reviews the BLA submission to determine if it is substantially complete before the FDA accepts it for filing and full review. The FDA may refuse to file any BLA that it deems incomplete or not properly reviewable at the time of submission and may request additional information in a Complete Response letter. In this event, the BLA must be resubmitted with the additional information. The resubmitted application also is subject to review to determine if it is substantially complete before the FDA accepts it for filing. In most cases, the submission of a BLA is subject to a substantial application user fee, although the fee may be waived under certain circumstances. Under the performance goals and policies implemented by the FDA under the Prescription Drug User Fee Act (PDUFA) for original BLAs, the FDA targets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and in some cases, convening of an Advisory Committee. This review typically takes twelve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7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Once the submission is accepted for filing, the FDA begins an in-depth substantive review of the BLA. The FDA reviews the BLA to determine, among other things, whether the proposed product is safe, pure and potent for its intended use and whether the product is being manufactured in accordance with cGMP to ensure its continued safety, purity and purity. The FDA may refer applications for novel biological products or biological products that present difficult or novel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assure the safe use of the biological product. If the FDA concludes a REMS is needed, the sponsor of the BLA must submit a proposed REMS; the FDA will not approve the BLA without a REMS, if required.</w:t>
      </w:r>
    </w:p>
    <w:p>
      <w:pPr>
        <w:spacing w:after="0" w:line="7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trial requirements and GCP requirements. To assure cGMP and GCP compliance, an applicant must incur significant expenditure of time, money and effort in the areas of training, record keeping, production and quality control.</w:t>
      </w:r>
    </w:p>
    <w:p>
      <w:pPr>
        <w:spacing w:after="0" w:line="74"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Under the Pediatric Research Equity Act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w:t>
      </w:r>
    </w:p>
    <w:p>
      <w:pPr>
        <w:spacing w:after="0" w:line="7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1" w:name="page32"/>
    <w:bookmarkEnd w:id="31"/>
    <w:p>
      <w:pPr>
        <w:ind w:right="80"/>
        <w:spacing w:after="0" w:line="236"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including to subpopulations of patients, which could restrict the commercial value of the product. Further, the FDA may require that certain contraindications, warnings, precautions or interactions be included in the product labeling. The FDA may impose restrictions and conditions on product distribution, prescribing, or dispensing in the form of a REMS, or otherwise limit the scope of any approval.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trials.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Orphan Product Designation</w:t>
      </w:r>
    </w:p>
    <w:p>
      <w:pPr>
        <w:spacing w:after="0" w:line="10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Under the Orphan Drug Act, the FDA may grant orphan designation to a biological product intended to treat a rare disease or condition, which is generally a disease or condition that affects fewer than 200,000 individuals in the United States, or 200,000 or more individuals in the United States and for which there is no reasonable expectation that the cost of developing and making a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7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Orphan product designation entitles a party to financial incentives such as opportunities for grant funding towards clinical trial costs, tax advantages and user-fee waivers. If a product that has orphan product designation subsequently receives the first FDA approval for a particular active ingredient for the disease or condition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product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a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 In addition, orphan drug exclusive marketing rights in the United States may be lost if the FDA later determines that the request for designation was materially defective or, as noted above, if the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 Orphan drug status in the European Union (EU) has similar, but not identical, benefits.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Expedited Development and Review Programs</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To be eligible for fast track designation, new drugs and biological product candidates must be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w:t>
      </w:r>
    </w:p>
    <w:p>
      <w:pPr>
        <w:spacing w:after="0" w:line="79" w:lineRule="exact"/>
        <w:rPr>
          <w:sz w:val="20"/>
          <w:szCs w:val="20"/>
          <w:color w:val="auto"/>
        </w:rPr>
      </w:pPr>
    </w:p>
    <w:p>
      <w:pPr>
        <w:ind w:right="420"/>
        <w:spacing w:after="0" w:line="241" w:lineRule="auto"/>
        <w:rPr>
          <w:sz w:val="20"/>
          <w:szCs w:val="20"/>
          <w:color w:val="auto"/>
        </w:rPr>
      </w:pPr>
      <w:r>
        <w:rPr>
          <w:rFonts w:ascii="Arial" w:cs="Arial" w:eastAsia="Arial" w:hAnsi="Arial"/>
          <w:sz w:val="17"/>
          <w:szCs w:val="17"/>
          <w:color w:val="auto"/>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 track designation. The FDA may take other actions appropriate to expedite the development and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2" w:name="page33"/>
    <w:bookmarkEnd w:id="32"/>
    <w:p>
      <w:pPr>
        <w:ind w:right="80"/>
        <w:spacing w:after="0" w:line="267" w:lineRule="auto"/>
        <w:rPr>
          <w:sz w:val="20"/>
          <w:szCs w:val="20"/>
          <w:color w:val="auto"/>
        </w:rPr>
      </w:pPr>
      <w:r>
        <w:rPr>
          <w:rFonts w:ascii="Arial" w:cs="Arial" w:eastAsia="Arial" w:hAnsi="Arial"/>
          <w:sz w:val="17"/>
          <w:szCs w:val="17"/>
          <w:color w:val="auto"/>
        </w:rPr>
        <w:t>review of the product candidate, including holding meetings with the sponsor and providing timely advice to, and interactive communication with, the sponsor regarding the development program.</w:t>
      </w:r>
    </w:p>
    <w:p>
      <w:pPr>
        <w:spacing w:after="0" w:line="5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A product candidate is eligible for priority review if it treats a serious or life-threatening disease or condition and, if approved, would provide a significant improvement in the safety or effectiveness of the treatment, diagnosis or prevention of a serious disease or condition. The FDA will attempt to direct additional resources to the evaluation of an application for a new drug or biological product designated for priority review in an effort to facilitate the review. Under priority review, the FDA’s goal is to review an application in six months once it is filed, compared to ten months for a standard review. Priority review designation does not change the scientific/medical standard for approval or the quality of evidence necessary to support approval.</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With respect to oncology products, the FDA may review applications under Real-Time Oncology Review (RTOR) established by the FDA’s Oncology Center of Excellence. RTOR, which allows an applicant to pre-submit components of the application to allow the FDA to review clinical data before the complete filing is submitted, aims to explore a more efficient review process to ensure that safe and effective treatments are available to patients as early as possible, while maintaining and improving review quality. Drugs considered for review under RTOR must, among other things, be likely to demonstrate substantial improvements on a clinically relevant endpoint(s) over available therapy, and must have easily interpreted endpoints. In addition, no aspect of the application should be likely to require a longer review time, such as, for example, a requirement for a new REMS. To determine eligibility for RTOR, the FDA requires top-line efficacy and safety results from an applicant’s pivotal clinical trial(s), as well as completion of database lock for the clinical trial(s). The FDA will generally make a decision regarding acceptance into RTOR within twenty (20) business days of receipt of the request from the applicant. If an applicant is not accepted into RTOR, the applicant will follow routine application submission procedures.</w:t>
      </w:r>
    </w:p>
    <w:p>
      <w:pPr>
        <w:spacing w:after="0" w:line="76"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Additionally, a product candidate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which must be conducted with due diligence, to verify the clinical benefit in relationship to the surrogate endpoint or ultimate outcome in relationship to the clinical benefit and, under the Food and Drug Omnibus Reform Act of 2022 (FDORA), the FDA may require, as appropriate, that such trials be underway prior to approval or within a specific time period after the date accelerated approval was granted. In addition, for products being considered for accelerated approval, the FDA generally requires, unless otherwise informed by the agency, that all advertising and promotional materials, intended for dissemination or publication be submitted to the agency for review. Under FDORA, the FDA has increased authority for expedited procedures to withdraw approval of a drug or indication approved under accelerated approval if, for example, the confirmatory trial fails to verify the predicted clinical benefit of the product.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Post-Approval Requirements</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79" w:lineRule="exact"/>
        <w:rPr>
          <w:sz w:val="20"/>
          <w:szCs w:val="20"/>
          <w:color w:val="auto"/>
        </w:rPr>
      </w:pPr>
    </w:p>
    <w:p>
      <w:pPr>
        <w:jc w:val="both"/>
        <w:ind w:right="340"/>
        <w:spacing w:after="0" w:line="244" w:lineRule="auto"/>
        <w:rPr>
          <w:sz w:val="20"/>
          <w:szCs w:val="20"/>
          <w:color w:val="auto"/>
        </w:rPr>
      </w:pPr>
      <w:r>
        <w:rPr>
          <w:rFonts w:ascii="Arial" w:cs="Arial" w:eastAsia="Arial" w:hAnsi="Arial"/>
          <w:sz w:val="17"/>
          <w:szCs w:val="17"/>
          <w:color w:val="auto"/>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3" w:name="page34"/>
    <w:bookmarkEnd w:id="33"/>
    <w:p>
      <w:pPr>
        <w:ind w:right="100"/>
        <w:spacing w:after="0" w:line="237" w:lineRule="auto"/>
        <w:rPr>
          <w:sz w:val="20"/>
          <w:szCs w:val="20"/>
          <w:color w:val="auto"/>
        </w:rPr>
      </w:pPr>
      <w:r>
        <w:rPr>
          <w:rFonts w:ascii="Arial" w:cs="Arial" w:eastAsia="Arial" w:hAnsi="Arial"/>
          <w:sz w:val="17"/>
          <w:szCs w:val="17"/>
          <w:color w:val="auto"/>
        </w:rPr>
        <w:t>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product detentions or refusal to permit the import or export of the product, restrictions on the marketing or manufacturing of the product, injunctions, fines, refusals of government contracts, mandated corrective advertising or communications with doctors or other stakeholders, debarment, restitution, disgorgement of profits, or civil or criminal penalties. Any agency or judicial enforcement action could have a material adverse effect on us.</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contract development and manufacturing organizations (CDMOs). Manufacturers and other parties involved in the drug supply chain for prescription drug and biological products must also comply with product tracking and tracing requirements and for notifying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Patent Term Restoration and Marketing Exclusivity</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Depending upon the timing, duration and specifics of the FDA approval of a biological product, some of a sponsor’s U.S. patents may be eligible for limited patent term extension under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United States Patent and trademark Office (USPTO)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trials and other factors involved in the filing of the relevant BLA.</w:t>
      </w:r>
    </w:p>
    <w:p>
      <w:pPr>
        <w:spacing w:after="0" w:line="73"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A biological product can obtain pediatric market exclusivity in the U.S. Pediatric exclusivity, if granted, adds six months to existing exclusivity periods for all formulations, dosage forms, and indications of the biologic. This six-month exclusivity, which runs from the end of other exclusivity protection, may be granted based on the voluntary completion of a pediatric study in accordance with an FDA-issued “Written Request” for such a study, provided that at the time pediatric exclusivity is granted there is not less than nine months of term remaining.</w:t>
      </w:r>
    </w:p>
    <w:p>
      <w:pPr>
        <w:spacing w:after="0" w:line="6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ACA includes a subtitle called the Biologics Price Competition and Innovation Act of 2009 (BPCIA) which created an abbreviated approval pathway for biological products shown to be biosimilar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76"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4" w:name="page35"/>
    <w:bookmarkEnd w:id="34"/>
    <w:p>
      <w:pPr>
        <w:ind w:right="80"/>
        <w:spacing w:after="0" w:line="237" w:lineRule="auto"/>
        <w:rPr>
          <w:sz w:val="20"/>
          <w:szCs w:val="20"/>
          <w:color w:val="auto"/>
        </w:rPr>
      </w:pPr>
      <w:r>
        <w:rPr>
          <w:rFonts w:ascii="Arial" w:cs="Arial" w:eastAsia="Arial" w:hAnsi="Arial"/>
          <w:sz w:val="17"/>
          <w:szCs w:val="17"/>
          <w:color w:val="auto"/>
        </w:rPr>
        <w:t>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States Regulation of Companion Diagnostics</w:t>
      </w:r>
    </w:p>
    <w:p>
      <w:pPr>
        <w:spacing w:after="0" w:line="102"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Our product candidates may require use of an in vitro diagnostic to identify appropriate patient populations. These diagnostics, often referred to as companion diagnostics, are regulated as medical devices. In the United States, the FD&amp;C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companion diagnostic tests require marketing clearance or approval from the FDA prior to commercial distribution. The two primary types of FDA marketing authorization applicable to a medical device are premarket notification, also called 510(k) clearance, and premarket approval (PMA approval).</w:t>
      </w:r>
    </w:p>
    <w:p>
      <w:pPr>
        <w:spacing w:after="0" w:line="74"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If use of companion diagnostic is essential to safe and effective use of a drug or biological product, then the FDA generally will require approval or clearance of the diagnostic contemporaneously with the approval of the therapeutic product. On August 6, 2014, the FDA issued a final guidance document addressing the development and approval process for “In Vitro Companion Diagnostic Devices.” According to the guidance, for novel candidates such as our product candidates, a companion diagnostic device and its corresponding drug or biological candidate should be approved or cleared contemporaneously by FDA for the use indicated in the therapeutic product labeling. The guidance also explains that a companion diagnostic device used to make treatment decisions in clinical trials of a biologic product candidate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In July 2016, the FDA issued a draft guidance document intended to further assist sponsors of therapeutic products and sponsors of in vitro companion diagnostic devices on issues related to co-development of these products.</w:t>
      </w:r>
    </w:p>
    <w:p>
      <w:pPr>
        <w:spacing w:after="0" w:line="7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FDA generally requires companion diagnostics intended to select the patients who will respond to cancer treatment to obtain approval of a PMA for that diagnostic contemporaneously with approval of the therapeutic. The review of these in vitro companion diagnostics in conjunction with the review of therapeutic candidates such as those we are developing involves coordination of review by the FDA’s Center for Biologics Evaluation and Research and by the FDA’s Center for Devices and Radiological Health.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also subject to an application fee.</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In addition, as part of the PMA review, the FDA will typically inspect the manufacturer’s facilities for compliance with the Quality System Regulation (QSR) which imposes elaborate testing, control, documentation and other quality assurance requirements.</w:t>
      </w:r>
    </w:p>
    <w:p>
      <w:pPr>
        <w:spacing w:after="0" w:line="72"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If the FDA evaluations of both the PMA application and the manufacturing facilities are favorable, the FDA will either issue an approval letter or a not-approvable letter, which usually contains a number of conditions that must be met in order to secure the final approval of the PMA,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ensure the safety and effectiveness of the device, including, among other things, restrictions on labeling, promotion, sale and distribution.</w:t>
      </w:r>
    </w:p>
    <w:p>
      <w:pPr>
        <w:spacing w:after="0" w:line="102"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If the FDA’s evaluation of the PMA or manufacturing facilities is not favorable, the FDA will issue an order denying approval of the PMA or issue a not approvable order.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 granted, PMA approval may be withdrawn by the FDA if compliance with post approval requirements, conditions of approval or other regulatory standards is not maintained or problems are identified following initial marketing. 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w:t>
      </w:r>
    </w:p>
    <w:p>
      <w:pPr>
        <w:spacing w:after="0" w:line="76"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In January 2024, the FDA announced its intention to initiate the reclassification process for most in vitro diagnostics, including companion diagnostics. Further, the FDA indicated that in addition to the reclassification process, the FDA will continue taking a risk-based approach in the initial classification of individual in vitro diagnostics to determine whether a new test may be classified into Class II through the de novo classification process. In so doing, the FDA indicated that it may regulate most future companion diagnostics as Class II devices, which would likely entail less onerous development, approval, and postmarket regulatory requirements than what is required for Class III medical devices and in vitro diagnostics that are subject to the PMA pathway.</w:t>
      </w:r>
    </w:p>
    <w:p>
      <w:pPr>
        <w:spacing w:after="0" w:line="74"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Regulation</w:t>
      </w:r>
    </w:p>
    <w:p>
      <w:pPr>
        <w:spacing w:after="0" w:line="10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 Outside of The United States</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addition to regulations in the United States, we are subject to a variety of regulations in other jurisdictions governing, among other things, research and development, clinical trials, testing, manufacturing, safety, efficacy, labeling, packaging, storage, record keeping, distribution, reporting, advertising and other promotional practices involving biological products as well as authorization and approval of our products. Because biologically sourced raw materials are subject to unique contamination risks, their use may be restricted in some countries.</w:t>
      </w:r>
    </w:p>
    <w:p>
      <w:pPr>
        <w:spacing w:after="0" w:line="6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The requirements and process governing the conduct of clinical trials, product licensing, pricing and reimbursement vary from country to country. In all cases, the clinical trials must be conducted in accordance with GCP and the applicable regulatory requirements and the ethical principles that have their origin in the Declaration of Helsinki. 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Clinical Trials Regulation</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an application must be submitted for each clinical trial to each country’s national competent authority (NCA), and at least one independent ethics committee, much like the FDA and an IRB, respectively. Under the Clinical Trials Regulation (EU) No. 536/2014, which replaced the Clinical Trials Directive 2001/20/EC on January 31, 2022, a single application is now made through the Clinical Trials Information System (CTIS) for clinical trial authorization in up to 30 EU/EEA countries at the same time and with a single set of documentation.</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6" w:name="page37"/>
    <w:bookmarkEnd w:id="36"/>
    <w:p>
      <w:pPr>
        <w:ind w:right="180"/>
        <w:spacing w:after="0" w:line="239" w:lineRule="auto"/>
        <w:rPr>
          <w:sz w:val="20"/>
          <w:szCs w:val="20"/>
          <w:color w:val="auto"/>
        </w:rPr>
      </w:pPr>
      <w:r>
        <w:rPr>
          <w:rFonts w:ascii="Arial" w:cs="Arial" w:eastAsia="Arial" w:hAnsi="Arial"/>
          <w:sz w:val="17"/>
          <w:szCs w:val="17"/>
          <w:color w:val="auto"/>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The role of the relevant ethics committees in the assessment procedure continues to be governed by the national law of the concerned EU Member State, however overall related timelines are defined by the Clinical Trials Regulation. The Clinical Trials Regulation also provides for simplified reporting procedures for clinical trial sponsors.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European Union Drug Review and Approval</w:t>
      </w:r>
    </w:p>
    <w:p>
      <w:pPr>
        <w:spacing w:after="0" w:line="102"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In the EU, medicinal products can only be commercialized after obtaining a marketing authorization. To obtain regulatory approval of a medicinal product in the EU, we must submit a marketing authorization application (MAA). A centralized marketing authorization is issued by the European Commission through the centralized procedure, based on the opinion of the Committee for Medicinal Products for Human Use (CHMP) of the EMA, and is valid throughout the EU and the additional Member States of the European Economic Area (Iceland, Liechtenstein and Norway) (the EEA). The centralized procedure is mandatory for certain types of products, such as biotechnology medicinal products, orphan medicinal products, advanced-therapy medicinal products (i.e. gene therapy, somatic cell 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79"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Under the centralized procedure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makes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79" w:lineRule="exact"/>
        <w:rPr>
          <w:sz w:val="20"/>
          <w:szCs w:val="20"/>
          <w:color w:val="auto"/>
        </w:rPr>
      </w:pPr>
    </w:p>
    <w:p>
      <w:pPr>
        <w:jc w:val="both"/>
        <w:ind w:right="80"/>
        <w:spacing w:after="0" w:line="249" w:lineRule="auto"/>
        <w:rPr>
          <w:sz w:val="20"/>
          <w:szCs w:val="20"/>
          <w:color w:val="auto"/>
        </w:rPr>
      </w:pPr>
      <w:r>
        <w:rPr>
          <w:rFonts w:ascii="Arial" w:cs="Arial" w:eastAsia="Arial" w:hAnsi="Arial"/>
          <w:sz w:val="17"/>
          <w:szCs w:val="17"/>
          <w:color w:val="auto"/>
        </w:rPr>
        <w:t>The application used to submit the BLA in the United States is similar to that required in the European Union, although there may be certain specific requirements, for example those set out in Regulation (EC) No 1394/2007 on advanced therapy medicinal products, covering gene therapy, somatic cell therapy and tissue-engineered medicinal products.</w:t>
      </w:r>
    </w:p>
    <w:p>
      <w:pPr>
        <w:spacing w:after="0" w:line="67"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Now that the UK (which comprises Great Britain and Northern Ireland) has left the EU, Great Britain is no longer covered by centralized marketing authorizations (under the Northern Ireland Protocol, centralized marketing authorizations currently continue to be recognized in Northern Ireland). On January 1, 2024, an international recognition framework was put in place by the MHRA, under which the MHRA will have regard to decisions on the approval of marketing authorizations made by the European Medicines Agency and certain other regulators when determining an application for a new Great Britain marketing authorization.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Data and Market Exclusivity</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the EU, upon receiving a marketing authorization, innovative medicinal products approved on the basis of a complete and independent data package qualify for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the additional two-year period of market exclusivity, a generic or biosimilar MAA can be submitted and authorized, and the innovator’s data may be referenced, but no generic or biosimilar product can be placed on the EU market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may market another version of the product if such company obtained a marketing authorization based on an MAA with a complete and independent data package of pharmaceutical tests, preclinical tests and clinical trials.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Orphan Designation and Exclusivity</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Products receiving orphan designation in the EU can receive ten years of market exclusivity, during which time no “similar medicinal product” may be placed on the market. A “similar medicinal product” is defined as a medicinal product containing a similar active substance or substances as contained in an authorized orphan medicinal product, and which is intended for the same therapeutic indication. An orphan medicinal product can also obtain an additional two years of market exclusivity in the EU where an agreed pediatric investigation plan (PIP) for pediatric studies has been complied with. No extension to any supplementary protection certificate (SPC) can be granted on the basis of pediatric studies for orphan indications.</w:t>
      </w:r>
    </w:p>
    <w:p>
      <w:pPr>
        <w:spacing w:after="0" w:line="265"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criteria for designating an “orphan medicinal product” in the EU are similar in principle to those in the United States. Under Article 3 of Regulation (EC) 141/2000, a product may be designated as an orphan medicinal product if it meets the following criteria: (1) it is intended for the diagnosis, prevention or treatment of a life-threatening or chronically debilitating condition; (2) either (a) such condition affects no more than five (5) in ten thousand (10,000) persons in the EU when the application is made, or (b) 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a method exists, the product would be of significant benefit to those affected by that condition, as defined in Regulation (EC) 847/2000. Orphan medicinal products are eligible for financial incentives such as reduction of fees or fee waivers and are, upon the grant of a marketing authorization, entitled to ten years of market exclusivity for the approved therapeutic indication. The application for orphan designation must be submitted before the application for a marketing authorization. The applicant will receive a fee reduction for the MAA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79" w:lineRule="exact"/>
        <w:rPr>
          <w:sz w:val="20"/>
          <w:szCs w:val="20"/>
          <w:color w:val="auto"/>
        </w:rPr>
      </w:pPr>
    </w:p>
    <w:p>
      <w:pPr>
        <w:jc w:val="both"/>
        <w:ind w:right="420"/>
        <w:spacing w:after="0" w:line="249" w:lineRule="auto"/>
        <w:rPr>
          <w:sz w:val="20"/>
          <w:szCs w:val="20"/>
          <w:color w:val="auto"/>
        </w:rPr>
      </w:pPr>
      <w:r>
        <w:rPr>
          <w:rFonts w:ascii="Arial" w:cs="Arial" w:eastAsia="Arial" w:hAnsi="Arial"/>
          <w:sz w:val="17"/>
          <w:szCs w:val="17"/>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a marketing authorization may be granted to a similar medicinal product for the same indication as an authorized orphan product at any time if:</w:t>
      </w:r>
    </w:p>
    <w:p>
      <w:pPr>
        <w:spacing w:after="0" w:line="67" w:lineRule="exact"/>
        <w:rPr>
          <w:sz w:val="20"/>
          <w:szCs w:val="20"/>
          <w:color w:val="auto"/>
        </w:rPr>
      </w:pPr>
    </w:p>
    <w:p>
      <w:pPr>
        <w:ind w:left="760" w:right="100" w:hanging="378"/>
        <w:spacing w:after="0" w:line="266" w:lineRule="auto"/>
        <w:tabs>
          <w:tab w:leader="none" w:pos="76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second applicant can establish that its product, although similar to the authorized orphan product, is safer, more effective or otherwise clinically superior;</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marketing authorization holder of the authorized product consents to a second orphan medicinal product application; or</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marketing authorization holder of the authorized product cannot supply enough orphan medicinal product.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Pediatric Development</w:t>
      </w:r>
    </w:p>
    <w:p>
      <w:pPr>
        <w:spacing w:after="0" w:line="102"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In the EU, companies developing a new medicinal product must agree upon a PIP with the EMA’s pediatric committee (PDCO) and must conduct pediatric clinical trials in accordance with that PIP, unless the EMA has granted a product-specific waiver, a class waiver, or a deferral for one or more of the measures included in the PIP. This requirement also applies when a company wants to add a new indication, pharmaceutical form or route of administration for a medicine that is already authorized. The PIP sets out the timing and measures proposed to generate data to support a pediatric indication of the product for which a marketing authorization is being sought. The MAA for the product must include the results of pediatric clinical trials conducted in accordance with the PIP, unless a waiver applies, or a deferral has been granted by the PDCO of the obligation to implement some or all of the measures of the PIP until there are sufficient data to demonstrate the efficacy and safety of the product in adults, in which case the pediatric clinical trials must be completed at a later date. Products that are granted a marketing authorization with the results of the pediatric clinical trials conducted in accordance with the PIP are eligible for a six month extension of the protection under an SPC (provided an application for such extension is made at the same time as filing the SPC application for the product, or at any point up to 2 years before the SPC expires)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Post-Approval Controls</w:t>
      </w:r>
    </w:p>
    <w:p>
      <w:pPr>
        <w:spacing w:after="0" w:line="102" w:lineRule="exact"/>
        <w:rPr>
          <w:sz w:val="20"/>
          <w:szCs w:val="20"/>
          <w:color w:val="auto"/>
        </w:rPr>
      </w:pPr>
    </w:p>
    <w:p>
      <w:pPr>
        <w:ind w:right="320"/>
        <w:spacing w:after="0" w:line="267" w:lineRule="auto"/>
        <w:rPr>
          <w:sz w:val="20"/>
          <w:szCs w:val="20"/>
          <w:color w:val="auto"/>
        </w:rPr>
      </w:pPr>
      <w:r>
        <w:rPr>
          <w:rFonts w:ascii="Arial" w:cs="Arial" w:eastAsia="Arial" w:hAnsi="Arial"/>
          <w:sz w:val="17"/>
          <w:szCs w:val="17"/>
          <w:color w:val="auto"/>
        </w:rPr>
        <w:t>Following approval, the holder of the marketing authorization is required to comply with a range of requirements applicable to the manufacturing, marketing, promotion and sale of the medicinal product. These include the following:</w:t>
      </w:r>
    </w:p>
    <w:p>
      <w:pPr>
        <w:spacing w:after="0" w:line="51" w:lineRule="exact"/>
        <w:rPr>
          <w:sz w:val="20"/>
          <w:szCs w:val="20"/>
          <w:color w:val="auto"/>
        </w:rPr>
      </w:pPr>
    </w:p>
    <w:p>
      <w:pPr>
        <w:ind w:left="760" w:right="260" w:hanging="378"/>
        <w:spacing w:after="0" w:line="249" w:lineRule="auto"/>
        <w:tabs>
          <w:tab w:leader="none" w:pos="7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8" w:name="page39"/>
    <w:bookmarkEnd w:id="38"/>
    <w:p>
      <w:pPr>
        <w:ind w:left="760" w:right="60" w:hanging="378"/>
        <w:spacing w:after="0"/>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All new MAAs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74" w:lineRule="exact"/>
        <w:rPr>
          <w:rFonts w:ascii="Times New Roman" w:cs="Times New Roman" w:eastAsia="Times New Roman" w:hAnsi="Times New Roman"/>
          <w:sz w:val="17"/>
          <w:szCs w:val="17"/>
          <w:color w:val="auto"/>
        </w:rPr>
      </w:pPr>
    </w:p>
    <w:p>
      <w:pPr>
        <w:ind w:left="760" w:right="80" w:hanging="378"/>
        <w:spacing w:after="0" w:line="243" w:lineRule="auto"/>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All advertising and promotional activities for the product must be consistent with the approved summary of product characteristics (SmPC)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EU Member State and can differ from one country to another.</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The aforementioned EU rules are generally applicable in the EEA.</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Reform of the Regulatory Framework in the European Union</w:t>
      </w:r>
    </w:p>
    <w:p>
      <w:pPr>
        <w:spacing w:after="0" w:line="10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In October 2023, the European Parliament published draft reports proposing amendments to the legislative proposals, which will be debated by the European Parliament. Once the European Commission’s legislative proposals are approved (with or without amendment), they will be adopted into EU law.</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Brexit and the Regulatory Framework in the United Kingdom</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UK formally left the EU on January 31, 2020, and the UK and the EU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currently continues to apply in Northern Ireland). Except in respect of the EU Clinical Trials Regulation, the regulatory regime in Great Britain therefore largely aligns with current EU medicines regulations, however it is possible that these regimes will diverge more significantly in future now that Great Britain’s regulatory system is independent from the EU and the TCA does not provide for mutual recognition of UK and EU pharmaceutical legislation. However, notwithstanding that there is no wholesale recognition of EU pharmaceutical legislation under the TCA, under a new international recognition framework mentioned above which was put in place by the MHRA on January 1, 2024, the MHRA may take into account decisions on the approval of marketing authorizations from the EMA (and certain other regulators) when considering an application for a Great Britain marketing authorization.</w:t>
      </w:r>
    </w:p>
    <w:p>
      <w:pPr>
        <w:spacing w:after="0" w:line="7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Health Reform</w:t>
      </w:r>
    </w:p>
    <w:p>
      <w:pPr>
        <w:spacing w:after="0" w:line="102" w:lineRule="exact"/>
        <w:rPr>
          <w:sz w:val="20"/>
          <w:szCs w:val="20"/>
          <w:color w:val="auto"/>
        </w:rPr>
      </w:pPr>
    </w:p>
    <w:p>
      <w:pPr>
        <w:ind w:right="220"/>
        <w:spacing w:after="0" w:line="237"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2010, the ACA was passed, which substantially changed the way healthcare is financed by both governmental and private insurers, and continues to significantly impact the U.S. pharmaceutical industry. The ACA, among other things, subjects biological products to potential competition by lower-cost biosimilars, increases the minimum Medicaid rebates owed by manufacturers under the Medicaid Drug Rebate Program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point-of-sale discounts off negotiated prices of applicable brand drugs to eligible beneficiaries during their coverage gap period, as a condition to coverage under Medicare Part D for the manufacturer’s outpatient drugs.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t>Other legislative changes have been proposed and adopted in the United States since the ACA was enacted:</w:t>
      </w:r>
    </w:p>
    <w:p>
      <w:pPr>
        <w:spacing w:after="0" w:line="102" w:lineRule="exact"/>
        <w:rPr>
          <w:sz w:val="20"/>
          <w:szCs w:val="20"/>
          <w:color w:val="auto"/>
        </w:rPr>
      </w:pPr>
    </w:p>
    <w:p>
      <w:pPr>
        <w:ind w:left="760" w:right="300" w:hanging="378"/>
        <w:spacing w:after="0" w:line="249" w:lineRule="auto"/>
        <w:tabs>
          <w:tab w:leader="none" w:pos="7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Budget Control Act of 2011, among other things, created measures for spending reductions by Congress. This includes aggregate reductions of Medicare payments to providers of 2% per fiscal year. Subsequent legislation extended the 2% payment reduction which remains in effect through 2031.</w:t>
      </w:r>
    </w:p>
    <w:p>
      <w:pPr>
        <w:spacing w:after="0" w:line="65" w:lineRule="exact"/>
        <w:rPr>
          <w:rFonts w:ascii="Times New Roman" w:cs="Times New Roman" w:eastAsia="Times New Roman" w:hAnsi="Times New Roman"/>
          <w:sz w:val="17"/>
          <w:szCs w:val="17"/>
          <w:color w:val="auto"/>
        </w:rPr>
      </w:pPr>
    </w:p>
    <w:p>
      <w:pPr>
        <w:ind w:left="760" w:hanging="378"/>
        <w:spacing w:after="0" w:line="243" w:lineRule="auto"/>
        <w:tabs>
          <w:tab w:leader="none" w:pos="7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American Taxpayer Relief Act further reduced Medicare payments to several types of providers and increased the statute of limitations period for the government to recover overpayments to providers from three to five years.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71" w:lineRule="exact"/>
        <w:rPr>
          <w:rFonts w:ascii="Times New Roman" w:cs="Times New Roman" w:eastAsia="Times New Roman" w:hAnsi="Times New Roman"/>
          <w:sz w:val="17"/>
          <w:szCs w:val="17"/>
          <w:color w:val="auto"/>
        </w:rPr>
      </w:pPr>
    </w:p>
    <w:p>
      <w:pPr>
        <w:ind w:left="760" w:right="40" w:hanging="378"/>
        <w:spacing w:after="0" w:line="249" w:lineRule="auto"/>
        <w:tabs>
          <w:tab w:leader="none" w:pos="7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On April 13, 2017, the Centers for Medicare &amp; Medicaid Services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65" w:lineRule="exact"/>
        <w:rPr>
          <w:rFonts w:ascii="Times New Roman" w:cs="Times New Roman" w:eastAsia="Times New Roman" w:hAnsi="Times New Roman"/>
          <w:sz w:val="17"/>
          <w:szCs w:val="17"/>
          <w:color w:val="auto"/>
        </w:rPr>
      </w:pPr>
    </w:p>
    <w:p>
      <w:pPr>
        <w:ind w:left="760" w:right="60" w:hanging="378"/>
        <w:spacing w:after="0"/>
        <w:tabs>
          <w:tab w:leader="none" w:pos="7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4" w:lineRule="exact"/>
        <w:rPr>
          <w:rFonts w:ascii="Times New Roman" w:cs="Times New Roman" w:eastAsia="Times New Roman" w:hAnsi="Times New Roman"/>
          <w:sz w:val="17"/>
          <w:szCs w:val="17"/>
          <w:color w:val="auto"/>
        </w:rPr>
      </w:pPr>
    </w:p>
    <w:p>
      <w:pPr>
        <w:ind w:left="760" w:right="720" w:hanging="378"/>
        <w:spacing w:after="0" w:line="266" w:lineRule="auto"/>
        <w:tabs>
          <w:tab w:leader="none" w:pos="7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On May 23, 2019, CMS published a final rule to allow Medicare Advantage Plans the option of using step therapy for Part B drugs beginning January 1, 2020.</w:t>
      </w:r>
    </w:p>
    <w:p>
      <w:pPr>
        <w:spacing w:after="0" w:line="52"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which could limit the amounts that federal and state governments will pay for healthcare products and services and result in reduced demand for certain pharmaceutical products or additional pricing pressures. The Inflation Reduction Act of 2022, or IRA, includes several provisions that may impact our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7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presidential executive orders,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69"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President Biden has also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74"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drugs or put pressure on our drug pricing, which could negatively affect our business, financial condition, results of operations and prospects.</w:t>
      </w:r>
    </w:p>
    <w:p>
      <w:pPr>
        <w:spacing w:after="0" w:line="102"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Coverage and Reimbursement</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Coverage and reimbursement by a third-party payor may depend upon several factors, including the third-party payor’s determination that use of a product is:</w:t>
      </w:r>
    </w:p>
    <w:p>
      <w:pPr>
        <w:spacing w:after="0" w:line="79"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a covered benefit under its health plan;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safe, effective and medically necessary;</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appropriate for the specific patient;</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cost-effective;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neither experimental nor investigational.</w:t>
      </w:r>
    </w:p>
    <w:p>
      <w:pPr>
        <w:spacing w:after="0" w:line="114"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Third-party payors may limit coverage to specific products on an approved list, also known as a formulary, which might not include all of the approved products for a particular indication.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7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79"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1" w:name="page42"/>
    <w:bookmarkEnd w:id="41"/>
    <w:p>
      <w:pPr>
        <w:jc w:val="both"/>
        <w:ind w:right="500"/>
        <w:spacing w:after="0" w:line="249" w:lineRule="auto"/>
        <w:rPr>
          <w:sz w:val="20"/>
          <w:szCs w:val="20"/>
          <w:color w:val="auto"/>
        </w:rPr>
      </w:pPr>
      <w:r>
        <w:rPr>
          <w:rFonts w:ascii="Arial" w:cs="Arial" w:eastAsia="Arial" w:hAnsi="Arial"/>
          <w:sz w:val="17"/>
          <w:szCs w:val="17"/>
          <w:color w:val="auto"/>
        </w:rPr>
        <w:t>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67"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United States and generally prices tend to be significantly lower.</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Healthcare Laws and Compliance Requirements</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7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that includes items or services resulting from a violation of the federal Anti-Kickback Statute constitutes a false or fraudulent claim for purposes of the civil False Claims Act.</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federal civil and criminal false claims laws, including the civil False Claims Act (FCA)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79"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The federal civil monetary penalties laws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67"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Health Insurance Portability and Accountability Act of 1996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 federal Anti-Kickback Statute, a person or entity may be found guilty of violating HIPAA without actual knowledge of the statute or specific intent to violate it.</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2" w:name="page43"/>
    <w:bookmarkEnd w:id="42"/>
    <w:p>
      <w:pPr>
        <w:spacing w:after="0" w:line="239" w:lineRule="auto"/>
        <w:rPr>
          <w:sz w:val="20"/>
          <w:szCs w:val="20"/>
          <w:color w:val="auto"/>
        </w:rPr>
      </w:pPr>
      <w:r>
        <w:rPr>
          <w:rFonts w:ascii="Arial" w:cs="Arial" w:eastAsia="Arial" w:hAnsi="Arial"/>
          <w:sz w:val="17"/>
          <w:szCs w:val="17"/>
          <w:color w:val="auto"/>
        </w:rPr>
        <w:t>HIPAA, as amended by the Health Information Technology for Economic and Clinical Health Act of 2009 (HITECH), and their respective implementing regulations, impose, among other things, specified requirements on covered entities and their respective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74"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 Physician Payments Sunshine Act, enacted as part of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(currently defined to include doctors, dentists, optometrists, podiatrists and chiropractors), certain other licensed health care practitioners and teaching hospitals, as well as ownership and investment interests held by physicians and their immediate family members.</w:t>
      </w:r>
    </w:p>
    <w:p>
      <w:pPr>
        <w:spacing w:after="0" w:line="7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There are ambiguities as to what is required to comply with these state requirements and if we fail to comply with an applicable state law requirement we could be subject to penalties.</w:t>
      </w:r>
    </w:p>
    <w:p>
      <w:pPr>
        <w:spacing w:after="0" w:line="79"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b w:val="1"/>
          <w:bCs w:val="1"/>
          <w:color w:val="auto"/>
        </w:rPr>
        <w:t>Federal Consumer Protection and Unfair Competition Laws Broadly Regulate Marketplace Activities and Activities That Potentially Harm Consumers.</w:t>
      </w:r>
    </w:p>
    <w:p>
      <w:pPr>
        <w:spacing w:after="0" w:line="30"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Analogous state and foreign laws and regulations, including, but not limited to, state anti-kickback and false claims laws,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healthcare providers; restrict marketing practices or require disclosure of marketing expenditures and pricing information. State and foreign laws may govern the privacy and security of health information in some circumstances. These data privacy and security laws may differ from each other in significant ways and often are not pre-empted by HIPAA, which may complicate compliance efforts.</w:t>
      </w:r>
    </w:p>
    <w:p>
      <w:pPr>
        <w:spacing w:after="0" w:line="7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are found to not be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its business.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 and Human Capital Resources</w:t>
      </w:r>
    </w:p>
    <w:p>
      <w:pPr>
        <w:spacing w:after="0" w:line="10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As of December 31, 2023, we had 42 employees. Of these employees, 31 perform research and development functions. None of our employees are represented by a labor union and we believe we maintain good relations with our employees.</w:t>
      </w:r>
    </w:p>
    <w:p>
      <w:pPr>
        <w:spacing w:after="0" w:line="51"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and cash</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43" w:name="page44"/>
    <w:bookmarkEnd w:id="43"/>
    <w:p>
      <w:pPr>
        <w:jc w:val="both"/>
        <w:ind w:right="280"/>
        <w:spacing w:after="0" w:line="249" w:lineRule="auto"/>
        <w:rPr>
          <w:sz w:val="20"/>
          <w:szCs w:val="20"/>
          <w:color w:val="auto"/>
        </w:rPr>
      </w:pPr>
      <w:r>
        <w:rPr>
          <w:rFonts w:ascii="Arial" w:cs="Arial" w:eastAsia="Arial" w:hAnsi="Arial"/>
          <w:sz w:val="17"/>
          <w:szCs w:val="17"/>
          <w:color w:val="auto"/>
        </w:rPr>
        <w:t>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0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From time to time, we may become involved in litigation or other legal proceedings. On December 15, 2022, Periphagen notified us by letter of its claim that we have failed to use commercially reasonable efforts to complete a human proof of concept clinical trial of an NT-3 Asset under an Exclusive License Agreement dated December 9, 2019 between us and Periphagen (the Periphagen License Agreement). On January 13, 2023, we filed a demand for arbitration against Periphagen with the American Arbitration Association, seeking a declaration that Periphagen’s December 15 letter failed to comply with the dispute and escalation provisions in the Periphagen License Agreement. On March 10, 2023, Periphagen filed its answer and counterclaims to our demand for arbitration. In its counterclaims, Periphagen sought a declaration that we have not used commercially reasonable efforts to complete a human proof of concept clinical trial of the NT-3 Asset and a declaration that any further extension of time would not be scientifically or commercially reasonable. We denied Periphagen’s counterclaims.</w:t>
      </w:r>
    </w:p>
    <w:p>
      <w:pPr>
        <w:spacing w:after="0" w:line="76"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On June 7, 2023, the parties entered into an amendment to the Exclusive License Agreement that resolved the dispute and resulted in termination of the arbitration.</w:t>
      </w:r>
    </w:p>
    <w:p>
      <w:pPr>
        <w:spacing w:after="0" w:line="13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Aside from the proceeding with Periphagen,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were incorporated in Delaware in June 2003. On November 30, 2020, the Company changed its name to Candel Therapeutics, Inc. Our principal executive offices are located at 117 Kendrick Street, Suite 450, Needham, Massachusetts 02494. Our telephone number is (617) 916-5445 and our e-mail address is investors@candeltx.com. Our Internet website address is www.candeltx.com. Our Annual Reports on Form 10-K, Quarterly Reports on Form 10-Q, Current Reports on Form 8-K, including exhibits, proxy and information statements and amendments to those reports filed or furnished pursuant to Sections 13(a), 14, and 15(d) of the Securities Exchange Act of 1934, as amended (the Exchange Act), are available through the “Investors” portion of our website free of charge as soon as reasonably practicable after we electronically file such material with, or furnish it to, the Securities and Exchange Commission (SEC). Information on our website is not part of this Annual Report on Form 10-K or any of our other securities filings unless specifically incorporated herein by reference. In addition, our filings with the SEC may be accessed through the SEC’s Interactive Data Electronic Applications system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73" w:lineRule="exact"/>
        <w:rPr>
          <w:sz w:val="20"/>
          <w:szCs w:val="20"/>
          <w:color w:val="auto"/>
        </w:rPr>
      </w:pPr>
    </w:p>
    <w:p>
      <w:pPr>
        <w:ind w:right="400"/>
        <w:spacing w:after="0" w:line="267" w:lineRule="auto"/>
        <w:rPr>
          <w:sz w:val="20"/>
          <w:szCs w:val="20"/>
          <w:color w:val="auto"/>
        </w:rPr>
      </w:pPr>
      <w:r>
        <w:rPr>
          <w:rFonts w:ascii="Arial" w:cs="Arial" w:eastAsia="Arial" w:hAnsi="Arial"/>
          <w:sz w:val="17"/>
          <w:szCs w:val="17"/>
          <w:color w:val="auto"/>
        </w:rPr>
        <w:t>Our code of conduct, corporate governance guidelines and the charters of our Audit Committee, Compensation Committee and Nominating and Corporate Governance Committee are available through the “Corporate Governance” portion of our website.</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Item 1A. Risk Factors.</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Annual Report on Form 10-K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“Forward-Looking Statements” for a discussion of some of the forward-looking statements that are qualified by these risk factors. Factors that could cause or contribute to such differences include those factors discussed below.</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Financial Position and Capital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biopharmaceutical company with a limited operating history and have not generated any revenue to date from product sales.</w:t>
      </w:r>
    </w:p>
    <w:p>
      <w:pPr>
        <w:spacing w:after="0" w:line="102"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Biopharmaceutical product development is a highly speculative undertaking and involves a substantial degree of risk. We were incorporated under the laws of the State of Delaware in June 2003. Since inception, we have focused substantially all of our efforts and financial resources on raising capital and developing our initial product candidates. To date, we have financed our operations primarily through the issuance and sale of our convertible preferred stock to outside investors in private equity financings and from the proceeds of the initial public offering of our common stock (the IPO). From our inception through December 31, 2023, we raised an aggregate of $145.2 million of gross proceeds from such transactions. In addition, in February 2022, we borrowed $20.0 million under the Loan Agreement with SVB. As of December 31, 2023, our cash and cash equivalents were $35.4 million. We have incurred net losses in each year since our inception, and we had an accumulated deficit of $137.0 million as of December 31, 2023. For the years ended December 31, 2023 and 2022, we reported net losses of $37.9 million and $18.8 million, respectively. We have no products approved for commercial sale and therefore have never generated any revenue from product sales, and we do not expect to do so in the foreseeable future. We have not obtained regulatory approvals for any of our product candidates, and even if our clinical development efforts result in positive data, our product candidates may not receive regulatory approval or be successfully introduced and marketed at prices that would permit us to operate profitably.</w:t>
      </w:r>
    </w:p>
    <w:p>
      <w:pPr>
        <w:spacing w:after="0" w:line="7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expect to continue to incur significant expenses and operating losses over the next several years and for the foreseeable future. Our prior losses, combined with expected future losses, have had and will continue to have an adverse effect on our stockholders’ equity and working capital.</w:t>
      </w:r>
    </w:p>
    <w:p>
      <w:pPr>
        <w:spacing w:after="0" w:line="51"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b w:val="1"/>
          <w:bCs w:val="1"/>
          <w:i w:val="1"/>
          <w:iCs w:val="1"/>
          <w:color w:val="auto"/>
        </w:rPr>
        <w:t>We have incurred significant operating losses since our inception and anticipate that we will incur continued losses for the foreseeable future.</w:t>
      </w:r>
    </w:p>
    <w:p>
      <w:pPr>
        <w:spacing w:after="0" w:line="30"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Substantially all of our operating losses have resulted from costs incurred in connection with our research and development programs and from general and administrative costs associated with our operations. We expect our research and development expenses to significantly increase in connection with the commencement and continuation of clinical trials of our product candidates. In addition, if we obtain marketing approval for our product candidates, we will incur significant sales, marketing and manufacturing expenses. We are incurring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76" w:lineRule="exact"/>
        <w:rPr>
          <w:sz w:val="20"/>
          <w:szCs w:val="20"/>
          <w:color w:val="auto"/>
        </w:rPr>
      </w:pPr>
    </w:p>
    <w:p>
      <w:pPr>
        <w:ind w:right="660"/>
        <w:spacing w:after="0" w:line="267" w:lineRule="auto"/>
        <w:rPr>
          <w:sz w:val="20"/>
          <w:szCs w:val="20"/>
          <w:color w:val="auto"/>
        </w:rPr>
      </w:pPr>
      <w:r>
        <w:rPr>
          <w:rFonts w:ascii="Arial" w:cs="Arial" w:eastAsia="Arial" w:hAnsi="Arial"/>
          <w:sz w:val="17"/>
          <w:szCs w:val="17"/>
          <w:color w:val="auto"/>
        </w:rPr>
        <w:t>The amount of our future losses is uncertain, and our quarterly and annual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left="760" w:right="60" w:hanging="378"/>
        <w:spacing w:after="0" w:line="266" w:lineRule="auto"/>
        <w:tabs>
          <w:tab w:leader="none" w:pos="76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Our quarterly and annual operating results may fluctuate significantly in the future due to a variety of factors, many of which are outside of our control and may be difficult to predict, including the following:</w:t>
      </w:r>
    </w:p>
    <w:p>
      <w:pPr>
        <w:spacing w:after="0" w:line="51" w:lineRule="exact"/>
        <w:rPr>
          <w:rFonts w:ascii="Times New Roman" w:cs="Times New Roman" w:eastAsia="Times New Roman" w:hAnsi="Times New Roman"/>
          <w:sz w:val="17"/>
          <w:szCs w:val="17"/>
          <w:color w:val="auto"/>
        </w:rPr>
      </w:pPr>
    </w:p>
    <w:p>
      <w:pPr>
        <w:ind w:left="760" w:right="200" w:hanging="378"/>
        <w:spacing w:after="0" w:line="266" w:lineRule="auto"/>
        <w:tabs>
          <w:tab w:leader="none" w:pos="76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enroll and retain subjects for clinical trials, and any delays caused by difficulties in such efforts;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marketing approval for our product candidates, and the timing and scope of any such approvals we may receive;</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45" w:name="page46"/>
    <w:bookmarkEnd w:id="45"/>
    <w:p>
      <w:pPr>
        <w:ind w:left="760" w:hanging="378"/>
        <w:spacing w:after="0"/>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changing and volatile U.S. and global economic environments, including as a result of any future public health crisis;</w:t>
      </w:r>
    </w:p>
    <w:p>
      <w:pPr>
        <w:spacing w:after="0" w:line="114" w:lineRule="exact"/>
        <w:rPr>
          <w:rFonts w:ascii="Times New Roman" w:cs="Times New Roman" w:eastAsia="Times New Roman" w:hAnsi="Times New Roman"/>
          <w:sz w:val="17"/>
          <w:szCs w:val="17"/>
          <w:color w:val="auto"/>
        </w:rPr>
      </w:pPr>
    </w:p>
    <w:p>
      <w:pPr>
        <w:ind w:left="760" w:right="540" w:hanging="378"/>
        <w:spacing w:after="0" w:line="266" w:lineRule="auto"/>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cost of, and level of investment in, research and development activities relating to our product candidates, which may change from time to time;</w:t>
      </w:r>
    </w:p>
    <w:p>
      <w:pPr>
        <w:spacing w:after="0" w:line="51" w:lineRule="exact"/>
        <w:rPr>
          <w:rFonts w:ascii="Times New Roman" w:cs="Times New Roman" w:eastAsia="Times New Roman" w:hAnsi="Times New Roman"/>
          <w:sz w:val="17"/>
          <w:szCs w:val="17"/>
          <w:color w:val="auto"/>
        </w:rPr>
      </w:pPr>
    </w:p>
    <w:p>
      <w:pPr>
        <w:jc w:val="both"/>
        <w:ind w:left="760" w:right="120" w:hanging="378"/>
        <w:spacing w:after="0" w:line="266" w:lineRule="auto"/>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manufacturing our product candidates, which may vary depending on the quantity of production, and the success of achieving clinical-scale manufacturing operations in our new facility or through CDMOs and commercial manufacturing at third-party manufacturers;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attract, hire and retain qualified personnel;</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expenditures that we will or may incur to develop additional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demand for our product candidates should they receive approval, which may vary significantly;</w:t>
      </w:r>
    </w:p>
    <w:p>
      <w:pPr>
        <w:spacing w:after="0" w:line="114" w:lineRule="exact"/>
        <w:rPr>
          <w:rFonts w:ascii="Times New Roman" w:cs="Times New Roman" w:eastAsia="Times New Roman" w:hAnsi="Times New Roman"/>
          <w:sz w:val="17"/>
          <w:szCs w:val="17"/>
          <w:color w:val="auto"/>
        </w:rPr>
      </w:pPr>
    </w:p>
    <w:p>
      <w:pPr>
        <w:ind w:left="760" w:right="400" w:hanging="378"/>
        <w:spacing w:after="0" w:line="266" w:lineRule="auto"/>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risk/benefit profile, cost and reimbursement policies with respect to our product candidates, if approved, and existing and potential future therapeutics that compete with our product candidates; and</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future accounting pronouncements or changes in our accounting policies.</w:t>
      </w:r>
    </w:p>
    <w:p>
      <w:pPr>
        <w:spacing w:after="0" w:line="11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products approved for commercial sale and have not generated any revenue from product sales.</w:t>
      </w:r>
    </w:p>
    <w:p>
      <w:pPr>
        <w:spacing w:after="0" w:line="10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Our ability to become profitable depends upon our ability to generate revenue. To date, we have not generated any revenue from our product candidates, and we do not expect to generate any revenue from the sale of products in the near future. We do not expect to generate significant revenue unless and until we obtain marketing approval of, and begin to sell, one or more of our product candidates. Our ability to generate revenue depends on a number of factors, including, but not limited to, our ability to:</w:t>
      </w:r>
    </w:p>
    <w:p>
      <w:pPr>
        <w:spacing w:after="0" w:line="69"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successfully complete our ongoing and planned preclinical studies and clinical trials for our viral immunotherapy programs;</w:t>
      </w:r>
    </w:p>
    <w:p>
      <w:pPr>
        <w:spacing w:after="0" w:line="114" w:lineRule="exact"/>
        <w:rPr>
          <w:rFonts w:ascii="Times New Roman" w:cs="Times New Roman" w:eastAsia="Times New Roman" w:hAnsi="Times New Roman"/>
          <w:sz w:val="17"/>
          <w:szCs w:val="17"/>
          <w:color w:val="auto"/>
        </w:rPr>
      </w:pPr>
    </w:p>
    <w:p>
      <w:pPr>
        <w:ind w:left="760" w:right="140" w:hanging="378"/>
        <w:spacing w:after="0" w:line="266" w:lineRule="auto"/>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timely file and receive acceptance of our Investigational New Drug applications (INDs), in order to commence our planned clinical trials or future clinical trials;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successfully enroll subjects in, and complete, clinical trials for our viral immunotherapy programs;</w:t>
      </w:r>
    </w:p>
    <w:p>
      <w:pPr>
        <w:spacing w:after="0" w:line="114" w:lineRule="exact"/>
        <w:rPr>
          <w:rFonts w:ascii="Times New Roman" w:cs="Times New Roman" w:eastAsia="Times New Roman" w:hAnsi="Times New Roman"/>
          <w:sz w:val="17"/>
          <w:szCs w:val="17"/>
          <w:color w:val="auto"/>
        </w:rPr>
      </w:pPr>
    </w:p>
    <w:p>
      <w:pPr>
        <w:ind w:left="760" w:right="560" w:hanging="378"/>
        <w:spacing w:after="0" w:line="266" w:lineRule="auto"/>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timely file marketing applications and receive regulatory approvals for our product candidates from the FDA and comparable foreign regulatory authorities;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initiate and successfully complete all safety studies required to obtain U.S. and foreign marketing approval for our product candidates;</w:t>
      </w:r>
    </w:p>
    <w:p>
      <w:pPr>
        <w:spacing w:after="0" w:line="114" w:lineRule="exact"/>
        <w:rPr>
          <w:rFonts w:ascii="Times New Roman" w:cs="Times New Roman" w:eastAsia="Times New Roman" w:hAnsi="Times New Roman"/>
          <w:sz w:val="17"/>
          <w:szCs w:val="17"/>
          <w:color w:val="auto"/>
        </w:rPr>
      </w:pPr>
    </w:p>
    <w:p>
      <w:pPr>
        <w:ind w:left="760" w:right="1180" w:hanging="378"/>
        <w:spacing w:after="0" w:line="266" w:lineRule="auto"/>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establish clinical supply capabilities through arrangements with third-party manufacturers for clinical supply and commercial manufacturing;</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patent and trade secret protection or regulatory exclusivity for our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launch commercial sales of our product candidates, if and when approved, whether alone or in collaboration with others;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maintain a continued acceptable safety profile of the product candidates following approval;</w:t>
      </w:r>
    </w:p>
    <w:p>
      <w:pPr>
        <w:spacing w:after="0" w:line="114" w:lineRule="exact"/>
        <w:rPr>
          <w:rFonts w:ascii="Times New Roman" w:cs="Times New Roman" w:eastAsia="Times New Roman" w:hAnsi="Times New Roman"/>
          <w:sz w:val="17"/>
          <w:szCs w:val="17"/>
          <w:color w:val="auto"/>
        </w:rPr>
      </w:pPr>
    </w:p>
    <w:p>
      <w:pPr>
        <w:ind w:left="760" w:right="460" w:hanging="378"/>
        <w:spacing w:after="0" w:line="266" w:lineRule="auto"/>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acceptance of the product candidates, if and when approved, by patients, the medical community and third-party payors;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position our products to effectively compete with other therapies;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favorable coverage and adequate reimbursement by third-party payors for our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enforce and defend intellectual property rights and claims with respect to our product candidates; and</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6" w:name="page47"/>
    <w:bookmarkEnd w:id="46"/>
    <w:p>
      <w:pPr>
        <w:ind w:left="760" w:hanging="378"/>
        <w:spacing w:after="0"/>
        <w:tabs>
          <w:tab w:leader="none" w:pos="76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hire additional staff, including clinical, scientific and management personnel.</w:t>
      </w:r>
    </w:p>
    <w:p>
      <w:pPr>
        <w:spacing w:after="0" w:line="114"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67"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There is substantial doubt regarding our ability to continue as a going concern. We will need to raise substantial additional funding, which may not be available on acceptable terms, or at all. If we are unable to raise capital when needed, we would be forced to delay, reduce or eliminate some of our product development programs or commercialization efforts.</w:t>
      </w:r>
    </w:p>
    <w:p>
      <w:pPr>
        <w:spacing w:after="0" w:line="4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development of pharmaceutical products is capital-intensive. We are currently advancing our product candidates through clinical development across a number of potential indications. We expect our expenses to significantly increase in connection with our ongoing activities, particularly as we continue our ongoing clinical trials or initiate future trials and pursue the research and development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 expand more rapidly than we presently anticipate. Furthermore, we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 and may be unable to expand our operations or otherwise capitalize on our business opportunities, as desired, which could materially affect our business, financial condition and results of operations.</w:t>
      </w:r>
    </w:p>
    <w:p>
      <w:pPr>
        <w:spacing w:after="0" w:line="73"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We expect that our existing cash and cash equivalents will be sufficient to fund our current operating plan into the fourth quarter of 2024. However, our future capital requirements will depend on and could increase significantly as a result of many factors, including:</w:t>
      </w:r>
    </w:p>
    <w:p>
      <w:pPr>
        <w:spacing w:after="0" w:line="51" w:lineRule="exact"/>
        <w:rPr>
          <w:sz w:val="20"/>
          <w:szCs w:val="20"/>
          <w:color w:val="auto"/>
        </w:rPr>
      </w:pPr>
    </w:p>
    <w:p>
      <w:pPr>
        <w:ind w:left="760" w:right="360" w:hanging="378"/>
        <w:spacing w:after="0" w:line="266" w:lineRule="auto"/>
        <w:tabs>
          <w:tab w:leader="none" w:pos="7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progress, results and costs of product discovery, preclinical and clinical development, laboratory testing, manufacturing and clinical trials for the development of CAN-2409, CAN-3110, or our other potential product candidates;</w:t>
      </w:r>
    </w:p>
    <w:p>
      <w:pPr>
        <w:spacing w:after="0" w:line="51" w:lineRule="exact"/>
        <w:rPr>
          <w:rFonts w:ascii="Times New Roman" w:cs="Times New Roman" w:eastAsia="Times New Roman" w:hAnsi="Times New Roman"/>
          <w:sz w:val="17"/>
          <w:szCs w:val="17"/>
          <w:color w:val="auto"/>
        </w:rPr>
      </w:pPr>
    </w:p>
    <w:p>
      <w:pPr>
        <w:ind w:left="760" w:right="100" w:hanging="378"/>
        <w:spacing w:after="0" w:line="249" w:lineRule="auto"/>
        <w:tabs>
          <w:tab w:leader="none" w:pos="7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and the costs involved in, obtaining marketing approvals for CAN-2409 in newly diagnosed localized prostate cancer, NSCLC, and borderline resectable pancreatic cancer as well as for CAN-3110 in our initial target indication of recurrent high-grade glioma (HGG) and our other potential product candidates that we may develop;</w:t>
      </w:r>
    </w:p>
    <w:p>
      <w:pPr>
        <w:spacing w:after="0" w:line="65" w:lineRule="exact"/>
        <w:rPr>
          <w:rFonts w:ascii="Times New Roman" w:cs="Times New Roman" w:eastAsia="Times New Roman" w:hAnsi="Times New Roman"/>
          <w:sz w:val="17"/>
          <w:szCs w:val="17"/>
          <w:color w:val="auto"/>
        </w:rPr>
      </w:pPr>
    </w:p>
    <w:p>
      <w:pPr>
        <w:ind w:left="760" w:right="40" w:hanging="378"/>
        <w:spacing w:after="0" w:line="249" w:lineRule="auto"/>
        <w:tabs>
          <w:tab w:leader="none" w:pos="7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if approved, the costs of commercialization activities for CAN-2409 or CAN-3110 for any approved indications or any other product candidate that receives regulatory approval to the extent such costs are not the responsibility of a collaborator that we may contract with in the future, including the costs and timing of establishing product sales, marketing, distribution and manufacturing capabilities;</w:t>
      </w:r>
    </w:p>
    <w:p>
      <w:pPr>
        <w:spacing w:after="0" w:line="65"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prioritization and number of our research and development programs;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our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additional collaborations on favorable terms, if at all;</w:t>
      </w:r>
    </w:p>
    <w:p>
      <w:pPr>
        <w:spacing w:after="0" w:line="114" w:lineRule="exact"/>
        <w:rPr>
          <w:rFonts w:ascii="Times New Roman" w:cs="Times New Roman" w:eastAsia="Times New Roman" w:hAnsi="Times New Roman"/>
          <w:sz w:val="17"/>
          <w:szCs w:val="17"/>
          <w:color w:val="auto"/>
        </w:rPr>
      </w:pPr>
    </w:p>
    <w:p>
      <w:pPr>
        <w:ind w:left="760" w:right="140" w:hanging="378"/>
        <w:spacing w:after="0" w:line="266" w:lineRule="auto"/>
        <w:tabs>
          <w:tab w:leader="none" w:pos="7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achievement of milestones or occurrence of other developments that trigger payments under any additional collaboration agreements we may enter into;</w:t>
      </w:r>
    </w:p>
    <w:p>
      <w:pPr>
        <w:spacing w:after="0" w:line="51" w:lineRule="exact"/>
        <w:rPr>
          <w:rFonts w:ascii="Times New Roman" w:cs="Times New Roman" w:eastAsia="Times New Roman" w:hAnsi="Times New Roman"/>
          <w:sz w:val="17"/>
          <w:szCs w:val="17"/>
          <w:color w:val="auto"/>
        </w:rPr>
      </w:pPr>
    </w:p>
    <w:p>
      <w:pPr>
        <w:ind w:left="760" w:right="980" w:hanging="378"/>
        <w:spacing w:after="0" w:line="266" w:lineRule="auto"/>
        <w:tabs>
          <w:tab w:leader="none" w:pos="7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are obligated to reimburse, or entitled to reimbursement of, clinical trial costs under future collaboration agreements, if any;</w:t>
      </w:r>
    </w:p>
    <w:p>
      <w:pPr>
        <w:spacing w:after="0" w:line="51" w:lineRule="exact"/>
        <w:rPr>
          <w:rFonts w:ascii="Times New Roman" w:cs="Times New Roman" w:eastAsia="Times New Roman" w:hAnsi="Times New Roman"/>
          <w:sz w:val="17"/>
          <w:szCs w:val="17"/>
          <w:color w:val="auto"/>
        </w:rPr>
      </w:pPr>
    </w:p>
    <w:p>
      <w:pPr>
        <w:ind w:left="760" w:right="180" w:hanging="378"/>
        <w:spacing w:after="0" w:line="266" w:lineRule="auto"/>
        <w:tabs>
          <w:tab w:leader="none" w:pos="7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acquire or in-license other product candidates and technologies;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securing manufacturing arrangements for commercial production;</w:t>
      </w:r>
    </w:p>
    <w:p>
      <w:pPr>
        <w:spacing w:after="0" w:line="114" w:lineRule="exact"/>
        <w:rPr>
          <w:rFonts w:ascii="Times New Roman" w:cs="Times New Roman" w:eastAsia="Times New Roman" w:hAnsi="Times New Roman"/>
          <w:sz w:val="17"/>
          <w:szCs w:val="17"/>
          <w:color w:val="auto"/>
        </w:rPr>
      </w:pPr>
    </w:p>
    <w:p>
      <w:pPr>
        <w:ind w:left="760" w:right="860" w:hanging="378"/>
        <w:spacing w:after="0" w:line="266" w:lineRule="auto"/>
        <w:tabs>
          <w:tab w:leader="none" w:pos="7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emergence of competing viral immunotherapies as well as immuno-oncology therapies in general and other adverse market developments;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establishing clinical manufacturing operations through CDMOs;</w:t>
      </w:r>
    </w:p>
    <w:p>
      <w:pPr>
        <w:spacing w:after="0" w:line="114" w:lineRule="exact"/>
        <w:rPr>
          <w:rFonts w:ascii="Times New Roman" w:cs="Times New Roman" w:eastAsia="Times New Roman" w:hAnsi="Times New Roman"/>
          <w:sz w:val="17"/>
          <w:szCs w:val="17"/>
          <w:color w:val="auto"/>
        </w:rPr>
      </w:pPr>
    </w:p>
    <w:p>
      <w:pPr>
        <w:ind w:left="760" w:right="680" w:hanging="378"/>
        <w:spacing w:after="0" w:line="266" w:lineRule="auto"/>
        <w:tabs>
          <w:tab w:leader="none" w:pos="7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establishing or contracting for sales and marketing capabilities if we obtain regulatory approvals to market our product candidates; and</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7" w:name="page48"/>
    <w:bookmarkEnd w:id="47"/>
    <w:p>
      <w:pPr>
        <w:ind w:left="760" w:hanging="378"/>
        <w:spacing w:after="0"/>
        <w:tabs>
          <w:tab w:leader="none" w:pos="76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any future public health crisis, which may exacerbate the magnitude of the factors discussed above.</w:t>
      </w:r>
    </w:p>
    <w:p>
      <w:pPr>
        <w:spacing w:after="0" w:line="11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p>
    <w:p>
      <w:pPr>
        <w:spacing w:after="0" w:line="72"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As of December 31, 2023, our cash and cash equivalents were $35.4 million. Based on our current business plan, there is substantial doubt regarding our ability to continue as a going concern for a period of one year after the date that our financial statements for the year ended December 31, 2023 are issued and we need to raise significant amounts of additional funding to complete all of our ongoing trials and execute on our business plan. Financing may not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In addition, our efforts to raise additional capital may divert our management from their day-to-day activities, which may adversely affect our ability to develop our product candidates in a timely manner.</w:t>
      </w:r>
    </w:p>
    <w:p>
      <w:pPr>
        <w:spacing w:after="0" w:line="7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74" w:lineRule="exact"/>
        <w:rPr>
          <w:sz w:val="20"/>
          <w:szCs w:val="20"/>
          <w:color w:val="auto"/>
        </w:rPr>
      </w:pPr>
    </w:p>
    <w:p>
      <w:pPr>
        <w:jc w:val="both"/>
        <w:ind w:right="260"/>
        <w:spacing w:after="0" w:line="244" w:lineRule="auto"/>
        <w:rPr>
          <w:sz w:val="20"/>
          <w:szCs w:val="20"/>
          <w:color w:val="auto"/>
        </w:rPr>
      </w:pPr>
      <w:r>
        <w:rPr>
          <w:rFonts w:ascii="Arial" w:cs="Arial" w:eastAsia="Arial" w:hAnsi="Arial"/>
          <w:sz w:val="17"/>
          <w:szCs w:val="17"/>
          <w:color w:val="auto"/>
        </w:rPr>
        <w:t>If we are unable to obtain adequate funding on a timely basis, we may be required to revise our business plan and strategy and potentially curtail, delay, or discontinue one or more of our clinical trials, our research efforts, product development, future commercialization efforts, or may result in our being unable to expand our operations or otherwise capitalize on our business opportunities. As a result, our business, financial condition and results of operations could be materially affected.</w:t>
      </w:r>
    </w:p>
    <w:p>
      <w:pPr>
        <w:spacing w:after="0" w:line="69"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b w:val="1"/>
          <w:bCs w:val="1"/>
          <w:i w:val="1"/>
          <w:iCs w:val="1"/>
          <w:color w:val="auto"/>
        </w:rPr>
        <w:t>Our corporate restructuring and the associated headcount reduction may not result in anticipated savings, could result in total costs and expenses that are greater than expected and could disrupt our business.</w:t>
      </w:r>
    </w:p>
    <w:p>
      <w:pPr>
        <w:spacing w:after="0" w:line="3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November 2023, we undertook an organizational restructuring that significantly reduced our workforce.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our restructuring plan may be disruptive to our operations. For example, our headcount reductions could yield unanticipated consequences, such as increased difficulties in implementing our business strategy, including retention of our remaining employees. Our restructuring may lead to employee litigation related to the headcount reduction, which could be costly and prevent management from fully concentrating on the business.</w:t>
      </w:r>
    </w:p>
    <w:p>
      <w:pPr>
        <w:spacing w:after="0" w:line="74"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Any future growth would impose significant added responsibilities on members of management, including the need to identify, recruit, maintain and integrate additional employees.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 For example, the workforce reduction may negatively impact our clinical, regulatory, technical operations, and commercial functions, should we choose to continue to pursue them, which would have a negative impact on our ability to successfully develop, and ultimately, commercialize our product candidates. Our future financial performance and our ability to develop our product candidates or additional assets will depend, in part, on our ability to effectively manage any future growth or restructuring, as the case may be.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indebtedness, and we may incur additional indebtedness, which could adversely affect our financial condition.</w:t>
      </w:r>
    </w:p>
    <w:p>
      <w:pPr>
        <w:spacing w:after="0" w:line="102"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On February 24, 2022, we entered into a loan and security agreement (the Loan Agreement) with Silicon Valley Bank, as lender (SVB), pursuant to which SVB has agreed to provide term loans to us in an aggregate principal amount of up to $25.0 million. Our indebtedness could have important consequences to our stockholders. For example, it:</w:t>
      </w:r>
    </w:p>
    <w:p>
      <w:pPr>
        <w:spacing w:after="0" w:line="67" w:lineRule="exact"/>
        <w:rPr>
          <w:sz w:val="20"/>
          <w:szCs w:val="20"/>
          <w:color w:val="auto"/>
        </w:rPr>
      </w:pPr>
    </w:p>
    <w:p>
      <w:pPr>
        <w:ind w:left="5520" w:right="4420" w:hanging="5138"/>
        <w:spacing w:after="0" w:line="681" w:lineRule="auto"/>
        <w:tabs>
          <w:tab w:leader="none" w:pos="747"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increases our vulnerability to adverse general economic and industry conditions;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8" w:name="page49"/>
    <w:bookmarkEnd w:id="48"/>
    <w:p>
      <w:pPr>
        <w:ind w:left="760" w:right="140" w:hanging="378"/>
        <w:spacing w:after="0" w:line="266" w:lineRule="auto"/>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51" w:lineRule="exact"/>
        <w:rPr>
          <w:rFonts w:ascii="Times New Roman" w:cs="Times New Roman" w:eastAsia="Times New Roman" w:hAnsi="Times New Roman"/>
          <w:sz w:val="17"/>
          <w:szCs w:val="17"/>
          <w:color w:val="auto"/>
        </w:rPr>
      </w:pPr>
    </w:p>
    <w:p>
      <w:pPr>
        <w:ind w:left="760" w:right="240" w:hanging="378"/>
        <w:spacing w:after="0" w:line="266" w:lineRule="auto"/>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limits our ability to obtain additional financing or refinancing in the future for working capital, clinical trials, research and development, or other purposes.</w:t>
      </w:r>
    </w:p>
    <w:p>
      <w:pPr>
        <w:spacing w:after="0" w:line="5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Any of the above-listed factors could materially adversely affect our business, financial condition, results of operations, and cash flows. The Loan Agreement also contains certain covenants, including limitations on, among other things, additional indebtedness, making certain dispositions, paying dividends in certain circumstances, and making certain acquisitions and investments. Any failure to comply with the terms, covenants and conditions of the Loan Agreement may limit our ability to draw upon additional tranches of term loans and may result in an event of default under such agreement entitling the lender to accelerate our indebtedness, which could have a material adverse effect on our business, financial condition, and results of operations.</w:t>
      </w:r>
    </w:p>
    <w:p>
      <w:pPr>
        <w:spacing w:after="0" w:line="74"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Recent increases in interest rates have increased our borrowing costs and may also affect our ability to obtain working capital through borrowings such as bank credit lines and public or private sales of debt securities, which may result in lower liquidity, reduced working capital and other adverse impacts on our business.</w:t>
      </w:r>
    </w:p>
    <w:p>
      <w:pPr>
        <w:spacing w:after="0" w:line="67"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A portion of our outstanding debt under the Loan Agreement, bears interest at variable interest rates. To meet our liquidity needs, we have relied in part on borrowed funds with variable interest rates and may continue to do so in the future. Continued increase in interest rates may increase the cost of new indebtedness and the servicing of our outstanding indebtedness, and could materially and adversely affect our results of operations, financial condition, liquidity and cash flows.</w:t>
      </w:r>
    </w:p>
    <w:p>
      <w:pPr>
        <w:spacing w:after="0" w:line="69"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lenders or counterparties to any such instruments were to be placed into receivership, we may be unable to access such funds. We currently have a $20 million loan outstanding pursuant to a $25 million term loan facility with SVB, which was entered into in February 2022 and amended in June 2023. We no longer have access to borrow the $5 million of additional aggregate principle per the terms of the Loan Agreement.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such as us,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8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74"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9" w:name="page50"/>
    <w:bookmarkEnd w:id="49"/>
    <w:p>
      <w:pPr>
        <w:ind w:right="100"/>
        <w:spacing w:after="0" w:line="249" w:lineRule="auto"/>
        <w:rPr>
          <w:sz w:val="20"/>
          <w:szCs w:val="20"/>
          <w:color w:val="auto"/>
        </w:rPr>
      </w:pPr>
      <w:r>
        <w:rPr>
          <w:rFonts w:ascii="Arial" w:cs="Arial" w:eastAsia="Arial" w:hAnsi="Arial"/>
          <w:sz w:val="17"/>
          <w:szCs w:val="17"/>
          <w:color w:val="auto"/>
        </w:rPr>
        <w:t>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48"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256"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Delayed access to deposits or other financial assets or the uninsured loss of deposits or other financial assets;</w:t>
      </w:r>
    </w:p>
    <w:p>
      <w:pPr>
        <w:spacing w:after="0" w:line="114"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Delayed or lost access to, or reductions in borrowings available under revolving existing credit facilities or other working capital sources and/or delays, inability or reductions in our ability to refund, roll over or extend the maturity of, or enter into new credit facilities or other working capital resources;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breach of contractual obligations that require us to maintain letters of credit or other credit support arrangements;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breach of financial covenants in our credit agreements or credit arrangements;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cross-defaults in other credit agreements, credit arrangements or operating or financing agreements; or</w:t>
      </w:r>
    </w:p>
    <w:p>
      <w:pPr>
        <w:spacing w:after="0" w:line="114"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Termination of cash management arrangements and/or delays in accessing or actual loss of funds subject to cash management arrangements.</w:t>
      </w:r>
    </w:p>
    <w:p>
      <w:pPr>
        <w:spacing w:after="0" w:line="13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5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a material adverse impact on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Product Development</w:t>
      </w:r>
    </w:p>
    <w:p>
      <w:pPr>
        <w:spacing w:after="0" w:line="102"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b w:val="1"/>
          <w:bCs w:val="1"/>
          <w:i w:val="1"/>
          <w:iCs w:val="1"/>
          <w:color w:val="auto"/>
        </w:rPr>
        <w:t>Our business is dependent on the success of our most advanced product candidate, CAN-2409, as well as CAN-3110 and any other product candidates that we advance into the clinic. All of our product candidates will require additional development before we may be able to seek regulatory approval for and launch a product commercially.</w:t>
      </w:r>
    </w:p>
    <w:p>
      <w:pPr>
        <w:spacing w:after="0" w:line="49"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We currently have no products that are approved for commercial sale and may never be able to develop marketable products. We expect that a substantial portion of our efforts and expenditures over the next several years will be devoted to our CAN-2409 program, which is currently our most advanced product candidate.</w:t>
      </w:r>
    </w:p>
    <w:p>
      <w:pPr>
        <w:spacing w:after="0" w:line="67"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If CAN-2409, CAN-3110 or any other product candidate we develop encounters safety or efficacy issues, development delays, regulatory issues or other problems, our development plans and business would be significantly harmed. We can provide no assurance that CAN-2409, CAN-3110 or any other product candidates we develop will receive regulatory approval or be successfully commercialized even if we receive regulatory approval. If we were required to discontinue development of CAN-2409, CAN-3110 or any future product candidate, or if CAN-2409, CAN-3110, or any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0" w:name="page51"/>
    <w:bookmarkEnd w:id="50"/>
    <w:p>
      <w:pPr>
        <w:ind w:right="140"/>
        <w:spacing w:after="0" w:line="267" w:lineRule="auto"/>
        <w:rPr>
          <w:sz w:val="20"/>
          <w:szCs w:val="20"/>
          <w:color w:val="auto"/>
        </w:rPr>
      </w:pPr>
      <w:r>
        <w:rPr>
          <w:rFonts w:ascii="Arial" w:cs="Arial" w:eastAsia="Arial" w:hAnsi="Arial"/>
          <w:sz w:val="17"/>
          <w:szCs w:val="17"/>
          <w:color w:val="auto"/>
        </w:rPr>
        <w:t>future product candidate do not receive regulatory approval or fail to achieve significant market acceptance, we would be delayed by many years in our ability to achieve profitability, if ever.</w:t>
      </w:r>
    </w:p>
    <w:p>
      <w:pPr>
        <w:spacing w:after="0" w:line="51"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Furthermore, even if we obtain regulatory approval for CAN-2409, CAN-3110 or any other product candidates we develop, we will still need to develop a commercial infrastructure, expand our manufacturing capabilities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CAN-2409, CAN-3110 or any other product candidates we develop, we may not be able to generate sufficient revenue to continue our business.</w:t>
      </w:r>
    </w:p>
    <w:p>
      <w:pPr>
        <w:spacing w:after="0" w:line="72" w:lineRule="exact"/>
        <w:rPr>
          <w:sz w:val="20"/>
          <w:szCs w:val="20"/>
          <w:color w:val="auto"/>
        </w:rPr>
      </w:pPr>
    </w:p>
    <w:p>
      <w:pPr>
        <w:ind w:right="420"/>
        <w:spacing w:after="0" w:line="280"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3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Before obtaining regulatory approvals for the commercial sale of our product candidates, including CAN-2409, CAN-3110 or any other product candidates we develop, we must demonstrate the safety and efficacy of our product candidates for use in each target indication through lengthy, complex, and expensive preclinical studies and clinical trials. Failure can occur at any time during the preclinical study and clinical trial processes and there is a high risk of failure, so we may never succeed in developing marketable products. Any preclinical studies or clinical trials that we may conduct may not demonstrate the safety and efficacy necessary to obtain regulatory approval to market any of our product candidates. If the results of our ongoing or future preclinical studies and clinical trials are inconclusive with respect to the safety or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are currently in a phase 3 clinical trial for CAN-2409 for prostate cancer and are in early stages of clinical development for CAN-3110, it is likely, as is the case with many oncology therapies, that there may be side effects 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8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product candidates have caused side effects in clinical trials related to on-target toxicity such as fever, chills and muscle aches and other flu-like symptoms. The most common side effects observed in our clinical trials have been transient, injection site-related reactions, and flu-like symptoms. The specific symptoms are largely dependent on the tumor site (site of injection). Patients who have participated in our trials have experienced grade 3 and grade 4 treatment-related side effects, including blood abnormalities. Those include pyrexia, genitourinary toxicity, increased aspartate transaminase / alanine transaminase (AST/ALT), increased bilirubin, hemiparesis or worsening of speech impairment (in studies of HGG), insomnia, headache, wound complications, empyema, motor-neuropathy symptoms/signs, transient lymphopenia, dehydration with renal insufficiency, urinary retention, worsening abdominal pain and increased lipase. Different nomenclature for the same side effect can be used in different trials (i.e. lymphopenia or low lymphocyte count). If on-target toxicity is observed at unacceptable levels,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observed yet to date. Many compounds that initially showed promise in early-stage testing for treating cancer have later been found to cause side effects that prevented further development of the compound. In addition to our ongoing clinical trials of CAN-2409 and CAN-3110, patients have been, and may continue to be, treated with CAN-2409 and/or CAN-3110 under an expanded access or “compassionate use” program. To the extent the experiences of patients being treated in this program are inconsistent with or less favorable than the results of our ongoing or planned company-sponsored trials with CAN-2409 and/or CAN-3110, it may negatively affect perceptions of CAN-2409 and/or CAN-3110, our other product candidates, or our business. In addition, the FDA or comparable foreign regulatory authorities may require us to obtain and submit additional clinical data due to these inconsistent or unfavorable results, which could delay clinical development or marketing approval of CAN-2409 and/or CAN-3110 or potentially our other product candidates.</w:t>
      </w:r>
    </w:p>
    <w:p>
      <w:pPr>
        <w:spacing w:after="0" w:line="79" w:lineRule="exact"/>
        <w:rPr>
          <w:sz w:val="20"/>
          <w:szCs w:val="20"/>
          <w:color w:val="auto"/>
        </w:rPr>
      </w:pPr>
    </w:p>
    <w:p>
      <w:pPr>
        <w:jc w:val="both"/>
        <w:ind w:right="320"/>
        <w:spacing w:after="0" w:line="256"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regulatory audit and verification procedures that could result in material changes in the final data.</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1" w:name="page52"/>
    <w:bookmarkEnd w:id="51"/>
    <w:p>
      <w:pPr>
        <w:ind w:right="100"/>
        <w:spacing w:after="0" w:line="236" w:lineRule="auto"/>
        <w:rPr>
          <w:sz w:val="20"/>
          <w:szCs w:val="20"/>
          <w:color w:val="auto"/>
        </w:rPr>
      </w:pPr>
      <w:r>
        <w:rPr>
          <w:rFonts w:ascii="Arial" w:cs="Arial" w:eastAsia="Arial" w:hAnsi="Arial"/>
          <w:sz w:val="17"/>
          <w:szCs w:val="17"/>
          <w:color w:val="auto"/>
        </w:rPr>
        <w:t>From time to time, we may publish interim, topline or preliminary data from our clinical trials. We may decide to conduct an interim analysis of the data after a certain number or percentage of patients have been enrolled, or after only a part of the full follow-up period but before completion of the trial. Similarly, we may report topline or preliminary results of primary and key secondary endpoints before the final trial results are completed. Preliminary, topline and interim data from our clinical trials may change as more patient data or analyses become available. Preliminary, topline or interim data from our clinical trials are not necessarily predictive of final results and are subject to the risk that one or more of the clinical outcomes may materially change as patient enrollment continues, more patient data become available and we issue our final clinical trial report. These data also remain subject to audit and verification procedures that may result in the final data being materially different from the preliminary data we previously published. As a result, preliminary, interim and topline data should be viewed with caution until the final data are available. Material adverse changes in the final data compared to the interim data could significantly harm our business prospects.</w:t>
      </w:r>
    </w:p>
    <w:p>
      <w:pPr>
        <w:spacing w:after="0" w:line="7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2"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color w:val="auto"/>
        </w:rPr>
        <w:t>If the interim, topline, or preliminary data that we report differ from more complete results, or if others, including regulatory authorities, disagree with the conclusions reached, our ability to obtain marketing authorization for, and commercialize, our product candidates may be harmed, which could harm our business, operating results, prospects or financial condition.</w:t>
      </w:r>
    </w:p>
    <w:p>
      <w:pPr>
        <w:spacing w:after="0" w:line="67"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b w:val="1"/>
          <w:bCs w:val="1"/>
          <w:i w:val="1"/>
          <w:iCs w:val="1"/>
          <w:color w:val="auto"/>
        </w:rPr>
        <w:t>We may not be successful in our efforts to identify additional product candidates or indications. Due to our limited resources and access to capital, we must prioritize development of certain product candidates and indications; these decisions may prove to be wrong and may adversely affect our business.</w:t>
      </w:r>
    </w:p>
    <w:p>
      <w:pPr>
        <w:spacing w:after="0" w:line="4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Although we intend to explore other therapeutic opportunities, in addition to the product candidates and indications that we are currently developing, we may fail to identify successful product candidates or additional indications for clinical development for a number of reasons. If we fail to identify additional potential product candidates or indications for development, our business could be materially harmed.</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Research programs to pursue the development of our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73"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research methodology used may not be successful in identifying potential indications and/or product candidates;</w:t>
      </w:r>
    </w:p>
    <w:p>
      <w:pPr>
        <w:spacing w:after="0" w:line="114" w:lineRule="exact"/>
        <w:rPr>
          <w:rFonts w:ascii="Times New Roman" w:cs="Times New Roman" w:eastAsia="Times New Roman" w:hAnsi="Times New Roman"/>
          <w:sz w:val="17"/>
          <w:szCs w:val="17"/>
          <w:color w:val="auto"/>
        </w:rPr>
      </w:pPr>
    </w:p>
    <w:p>
      <w:pPr>
        <w:ind w:left="1020" w:right="300" w:hanging="503"/>
        <w:spacing w:after="0" w:line="266"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candidates may, after further study, be shown to have harmful adverse effects or other characteristics that indicate they are unlikely to be effective drugs; or</w:t>
      </w:r>
    </w:p>
    <w:p>
      <w:pPr>
        <w:spacing w:after="0" w:line="51" w:lineRule="exact"/>
        <w:rPr>
          <w:rFonts w:ascii="Times New Roman" w:cs="Times New Roman" w:eastAsia="Times New Roman" w:hAnsi="Times New Roman"/>
          <w:sz w:val="17"/>
          <w:szCs w:val="17"/>
          <w:color w:val="auto"/>
        </w:rPr>
      </w:pPr>
    </w:p>
    <w:p>
      <w:pPr>
        <w:ind w:left="1020" w:right="460" w:hanging="503"/>
        <w:spacing w:after="0" w:line="249"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it may take greater human and financial resources than we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 For example, at the Annual Meeting of SITC in Boston in November 2022, due to promising clinical activity of CAN-3110 in recurrent HGG, we made a portfolio and resource decision to prioritize CAN-3110 in recurrent HGG and not to pursue a phase 3 clinical trial of CAN-2409 in HGG.</w:t>
      </w:r>
    </w:p>
    <w:p>
      <w:pPr>
        <w:spacing w:after="0" w:line="74" w:lineRule="exact"/>
        <w:rPr>
          <w:sz w:val="20"/>
          <w:szCs w:val="20"/>
          <w:color w:val="auto"/>
        </w:rPr>
      </w:pPr>
    </w:p>
    <w:p>
      <w:pPr>
        <w:ind w:right="420"/>
        <w:spacing w:after="0" w:line="244" w:lineRule="auto"/>
        <w:rPr>
          <w:sz w:val="20"/>
          <w:szCs w:val="20"/>
          <w:color w:val="auto"/>
        </w:rPr>
      </w:pPr>
      <w:r>
        <w:rPr>
          <w:rFonts w:ascii="Arial" w:cs="Arial" w:eastAsia="Arial" w:hAnsi="Arial"/>
          <w:sz w:val="17"/>
          <w:szCs w:val="17"/>
          <w:color w:val="auto"/>
        </w:rPr>
        <w:t>Accordingly, 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earlier studies and trials of our product candidates may not be predictive of future trial results.</w:t>
      </w:r>
    </w:p>
    <w:p>
      <w:pPr>
        <w:spacing w:after="0" w:line="102" w:lineRule="exact"/>
        <w:rPr>
          <w:sz w:val="20"/>
          <w:szCs w:val="20"/>
          <w:color w:val="auto"/>
        </w:rPr>
      </w:pPr>
    </w:p>
    <w:p>
      <w:pPr>
        <w:jc w:val="both"/>
        <w:ind w:right="120"/>
        <w:spacing w:after="0" w:line="249" w:lineRule="auto"/>
        <w:rPr>
          <w:sz w:val="20"/>
          <w:szCs w:val="20"/>
          <w:color w:val="auto"/>
        </w:rPr>
      </w:pPr>
      <w:r>
        <w:rPr>
          <w:rFonts w:ascii="Arial" w:cs="Arial" w:eastAsia="Arial" w:hAnsi="Arial"/>
          <w:sz w:val="17"/>
          <w:szCs w:val="17"/>
          <w:color w:val="auto"/>
        </w:rPr>
        <w:t>Success in preclinical studies and early clinical trials does not ensure that later clinical trials will be successful. Product candidates in later stages of clinical trials may fail to show the desired safety and efficacy traits despite having progressed through preclinical studies and initial clinical trials. As we commence new clinical trials and continue our</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2" w:name="page53"/>
    <w:bookmarkEnd w:id="52"/>
    <w:p>
      <w:pPr>
        <w:spacing w:after="0" w:line="237" w:lineRule="auto"/>
        <w:rPr>
          <w:sz w:val="20"/>
          <w:szCs w:val="20"/>
          <w:color w:val="auto"/>
        </w:rPr>
      </w:pPr>
      <w:r>
        <w:rPr>
          <w:rFonts w:ascii="Arial" w:cs="Arial" w:eastAsia="Arial" w:hAnsi="Arial"/>
          <w:sz w:val="17"/>
          <w:szCs w:val="17"/>
          <w:color w:val="auto"/>
        </w:rPr>
        <w:t>ongoing clinical trials, issues may arise that could suspend or terminate such clinical trials.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In addition, the results of our preclinical animal studies, including our oncology mouse studies and other animal studies, may not be predictive of the results of outcomes in human clinical trials. For example, our oncology product candidates that are in preclinical development may demonstrate different chemical and biological properties in patients than they do in laboratory animal studies or may interact with human biological systems in unforeseen or harmful ways.</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Additionally, some of past, ongoing and planned clinical trials utilize an “open-label” study design including our NSCLC trial in combination with ICI.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improved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trials when studied in a controlled environment with a placebo or active control.</w:t>
      </w:r>
    </w:p>
    <w:p>
      <w:pPr>
        <w:spacing w:after="0" w:line="73"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b w:val="1"/>
          <w:bCs w:val="1"/>
          <w:i w:val="1"/>
          <w:iCs w:val="1"/>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30"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We have concentrated our research and development efforts on our CAN-2409 and CAN-3110 product candidates, and our future success largely depends on the successful development of these therapeutic approaches. In particular, CAN-2409 utilizes an adenovirus to activate the innate and adaptive immune system. To our knowledge, there are no FDA-approved products for the treatment of cancer that utilize the adenovirus.</w:t>
      </w:r>
    </w:p>
    <w:p>
      <w:pPr>
        <w:spacing w:after="0" w:line="67"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expect the novel nature of our product candidates to create further challenges in obtaining regulatory approval. Few viral immunotherapies have been approved globally or by the FDA to date. While the first oncolytic viral immunotherapy, talimogene laherparepvec (Imlygic, Amgen), has received FDA approval, regulatory agencies have reviewed relatively few viral immunotherapy product candidates such as CAN-2409 and CAN-3110. This may lengthen the regulatory review process, increase our development costs and delay or prevent commercialization of our product candidates. Further, any viral immunotherapies that are approved may be subject to extensive post-approval regulatory requirements, including requirements pertaining to manufacturing, distribution and promotion. We may need to devote significant time and resources to compliance with these requirements.</w:t>
      </w:r>
    </w:p>
    <w:p>
      <w:pPr>
        <w:spacing w:after="0" w:line="74" w:lineRule="exact"/>
        <w:rPr>
          <w:sz w:val="20"/>
          <w:szCs w:val="20"/>
          <w:color w:val="auto"/>
        </w:rPr>
      </w:pPr>
    </w:p>
    <w:p>
      <w:pPr>
        <w:jc w:val="both"/>
        <w:ind w:right="40"/>
        <w:spacing w:after="0" w:line="244" w:lineRule="auto"/>
        <w:rPr>
          <w:sz w:val="20"/>
          <w:szCs w:val="20"/>
          <w:color w:val="auto"/>
        </w:rPr>
      </w:pPr>
      <w:r>
        <w:rPr>
          <w:rFonts w:ascii="Arial" w:cs="Arial" w:eastAsia="Arial" w:hAnsi="Arial"/>
          <w:sz w:val="17"/>
          <w:szCs w:val="17"/>
          <w:color w:val="auto"/>
        </w:rPr>
        <w:t>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obtained.</w:t>
      </w:r>
    </w:p>
    <w:p>
      <w:pPr>
        <w:spacing w:after="0" w:line="6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our product candidates are live, gene-modified viruses for which the FDA, the European Medicines Agency (EMA) and other comparable foreign regulatory authorities and other public health authorities, such as the Centers of Disease Control and Prevention and hospitals involved in clinical studies, have established additional safety and contagion rules and procedures, which could establish additional hurdles for the development, manufacture or use of our vectors. These hurdles may lead to delays in the conduct of clinical trials or in obtaining regulatory approvals for further development, manufacturing or commercialization of our product candidates. We may also experience delays in transferring our process to commercial partners, which may prevent us from completing our clinical trials or commercializing our product candidates on a timely or profitable basis, if at all.</w:t>
      </w:r>
    </w:p>
    <w:p>
      <w:pPr>
        <w:spacing w:after="0" w:line="7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Furthermore, there has been limited historical clinical trial experience for the development of products that utilize the adenovirus. Moreover, the design and conduct of our clinical trials differs from the design and conduct of previously conducted clinical trials in this area. In particular, regulatory authorities in the United States and in other jurisdictions, including Europe, have not issued definitive guidance as to how to measure and demonstrate efficacy in newly diagnosed localized prostate cancer in intermediate- to high-risk patients in combination with the standard of care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3" w:name="page54"/>
    <w:bookmarkEnd w:id="53"/>
    <w:p>
      <w:pPr>
        <w:ind w:right="40"/>
        <w:spacing w:after="0" w:line="239" w:lineRule="auto"/>
        <w:rPr>
          <w:sz w:val="20"/>
          <w:szCs w:val="20"/>
          <w:color w:val="auto"/>
        </w:rPr>
      </w:pPr>
      <w:r>
        <w:rPr>
          <w:rFonts w:ascii="Arial" w:cs="Arial" w:eastAsia="Arial" w:hAnsi="Arial"/>
          <w:sz w:val="17"/>
          <w:szCs w:val="17"/>
          <w:color w:val="auto"/>
        </w:rPr>
        <w:t>(SoC). As a result, there is substantial risk that the design or outcomes of our clinical trials will not be satisfactory to support marketing approval. For example, the endpoint in our phase 3 clinical trial investigating CAN-2409 in prostate cancer is a disease-free survival (DFS) endpoint with final results expected 24 months after last patient treated, which has not been utilized in prior trials and may not be accepted by regulators as a basis for approval despite the existence of the SPA. Even if this type of novel endpoint is accepted as a basis for approval in the United States, we cannot be certain that regulators outside of the United States will accept such endpoints or will not require us to conduct additional validation studies to support the suitability of such endpoints for approval in these jurisdictions.</w:t>
      </w:r>
    </w:p>
    <w:p>
      <w:pPr>
        <w:spacing w:after="0" w:line="74"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We are developing, and in the future may develop, other product candidates, in combination with other therapies, which exposes us to additional risks related to any prodrugs or any agents used in combination with our product candidates.</w:t>
      </w:r>
    </w:p>
    <w:p>
      <w:pPr>
        <w:spacing w:after="0" w:line="3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Our CAN-2409 product candidate is being developed to be used in combination with the prodrug valacyclovir, which is an oral small molecule drug marketed for treatment of herpes infections. In the future, we may develop other product candidates to be used with one or more currently approved other therapies. Even if any product candidate we develop were to receive marketing approval or be commercialized for use in combination with other existing therapies, we would continue to be subject to the risks that the FDA or comparable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76"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If the FDA or comparable foreign regulatory authorities revoke their approval of these other drugs or revoke their approval of, or if safety, efficacy, manufacturing or supply issues arise with, the drugs we choose to evaluate in combination with any product candidate we develop, we may be unable to obtain approval.</w:t>
      </w:r>
    </w:p>
    <w:p>
      <w:pPr>
        <w:spacing w:after="0" w:line="67"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may also evaluate our future product candidates in combination with one or more other cancer therapies that have not yet been approved for marketing by the FDA or comparable foreign regulatory authorities. We will not be able to market any product candidate we develop in combination with any such unapproved cancer therapies that do not ultimately obtain marketing approval. In addition, unapproved therapies face the same risks described with respect to our product candidates currently in development and clinical trials, including the potential for serious adverse effects, delays in their clinical trials and lack of FDA approval.</w:t>
      </w:r>
    </w:p>
    <w:p>
      <w:pPr>
        <w:spacing w:after="0" w:line="72"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Negative developments in the field of immuno-oncology and, in particular, viral immunotherapy, could damage public perception of any of our product candidates and negatively affect our business.</w:t>
      </w: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commercial success of adenovirus- or HSV-based product candidates will depend in part on public acceptance of the use of immuno-oncology, and, in particular, viral immunotherapy. Adverse events in clinical trials of CAN-2409, CAN-3110 or any other adenovirus- or HSV-based product candidates which we may develop, or in clinical trials of others developing similar products and the resulting publicity, as well as any other negative developments in the field of immuno-oncology that may occur in the future, including in connection with competitor therapies, could result in a decrease in demand for any adenovirus- or HSV-based product candidates that we may develop. These events could also result in the suspension, discontinuation, or clinical hold of or modification to our clinical trials. If public perception is influenced by claims that the use of viral immunotherapies is unsafe, whether related to our therapies or those of our competitors, our product candidates may not be accepted by the general public or the medical community and potential clinical trial subjects may be discouraged from enrolling in our clinical trials. In addition, responses by national or state governments to negative public perception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prospects and results of operations and may delay or impair the development and commercialization of our product candidates or demand for any products we may develop. As a result, we may not be able to continue or may be delayed in conducting our development programs.</w:t>
      </w:r>
    </w:p>
    <w:p>
      <w:pPr>
        <w:spacing w:after="0" w:line="77"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Our product candidates consist of modified viruses. Adverse developments in clinical trials of other immunotherapy products based on viruses, like oncolytic viruses, may result in a disproportionately negative effect for our technologies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72" w:lineRule="exact"/>
        <w:rPr>
          <w:sz w:val="20"/>
          <w:szCs w:val="20"/>
          <w:color w:val="auto"/>
        </w:rPr>
      </w:pPr>
    </w:p>
    <w:p>
      <w:pPr>
        <w:ind w:right="240"/>
        <w:spacing w:after="0" w:line="280" w:lineRule="auto"/>
        <w:rPr>
          <w:sz w:val="20"/>
          <w:szCs w:val="20"/>
          <w:color w:val="auto"/>
        </w:rPr>
      </w:pPr>
      <w:r>
        <w:rPr>
          <w:rFonts w:ascii="Arial" w:cs="Arial" w:eastAsia="Arial" w:hAnsi="Arial"/>
          <w:sz w:val="17"/>
          <w:szCs w:val="17"/>
          <w:b w:val="1"/>
          <w:bCs w:val="1"/>
          <w:i w:val="1"/>
          <w:iCs w:val="1"/>
          <w:color w:val="auto"/>
        </w:rPr>
        <w:t>Difficulty in enrolling patients could delay or prevent clinical trials of our product candidates, and ultimately delay or prevent regulatory approval.</w:t>
      </w:r>
    </w:p>
    <w:p>
      <w:pPr>
        <w:spacing w:after="0" w:line="30"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completion of our clinical trials depends in part on the speed at which we can recruit patients to participate in</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4" w:name="page55"/>
    <w:bookmarkEnd w:id="54"/>
    <w:p>
      <w:pPr>
        <w:ind w:right="40"/>
        <w:spacing w:after="0" w:line="239" w:lineRule="auto"/>
        <w:rPr>
          <w:sz w:val="20"/>
          <w:szCs w:val="20"/>
          <w:color w:val="auto"/>
        </w:rPr>
      </w:pPr>
      <w:r>
        <w:rPr>
          <w:rFonts w:ascii="Arial" w:cs="Arial" w:eastAsia="Arial" w:hAnsi="Arial"/>
          <w:sz w:val="17"/>
          <w:szCs w:val="17"/>
          <w:color w:val="auto"/>
        </w:rPr>
        <w:t>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brain cancer for the development of CAN-3110, our ability to enroll eligible patients may be limited or enrollment may be slower than we anticipate due to the small eligible patient population. In addition, our ability to enroll patients may be delayed by any future public health crisis and we are unable to predict the full extent and scope of such delays.</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to the potentially small target populations for our planned clinical trials, particularly in brain cancer, the eligibility criteria will further limit the pool of available trial participants as we will require that patients have specific characteristics, such as a certain severity or stage of disease progression, to include them in a trial. Additionally, the process of finding eligible patients may prove costly. We also may not be able to identify, recruit, and enroll a sufficient number of patients to complete our clinical trials because of the perceived risks and benefits of the product candidate under evaluation, the availability and efficacy of competing therapies and clinical trials, the proximity and availability of clinical trial sites for prospective patients, the availability of genetic sequencing information for patient tumors so that we can identify patients with the targeted genetic mutations, and the patient referral practices of physicians. If patients are unwilling to participate in our studies for any reason, the timeline for recruiting patients, conducting studies, and obtaining regulatory approval of potential products may be delayed. The enrollment of patients further depends on many factors, including:</w:t>
      </w:r>
    </w:p>
    <w:p>
      <w:pPr>
        <w:spacing w:after="0" w:line="79"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proximity of patients to clinical trial sites;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patient referral practices of physicians;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design of the clinical trial, including the number of site visits and invasive assessments required;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patient consents;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reporting of the preliminary results of any of our clinical trials;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risk that patients enrolled in clinical trials will drop out of the clinical trials before clinical trial completion; and</w:t>
      </w:r>
    </w:p>
    <w:p>
      <w:pPr>
        <w:spacing w:after="0" w:line="114" w:lineRule="exact"/>
        <w:rPr>
          <w:rFonts w:ascii="Times New Roman" w:cs="Times New Roman" w:eastAsia="Times New Roman" w:hAnsi="Times New Roman"/>
          <w:sz w:val="17"/>
          <w:szCs w:val="17"/>
          <w:color w:val="auto"/>
        </w:rPr>
      </w:pPr>
    </w:p>
    <w:p>
      <w:pPr>
        <w:ind w:left="760" w:right="740" w:hanging="378"/>
        <w:spacing w:after="0" w:line="266" w:lineRule="auto"/>
        <w:tabs>
          <w:tab w:leader="none" w:pos="7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factors we may not be able to control, such as any future public health crisis, that may limit patient participation, hiring of principal investigators or staff or clinical site availability.</w:t>
      </w:r>
    </w:p>
    <w:p>
      <w:pPr>
        <w:spacing w:after="0" w:line="52"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certain of our product candidates represent a departure from more commonly used methods for cancer treatment and because certain of our product candidates have not been tested in humans before, potential patients and their doctors may be inclined to use conventional therapies, such as chemotherapy, rather than enroll patients in any future clinical trial of our product candidates.</w:t>
      </w:r>
    </w:p>
    <w:p>
      <w:pPr>
        <w:spacing w:after="0" w:line="76"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b w:val="1"/>
          <w:bCs w:val="1"/>
          <w:i w:val="1"/>
          <w:iCs w:val="1"/>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49"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5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69" w:lineRule="exact"/>
        <w:rPr>
          <w:sz w:val="20"/>
          <w:szCs w:val="20"/>
          <w:color w:val="auto"/>
        </w:rPr>
      </w:pPr>
    </w:p>
    <w:p>
      <w:pPr>
        <w:ind w:left="760" w:right="20" w:hanging="378"/>
        <w:spacing w:after="0" w:line="249" w:lineRule="auto"/>
        <w:tabs>
          <w:tab w:leader="none" w:pos="76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to other available medicines;</w:t>
      </w:r>
    </w:p>
    <w:p>
      <w:pPr>
        <w:spacing w:after="0" w:line="65" w:lineRule="exact"/>
        <w:rPr>
          <w:rFonts w:ascii="Times New Roman" w:cs="Times New Roman" w:eastAsia="Times New Roman" w:hAnsi="Times New Roman"/>
          <w:sz w:val="17"/>
          <w:szCs w:val="17"/>
          <w:color w:val="auto"/>
        </w:rPr>
      </w:pPr>
    </w:p>
    <w:p>
      <w:pPr>
        <w:ind w:left="760" w:right="500" w:hanging="378"/>
        <w:spacing w:after="0" w:line="266" w:lineRule="auto"/>
        <w:tabs>
          <w:tab w:leader="none" w:pos="76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limitations or warnings contained in the labeling approved for our current or future product candidates by the FDA or other applicable regulatory authorities;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5" w:name="page56"/>
    <w:bookmarkEnd w:id="55"/>
    <w:p>
      <w:pPr>
        <w:ind w:left="760" w:right="540" w:hanging="378"/>
        <w:spacing w:after="0" w:line="266" w:lineRule="auto"/>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adverse events associated with our product candidates or those products with which they may be co-administered in immuno-oncology and, in particular, viral immunotherapies;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our current or future product candidates are approved;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availability of alternative treatments already approved or expected to be commercially launched in the near future;</w:t>
      </w:r>
    </w:p>
    <w:p>
      <w:pPr>
        <w:spacing w:after="0" w:line="114" w:lineRule="exact"/>
        <w:rPr>
          <w:rFonts w:ascii="Times New Roman" w:cs="Times New Roman" w:eastAsia="Times New Roman" w:hAnsi="Times New Roman"/>
          <w:sz w:val="17"/>
          <w:szCs w:val="17"/>
          <w:color w:val="auto"/>
        </w:rPr>
      </w:pPr>
    </w:p>
    <w:p>
      <w:pPr>
        <w:ind w:left="760" w:right="900" w:hanging="378"/>
        <w:spacing w:after="0" w:line="266" w:lineRule="auto"/>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and perceived advantages of our current or future product candidates over current treatment options or alternative treatments, including future alternative treatments;</w:t>
      </w:r>
    </w:p>
    <w:p>
      <w:pPr>
        <w:spacing w:after="0" w:line="51" w:lineRule="exact"/>
        <w:rPr>
          <w:rFonts w:ascii="Times New Roman" w:cs="Times New Roman" w:eastAsia="Times New Roman" w:hAnsi="Times New Roman"/>
          <w:sz w:val="17"/>
          <w:szCs w:val="17"/>
          <w:color w:val="auto"/>
        </w:rPr>
      </w:pPr>
    </w:p>
    <w:p>
      <w:pPr>
        <w:ind w:left="760" w:right="200" w:hanging="378"/>
        <w:spacing w:after="0" w:line="266" w:lineRule="auto"/>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willingness of the target patient populations to try new therapies or treatment methods and of physicians to prescribe these therapies or methods in immuno-oncology and, in particular, viral immunotherapies;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need to dose such product candidates in combination with other therapeutic agents, and related costs;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strength of marketing and distribution support and timing of market introduction of competitive products;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publicity concerning our products or competing products and treatments;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pricing and cost effectiveness;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effectiveness of our sales and marketing strategies;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increase awareness of our current or future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sufficient third-party coverage or reimbursement;</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or willingness of patients to pay out-of-pocket in the absence of third-party coverage;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liability claims.</w:t>
      </w:r>
    </w:p>
    <w:p>
      <w:pPr>
        <w:spacing w:after="0" w:line="114"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72"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 candidates before or more successfully than we do.</w:t>
      </w:r>
    </w:p>
    <w:p>
      <w:pPr>
        <w:spacing w:after="0" w:line="3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from major pharmaceutical, specialty pharmaceutical and biotechnology companies among others with respect to CAN-2409 and CAN-3110 and will face similar competition with respect to any product candidates that we may seek to develop or commercialize in the future. We compete in pharmaceutical, biotechnology and other related markets that develop immuno-oncology therapies for the treatment of cancer. There are other companies working to develop viral immunotherapies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Bristol-Myers Squibb, Gilead Sciences, Merck, Novartis, Pfizer, Regeneron and Roche/Genentech.</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Some of the products and therapies developed by our competitors are based on scientific approaches that are the same as or similar to our approach, including with respect to the use of viral immunotherapy with adenovirus and HSV. Other competitive products and therapies are based on entirely different approaches. We are aware that Replimune, Amgen, ImmVira, FerGene and IconOVir, among others, are developing viral immunotherapies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Many of the companies we compete against or may compete against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concentration of even more resources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6" w:name="page57"/>
    <w:bookmarkEnd w:id="56"/>
    <w:p>
      <w:pPr>
        <w:ind w:right="140"/>
        <w:spacing w:after="0" w:line="239"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or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 and Commercialization of Our Product Candidates</w:t>
      </w:r>
    </w:p>
    <w:p>
      <w:pPr>
        <w:spacing w:after="0" w:line="102"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5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These regulatory requirements may require us to amend our clinical trial protocols, including to comply with the protocols of any applicable SPA we receive from the FDA; conduct additional preclinical studies or clinical trials that may require regulatory or independent IRB approval; or otherwise cause delays in obtaining approval or rejection of an application. Any delay in obtaining or failure to obtain required approvals could materially adversely affect our ability to generate revenue from the particular product candidate, which may materially harm our business, financial condition, results of operations, stock price and prospects.</w:t>
      </w:r>
    </w:p>
    <w:p>
      <w:pPr>
        <w:spacing w:after="0" w:line="76"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studies or clinical trials, any of which may cause delays or limitations in the approval or a decision not to approve an application. It is possible that CAN-2409, CAN-3110 and future product candidates will never obtain the appropriate regulatory approvals necessary for us to commence product sales.</w:t>
      </w:r>
    </w:p>
    <w:p>
      <w:pPr>
        <w:spacing w:after="0" w:line="79"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If we experience delays in obtaining approval, if we fail to obtain regulatory approval of CAN-2409, CAN-3110 or any future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may be materially impaired.</w:t>
      </w:r>
    </w:p>
    <w:p>
      <w:pPr>
        <w:spacing w:after="0" w:line="6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CAN-2409, CAN-3110 or future product candidates may cause undesirable side effects or have other properties that could delay or prevent their regulatory approval, limit the commercial profile of an approved label, or result in significant negative consequences following marketing approval, if any. Serious adverse events or undesirable side effects caused by CAN-2409, CAN-3110 and future product candidates could cause us, IRBs, and other reviewing entities or regulatory authorities to interrupt, delay, or halt clinical trials and could result in a more restrictive label or the delay or denial of regulatory approval by the FDA or comparable foreign regulatory authorities. For example, if concerns are raised regarding the safety of a new therapeutic as a result of undesirable side effects identified during clinical or preclinical testing, the FDA or comparable foreign regulatory authority may order us to cease further development, decline to approve the product candidate or issue a letter requesting additional data or information prior to making a final decision regarding whether or not to approve the product candidate. The FDA or comparable foreign regulatory authorities, or IRBs and other reviewing entities,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For example, patients enrolled in our ongoing clinical trials of CAN-2409 and CAN-3110 have experienced mild to moderate adverse events, consisting mainly of flu-like symptoms and injection site reactions. In response to these adverse events, we have implemented prophylactic measures, including intravenous fluids, antiemetics and antipyretics. The FDA’s or a comparable foreign regulatory authority’s requests for additional data or information could also result in substantial delays in the approval of CAN-2409, CAN-3110 and future product candidates.</w:t>
      </w:r>
    </w:p>
    <w:p>
      <w:pPr>
        <w:spacing w:after="0" w:line="84" w:lineRule="exact"/>
        <w:rPr>
          <w:sz w:val="20"/>
          <w:szCs w:val="20"/>
          <w:color w:val="auto"/>
        </w:rPr>
      </w:pPr>
    </w:p>
    <w:p>
      <w:pPr>
        <w:ind w:right="400"/>
        <w:spacing w:after="0" w:line="267"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a product candidate may only be uncovered</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when a significantly larger number of patients are exposed to the product candidate or when patients are exposed for a longer period of time.</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Undesirable side effects caused by CAN-2409, CAN-3110 or any future product candidates could also result in denial of regulatory approval by the FDA or comparable foreign regulatory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the submission of a Risk Evaluation and Mitigation Strategy (REMS) to monitor the safety or efficacy of the products, and in turn prevent us from commercializing and generating revenues from the sale of CAN-2409, CAN-3110 and future product candidates. Any such limitations or restrictions could similarly impact any supplemental marketing approvals we may obtain for CAN-2409 and CAN-3110. Undesirable side effects may limit the potential market for any approved products or could result in restrictions on manufacturing processes, the discontinuation of the sales and marketing of the product, or withdrawal of product approvals. We could also be sued and held liable for harm caused to patients, or become subject to fines, injunctions or the imposition of civil or criminal penalties.</w:t>
      </w:r>
    </w:p>
    <w:p>
      <w:pPr>
        <w:spacing w:after="0" w:line="73" w:lineRule="exact"/>
        <w:rPr>
          <w:sz w:val="20"/>
          <w:szCs w:val="20"/>
          <w:color w:val="auto"/>
        </w:rPr>
      </w:pPr>
    </w:p>
    <w:p>
      <w:pPr>
        <w:ind w:right="300"/>
        <w:spacing w:after="0" w:line="241" w:lineRule="auto"/>
        <w:rPr>
          <w:sz w:val="20"/>
          <w:szCs w:val="20"/>
          <w:color w:val="auto"/>
        </w:rPr>
      </w:pPr>
      <w:r>
        <w:rPr>
          <w:rFonts w:ascii="Arial" w:cs="Arial" w:eastAsia="Arial" w:hAnsi="Arial"/>
          <w:sz w:val="17"/>
          <w:szCs w:val="17"/>
          <w:color w:val="auto"/>
        </w:rPr>
        <w:t>If CAN-2409, CAN-3110 and future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materially harm our business, financial condition, results of operations, stock price and prospects.</w:t>
      </w:r>
    </w:p>
    <w:p>
      <w:pPr>
        <w:spacing w:after="0" w:line="72"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The FDA’s agreement to a Special Protocol Assessment with respect to the study design of our pivotal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4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have obtained agreement from the FDA on the design and size of our pivotal phase 3 clinical trial of CAN-2409 in newly diagnosed localized prostate cancer in intermediate- and high-risk patients in combination with the SoC through a Special Protocol Assessment (SPA). 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Upon specific request by a clinical trial sponsor, the FDA will evaluate the protocol and respond to a sponsor’s questions regarding protocol design and scientific and regulatory requirements. The FDA aims to complete SPA reviews within 45 days of receipt of the request. The FDA ultimately assesses whether specific elements of the protocol design of the trial, such as entry criteria, dose selection, endpoints and/or planned analyses, are acceptable to support regulatory approval of the product with respect to the effectiveness of the indication studied. All exchanges between the FDA and the sponsor regarding an SPA must be clearly documented in an SPA letter or the minutes of a meeting between the sponsor and the FDA.</w:t>
      </w:r>
    </w:p>
    <w:p>
      <w:pPr>
        <w:spacing w:after="0" w:line="7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 While we have obtained an SPA agreement for our phase 3 clinical trial, we have subsequently made minor amendments to the protocol and have not obtained an SPA amendment in connection with the amended protocol.</w:t>
      </w:r>
    </w:p>
    <w:p>
      <w:pPr>
        <w:spacing w:after="0" w:line="7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addition, even after an SPA agreement is finalized, the SPA agreement may be modified, and such modification will be deemed binding on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w:t>
      </w:r>
    </w:p>
    <w:p>
      <w:pPr>
        <w:spacing w:after="0" w:line="69"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Moreover, if the FDA revokes or alters its agreement under the SPA, or interprets the data collected from the clinical trial differently than we do, the FDA may not deem the data sufficient to support an application for regulatory approval of CAN-2409 in prostate cancer.</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8" w:name="page59"/>
    <w:bookmarkEnd w:id="58"/>
    <w:p>
      <w:pPr>
        <w:ind w:right="120"/>
        <w:spacing w:after="0" w:line="256" w:lineRule="auto"/>
        <w:rPr>
          <w:sz w:val="20"/>
          <w:szCs w:val="20"/>
          <w:color w:val="auto"/>
        </w:rPr>
      </w:pPr>
      <w:r>
        <w:rPr>
          <w:rFonts w:ascii="Arial" w:cs="Arial" w:eastAsia="Arial" w:hAnsi="Arial"/>
          <w:sz w:val="17"/>
          <w:szCs w:val="17"/>
          <w:b w:val="1"/>
          <w:bCs w:val="1"/>
          <w:i w:val="1"/>
          <w:iCs w:val="1"/>
          <w:color w:val="auto"/>
        </w:rPr>
        <w:t>A fast track designation by the FDA, even though granted for CAN-2409 and CAN-3110, or if received for any other future product candidates, may not lead to a faster development or regulatory review or approval process, and does not increase the likelihood that our product candidates will receive marketing approval.</w:t>
      </w:r>
    </w:p>
    <w:p>
      <w:pPr>
        <w:spacing w:after="0" w:line="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have been granted fast track designation for the use of CAN-2409 for: (1) the treatment of localized, primary prostate cancer in combination with radiation therapy to improve the local control rate; (2) with valacyclovir in combination with pembrolizumab in order to improve survival or delay progression in patients with stage III/IV NSCLC who are resistant to first line PD-(L)1 inhibitor therapy and who do not have activating molecular driver mutations; and (3) with prodrug (valacyclovir) for the treatment of patients with pancreatic ductal adenocarcinoma (PDAC) to improve overall survival. CAN-3110 was also granted fast track designation for the treatment of patients with recurrent high-grade glioma to improve overall survival. We may also seek fast track designation for certain of our future product candidates, as appropriate. However, there is no assurance that the FDA will grant this status to CAN-3110, CAN-2409, or any of our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though we have received fast track designation for CAN-2409 and CAN-3110 or even if we receive fast track designation for our future product candidates or for additional indications in CAN-2409 and CAN-3110,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81"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4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We may seek breakthrough therapy designation for some or all of our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Sponsors of product candidates that have been designated as breakthrough therapies are eligible to receive more intensive FDA guidance on developing an efficient drug development program, an organizational commitment involving senior managers, and eligibility for rolling review and priority review. Drugs and biologics designated as breakthrough therapies by the FDA may also be eligible for other expedited approval programs, including accelerated approval.</w:t>
      </w:r>
    </w:p>
    <w:p>
      <w:pPr>
        <w:spacing w:after="0" w:line="7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developed and considered for approval that have not received breakthrough therapy designation and does not assure ultimate approval by the FDA. In addition, even if one or more of our product candidates qualify as breakthrough therapies, the FDA may later decide that the product no longer meets the conditions for qualification. Thus, even though we may seek breakthrough therapy designation for CAN-2409, CAN-3110 or some or all of our future product candidates for the treatment of various cancers, there can be no assurance that we will receive breakthrough therapy designation.</w:t>
      </w:r>
    </w:p>
    <w:p>
      <w:pPr>
        <w:spacing w:after="0" w:line="76" w:lineRule="exact"/>
        <w:rPr>
          <w:sz w:val="20"/>
          <w:szCs w:val="20"/>
          <w:color w:val="auto"/>
        </w:rPr>
      </w:pPr>
    </w:p>
    <w:p>
      <w:pPr>
        <w:ind w:right="380"/>
        <w:spacing w:after="0" w:line="256" w:lineRule="auto"/>
        <w:rPr>
          <w:sz w:val="20"/>
          <w:szCs w:val="20"/>
          <w:color w:val="auto"/>
        </w:rPr>
      </w:pPr>
      <w:r>
        <w:rPr>
          <w:rFonts w:ascii="Arial" w:cs="Arial" w:eastAsia="Arial" w:hAnsi="Arial"/>
          <w:sz w:val="17"/>
          <w:szCs w:val="17"/>
          <w:b w:val="1"/>
          <w:bCs w:val="1"/>
          <w:i w:val="1"/>
          <w:iCs w:val="1"/>
          <w:color w:val="auto"/>
        </w:rPr>
        <w:t>Accelerated approval by the FDA, even if granted for certain of our current or future product candidates, may not lead to a faster development or regulatory review or approval process and it does not increase the likelihood that our product candidates will receive marketing approval.</w:t>
      </w:r>
    </w:p>
    <w:p>
      <w:pPr>
        <w:spacing w:after="0" w:line="4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may seek approval of certain of our current or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may require that a sponsor of a product receiving accelerated approval perform adequate and well-controlled post-marketing clinical trials. These confirmatory trials must be completed with due diligence by the sponsor and, under the Food and Drug Omnibus Reform Act of 2022 (FDORA), the FDA is permitted to require, as appropriate, that such trials be underway prior to approval or within a specified time period after the date accelerated approval is granted. FDORA also requires sponsors to send updates to the FDA every 180 days on the status of such confirmatory trials, including progress toward enrollment targets, and the</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9" w:name="page60"/>
    <w:bookmarkEnd w:id="59"/>
    <w:p>
      <w:pPr>
        <w:ind w:right="60"/>
        <w:spacing w:after="0" w:line="237" w:lineRule="auto"/>
        <w:rPr>
          <w:sz w:val="20"/>
          <w:szCs w:val="20"/>
          <w:color w:val="auto"/>
        </w:rPr>
      </w:pPr>
      <w:r>
        <w:rPr>
          <w:rFonts w:ascii="Arial" w:cs="Arial" w:eastAsia="Arial" w:hAnsi="Arial"/>
          <w:sz w:val="17"/>
          <w:szCs w:val="17"/>
          <w:color w:val="auto"/>
        </w:rPr>
        <w:t>FDA must promptly post this information publicly. FDORA also gives the FDA increased authority to withdraw approval of a drug or biologic granted accelerated approval on an expedited basis if the sponsor fails to conduct such trials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that the product's accelerated approval will eventually be converted to a traditional FDA approval.</w:t>
      </w:r>
    </w:p>
    <w:p>
      <w:pPr>
        <w:spacing w:after="0" w:line="76"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b w:val="1"/>
          <w:bCs w:val="1"/>
          <w:i w:val="1"/>
          <w:iCs w:val="1"/>
          <w:color w:val="auto"/>
        </w:rPr>
        <w:t>We may seek approval of our product candidate into Real-Time Oncology Review (RTOR). This program may not lead to a faster regulatory review or approval process and does not increase the likelihood that our product candidate(s) will receive marketing approval.</w:t>
      </w:r>
    </w:p>
    <w:p>
      <w:pPr>
        <w:spacing w:after="0" w:line="30"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Participation in RTOR is voluntary. Our acceptance into RTOR does not guarantee or influence approval of our application, which is subject to the same statutory and regulatory requirements for approval as applications that are not included in RTOR. Although early approvals have occurred with applications selected for RTOR, this may not be the case for our application even if it is selected for RTOR. If at any time the FDA determines our participation in RTOR, if selected, is no longer appropriate, the FDA may rescind our acceptance and instruct us to follow routine submission procedures for marketing approval.</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i w:val="1"/>
          <w:iCs w:val="1"/>
          <w:color w:val="auto"/>
        </w:rPr>
        <w:t>Even if our development efforts are successful, we may not obtain regulatory approval of CAN-2409, CAN-3110 or any future product candidates in the United States or other jurisdictions, which would prevent us from commercializing CAN-2409, CAN-3110 and future product candidates. Even if we obtain regulatory approval for CAN-2409, CAN-3110 and future product candidates, any such approval may be subject to limitations, including with respect to the approved indications or patient populations, which could impair our ability to successfully commercialize CAN-2409, CAN-3110 or any future product candidates.</w:t>
      </w:r>
    </w:p>
    <w:p>
      <w:pPr>
        <w:spacing w:after="0" w:line="5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not permitted to market or promote or sell CAN-2409, CAN-3110 or any future product candidates before we receive regulatory approval from the FDA or comparable foreign regulatory authorities, and we may never receive such regulatory approval.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 If we do not receive approval from the FDA and comparable foreign regulatory authorities for any of CAN-2409, CAN-3110 and future product candidates, we will not be able to commercialize such product candidates in the United States or in other jurisdictions. If significant delays in obtaining approval for and commercializing CAN-2409, CAN-3110 and future product candidates occur in any jurisdictions, our business, financial condition, results of operations, stock price and prospects will be materially harmed. Even if CAN-2409, CAN-3110 and future product candidates are approved, they may:</w:t>
      </w:r>
    </w:p>
    <w:p>
      <w:pPr>
        <w:spacing w:after="0" w:line="76" w:lineRule="exact"/>
        <w:rPr>
          <w:sz w:val="20"/>
          <w:szCs w:val="20"/>
          <w:color w:val="auto"/>
        </w:rPr>
      </w:pPr>
    </w:p>
    <w:p>
      <w:pPr>
        <w:ind w:left="760" w:right="400" w:hanging="378"/>
        <w:spacing w:after="0" w:line="266" w:lineRule="auto"/>
        <w:tabs>
          <w:tab w:leader="none" w:pos="7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be subject to limitations on the indicated uses or patient populations for which they may be marketed, distribution restrictions, or other conditions of approval;</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not be approved with label statements necessary or desirable for successful commercialization; or</w:t>
      </w:r>
    </w:p>
    <w:p>
      <w:pPr>
        <w:spacing w:after="0" w:line="114" w:lineRule="exact"/>
        <w:rPr>
          <w:rFonts w:ascii="Times New Roman" w:cs="Times New Roman" w:eastAsia="Times New Roman" w:hAnsi="Times New Roman"/>
          <w:sz w:val="17"/>
          <w:szCs w:val="17"/>
          <w:color w:val="auto"/>
        </w:rPr>
      </w:pPr>
    </w:p>
    <w:p>
      <w:pPr>
        <w:ind w:left="760" w:right="560" w:hanging="378"/>
        <w:spacing w:after="0" w:line="266" w:lineRule="auto"/>
        <w:tabs>
          <w:tab w:leader="none" w:pos="7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contain requirements for costly post-market testing and surveillance, or other requirements, including the submission of a REMS, to monitor the safety or efficacy of the products.</w:t>
      </w:r>
    </w:p>
    <w:p>
      <w:pPr>
        <w:spacing w:after="0" w:line="5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We have not previously submitted a Biologics License Application (BLA), to the FDA, or a similar marketing application to comparable foreign regulatory authorities, for CAN-2409, CAN-3110 or any product candidate, and we can provide no assurance that we will ultimately be successful in obtaining regulatory approval for claims that are necessary or desirable for successful marketing, if at all.</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product candidate manufacturing or formulation may result in additional costs or delay.</w:t>
      </w:r>
    </w:p>
    <w:p>
      <w:pPr>
        <w:spacing w:after="0" w:line="10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As product candidates are developed through preclinical studies to later-stage clinical trials towards approval and commercialization, it is common that various aspects of the development program, such as manufacturing methods and formulation, are altered along the way in an effort to optimize processes and results. Any of these changes could cause CAN-2409, CAN-3110 or any future product candidates to perform differently and affect the results of planned clinical trials or other future clinical trials conducted with the altered materials. Changes in third-party manufacturers and manufacturing processes may also require additional testing, or notification to, or approval by the FDA or a comparable foreign regulatory authority. Such changes could be further delayed due to development of clinical-scale manufacturing and commercial-scale manufacturing operations. This could delay completion of clinical trials, require the conduct of bridging clinical trials or studies, require the repetition of one or more clinical trials, increase clinical trial costs, delay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0" w:name="page61"/>
    <w:bookmarkEnd w:id="60"/>
    <w:p>
      <w:pPr>
        <w:spacing w:after="0"/>
        <w:rPr>
          <w:sz w:val="20"/>
          <w:szCs w:val="20"/>
          <w:color w:val="auto"/>
        </w:rPr>
      </w:pPr>
      <w:r>
        <w:rPr>
          <w:rFonts w:ascii="Arial" w:cs="Arial" w:eastAsia="Arial" w:hAnsi="Arial"/>
          <w:sz w:val="17"/>
          <w:szCs w:val="17"/>
          <w:color w:val="auto"/>
        </w:rPr>
        <w:t>approval of CAN-2409, CAN-3110 and future product candidates and jeopardize our ability to commence product sales and generate revenue.</w:t>
      </w:r>
    </w:p>
    <w:p>
      <w:pPr>
        <w:spacing w:after="0" w:line="102" w:lineRule="exact"/>
        <w:rPr>
          <w:sz w:val="20"/>
          <w:szCs w:val="20"/>
          <w:color w:val="auto"/>
        </w:rPr>
      </w:pPr>
    </w:p>
    <w:p>
      <w:pPr>
        <w:ind w:right="240"/>
        <w:spacing w:after="0" w:line="248"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6"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2" w:lineRule="exact"/>
        <w:rPr>
          <w:sz w:val="20"/>
          <w:szCs w:val="20"/>
          <w:color w:val="auto"/>
        </w:rPr>
      </w:pPr>
    </w:p>
    <w:p>
      <w:pPr>
        <w:ind w:right="160"/>
        <w:spacing w:after="0" w:line="237" w:lineRule="auto"/>
        <w:rPr>
          <w:sz w:val="20"/>
          <w:szCs w:val="20"/>
          <w:color w:val="auto"/>
        </w:rPr>
      </w:pPr>
      <w:r>
        <w:rPr>
          <w:rFonts w:ascii="Arial" w:cs="Arial" w:eastAsia="Arial" w:hAnsi="Arial"/>
          <w:sz w:val="17"/>
          <w:szCs w:val="17"/>
          <w:color w:val="auto"/>
        </w:rPr>
        <w:t>Disruptions at the FDA and other agencies may also slow the time necessary for new product candidates to be reviewed and/or approved by necessary government agencies, which would adversely affect our business. For example, over the last several years the U.S. federal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A potential U.S. federal government shutdown may also increase uncertainty and volatility in the global economy and financial markets, which could negatively impact our business. Further, future government shutdowns could impact our ability to access the public markets and obtain necessary capital in order to properly capitalize and continue our operations.</w:t>
      </w:r>
    </w:p>
    <w:p>
      <w:pPr>
        <w:spacing w:after="0" w:line="76" w:lineRule="exact"/>
        <w:rPr>
          <w:sz w:val="20"/>
          <w:szCs w:val="20"/>
          <w:color w:val="auto"/>
        </w:rPr>
      </w:pPr>
    </w:p>
    <w:p>
      <w:pPr>
        <w:jc w:val="both"/>
        <w:ind w:right="160"/>
        <w:spacing w:after="0" w:line="280" w:lineRule="auto"/>
        <w:rPr>
          <w:sz w:val="20"/>
          <w:szCs w:val="20"/>
          <w:color w:val="auto"/>
        </w:rPr>
      </w:pPr>
      <w:r>
        <w:rPr>
          <w:rFonts w:ascii="Arial" w:cs="Arial" w:eastAsia="Arial" w:hAnsi="Arial"/>
          <w:sz w:val="17"/>
          <w:szCs w:val="17"/>
          <w:b w:val="1"/>
          <w:bCs w:val="1"/>
          <w:i w:val="1"/>
          <w:iCs w:val="1"/>
          <w:color w:val="auto"/>
        </w:rPr>
        <w:t>Even if CAN-2409, CAN-3110 or any future product candidates receive regulatory approval, we will be subject to ongoing obligations and continued regulatory review, which may result in significant additional expense and limit how we manufacture and market our products.</w:t>
      </w:r>
    </w:p>
    <w:p>
      <w:pPr>
        <w:spacing w:after="0" w:line="3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Any product candidate for which we may obtain marketing approval will be subject to extensive and ongoing requirements of and review by the FDA and comparable foreign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good manufacturing practice (cGMP), requirements relating to manufacturing, quality control, quality assurance, and corresponding maintenance of records and documents, and good clinical practices (GCPs), for any clinical trials that we conduct post-approval.</w:t>
      </w:r>
    </w:p>
    <w:p>
      <w:pPr>
        <w:spacing w:after="0" w:line="74"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The FDA and comparable foreign regulatory authorities will continue to closely monitor the safety profile of any product even after approval. If the FDA or comparable foreign regulatory authorities become aware of new safety information after approval of any of CAN-2409, CAN-3110 and future product candidates, they may withdraw approval, issue public safety alerts,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7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and any of our suppliers or collaborators, including our CDMOs, could be subject to periodic unannounced inspections by the FDA to monitor and ensure compliance with cGMPs and other FDA regulatory requirements.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Application holders must further notify the FDA, and depending on the nature of the change, obtain FDA pre-approval for product and manufacturing changes.</w:t>
      </w:r>
    </w:p>
    <w:p>
      <w:pPr>
        <w:spacing w:after="0" w:line="7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addition, later discovery of previously unknown adverse events or that the product is less effective than previously thought or other problems with any products, manufacturers or manufacturing processes, or failure to comply with regulatory requirements both before and after approval, may yield various negative results, including:</w:t>
      </w:r>
    </w:p>
    <w:p>
      <w:pPr>
        <w:spacing w:after="0" w:line="67"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restrictions on manufacturing, distribution, or marketing of such products;</w:t>
      </w:r>
    </w:p>
    <w:p>
      <w:pPr>
        <w:spacing w:after="0" w:line="114" w:lineRule="exact"/>
        <w:rPr>
          <w:rFonts w:ascii="Times New Roman" w:cs="Times New Roman" w:eastAsia="Times New Roman" w:hAnsi="Times New Roman"/>
          <w:sz w:val="17"/>
          <w:szCs w:val="17"/>
          <w:color w:val="auto"/>
        </w:rPr>
      </w:pPr>
    </w:p>
    <w:p>
      <w:pPr>
        <w:ind w:left="760" w:hanging="378"/>
        <w:spacing w:after="0" w:line="266" w:lineRule="auto"/>
        <w:tabs>
          <w:tab w:leader="none" w:pos="76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restrictions on the labeling, including required additional warnings, such as boxed warnings, contraindications, precautions, and restrictions on the approved indication or use;</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manufacturing delays and supply disruptions where regulatory inspections identify observations of noncompliance requiring remediation;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modifications to promotional pieces;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1" w:name="page62"/>
    <w:bookmarkEnd w:id="61"/>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issuance of corrective information;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requirements to conduct post-marketing studies or other clinical trials;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clinical holds or termination of clinical trials;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requirements to establish or modify a REMS or similar strategy;</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changes to the way the product is administered to patients;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liability for harm caused to patients or subjects;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reputational harm;</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product becoming less competitive;</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warning or untitled letters;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suspension of marketing or withdrawal of the products from the market;</w:t>
      </w:r>
    </w:p>
    <w:p>
      <w:pPr>
        <w:spacing w:after="0" w:line="114" w:lineRule="exact"/>
        <w:rPr>
          <w:rFonts w:ascii="Times New Roman" w:cs="Times New Roman" w:eastAsia="Times New Roman" w:hAnsi="Times New Roman"/>
          <w:sz w:val="17"/>
          <w:szCs w:val="17"/>
          <w:color w:val="auto"/>
        </w:rPr>
      </w:pPr>
    </w:p>
    <w:p>
      <w:pPr>
        <w:ind w:left="760" w:right="600" w:hanging="378"/>
        <w:spacing w:after="0" w:line="266" w:lineRule="auto"/>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product;</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recalls of products;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fines, restitution or disgorgement of profits or revenues;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suspension or withdrawal of marketing approvals;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refusal to permit the import or export of our products;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product seizure or detention;</w:t>
      </w:r>
    </w:p>
    <w:p>
      <w:pPr>
        <w:spacing w:after="0" w:line="114" w:lineRule="exact"/>
        <w:rPr>
          <w:rFonts w:ascii="Times New Roman" w:cs="Times New Roman" w:eastAsia="Times New Roman" w:hAnsi="Times New Roman"/>
          <w:sz w:val="17"/>
          <w:szCs w:val="17"/>
          <w:color w:val="auto"/>
        </w:rPr>
      </w:pPr>
    </w:p>
    <w:p>
      <w:pPr>
        <w:ind w:left="760" w:right="540" w:hanging="378"/>
        <w:spacing w:after="0" w:line="266" w:lineRule="auto"/>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injunctions or the imposition of civil, criminal or administrative penalties, including imprisonment.</w:t>
      </w:r>
    </w:p>
    <w:p>
      <w:pPr>
        <w:spacing w:after="0" w:line="11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Any of these events could prevent us from achieving or maintaining market acceptance of any particular product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spacing w:after="0" w:line="69" w:lineRule="exact"/>
        <w:rPr>
          <w:sz w:val="20"/>
          <w:szCs w:val="20"/>
          <w:color w:val="auto"/>
        </w:rPr>
      </w:pPr>
    </w:p>
    <w:p>
      <w:pPr>
        <w:ind w:right="300"/>
        <w:spacing w:after="0" w:line="241" w:lineRule="auto"/>
        <w:rPr>
          <w:sz w:val="20"/>
          <w:szCs w:val="20"/>
          <w:color w:val="auto"/>
        </w:rPr>
      </w:pPr>
      <w:r>
        <w:rPr>
          <w:rFonts w:ascii="Arial" w:cs="Arial" w:eastAsia="Arial" w:hAnsi="Arial"/>
          <w:sz w:val="17"/>
          <w:szCs w:val="17"/>
          <w:color w:val="auto"/>
        </w:rPr>
        <w:t>Further, the FDA’s policies or those of comparable foreign regulatory authorities may change and could impose extensive and ongoing regulatory requirements and obligations on any product candidate for which we obtain marketing approval.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 which would adversely affect our business, prospects and ability to achieve or sustain profitability.</w:t>
      </w:r>
    </w:p>
    <w:p>
      <w:pPr>
        <w:spacing w:after="0" w:line="72"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Regulatory approval by the FDA or comparable foreign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w:t>
      </w:r>
    </w:p>
    <w:p>
      <w:pPr>
        <w:spacing w:after="0" w:line="56"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the Office of Inspector General for the Department of Health and Human Services (HHS),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CAN-2409, CAN-3110 and future product candidates, we may not market or promote them for those indications and uses, referred to as off-label uses, and our business, financial condition, results of operations, stock price and prospects will be materially harmed. We also must sufficiently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2" w:name="page63"/>
    <w:bookmarkEnd w:id="62"/>
    <w:p>
      <w:pPr>
        <w:ind w:right="80"/>
        <w:spacing w:after="0" w:line="267" w:lineRule="auto"/>
        <w:rPr>
          <w:sz w:val="20"/>
          <w:szCs w:val="20"/>
          <w:color w:val="auto"/>
        </w:rPr>
      </w:pPr>
      <w:r>
        <w:rPr>
          <w:rFonts w:ascii="Arial" w:cs="Arial" w:eastAsia="Arial" w:hAnsi="Arial"/>
          <w:sz w:val="17"/>
          <w:szCs w:val="17"/>
          <w:color w:val="auto"/>
        </w:rPr>
        <w:t>substantiate any claims that we make for any products, including claims comparing those products to other companies’ products, and must abide by the FDA’s strict requirements regarding the content of promotion and advertising.</w:t>
      </w:r>
    </w:p>
    <w:p>
      <w:pPr>
        <w:spacing w:after="0" w:line="5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Physicians may choose to prescribe products for uses that are not described in the product’s labeling and for uses that differ from those tested in clinical trials and approved by the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6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If we are found to have impermissibly promoted any of CAN-2409, CAN-3110 and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In the United States, engaging in the impermissible promotion of any products, following approval, for off-label uses can also subject us to false claims and other litigation under federal and state statutes. These include fraud and abuse and consumer protection laws, which can lead to civil and criminal penalties and fines, agreements with governmental authorities that materially restrict the manner in which we promote or distribute therapeutic products and conduct our business. These restrictions could include corporate integrity agreements, suspension or exclusion from participation in federal and state healthcare programs, and suspension and debarment from government contracts and refusal of orders under existing government contracts. These False Claims Act lawsuits against manufacturers of drugs and biologics have increased significantly in volume and breadth, leading to several substantial civil and criminal settlements pertaining to certain sales practices and promoting off-label uses. In addition, False Claims Act lawsuits may expose manufacturers to follow-on claims by private payers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spacing w:after="0" w:line="7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 the United States, the promotion of biopharmaceutical products is subject to additional FDA requirements and restrictions on promotional statements. If, after CAN-2409, CAN-3110 or any future product candidates obtains 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spacing w:after="0" w:line="76"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b w:val="1"/>
          <w:bCs w:val="1"/>
          <w:i w:val="1"/>
          <w:iCs w:val="1"/>
          <w:color w:val="auto"/>
        </w:rPr>
        <w:t>We may not be able to file INDs or IND amendments to commence additional clinical trials on the timelines we expect, and even if we are able to, the FDA or a comparable foreign regulatory may not permit us to proceed.</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FDA or comparable foreign regulatory authorities may require us to file separate INDs for additional clinical trials we plan to conduct with our current most advanced product candidates, CAN-2409 and CAN-3110. We may not be able to file any additional INDs required for our current product candidates and any future product candidates on the timelines we expect. For example, we may experience delays if we are unable to access earlier data from inactive or withdrawn INDs. Moreover, we cannot be sure that submission of an IND will result in the FDA or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expected timelines to obtain regulatory approvals for our trials may prevent us from completing our clinical trials or commercializing our products on a timely basis, if at all. There are similar risks related to the review and authorization of our protocols and amendments by comparable foreign regulatory authorities.</w:t>
      </w:r>
    </w:p>
    <w:p>
      <w:pPr>
        <w:spacing w:after="0" w:line="76"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b w:val="1"/>
          <w:bCs w:val="1"/>
          <w:i w:val="1"/>
          <w:iCs w:val="1"/>
          <w:color w:val="auto"/>
        </w:rPr>
        <w:t>If approved, our investigational products regulated as biologics may face competition from biosimilars approved through an abbreviated regulatory pathway.</w:t>
      </w:r>
    </w:p>
    <w:p>
      <w:pPr>
        <w:spacing w:after="0" w:line="30"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the ACA), includes a subtitle called the Biologics Price Competition and Innovation Act of 2009</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3" w:name="page64"/>
    <w:bookmarkEnd w:id="63"/>
    <w:p>
      <w:pPr>
        <w:ind w:right="60"/>
        <w:spacing w:after="0" w:line="237" w:lineRule="auto"/>
        <w:rPr>
          <w:sz w:val="20"/>
          <w:szCs w:val="20"/>
          <w:color w:val="auto"/>
        </w:rPr>
      </w:pPr>
      <w:r>
        <w:rPr>
          <w:rFonts w:ascii="Arial" w:cs="Arial" w:eastAsia="Arial" w:hAnsi="Arial"/>
          <w:sz w:val="17"/>
          <w:szCs w:val="17"/>
          <w:color w:val="auto"/>
        </w:rPr>
        <w:t>(BPCIA), which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7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believe that any of our product candidates approved as a biologic product under a BLA should qualify for the 12-year period of exclusivity. However, there is a risk that this exclusivity could be shortened or unavailable due to congressional action, a determination that approval of one of our candidates does not constitute “first licensure” or otherwise, or that the FDA will not consider our investigational medicines to be reference products for competing products, potentially creating the opportunity for generic competition sooner than anticipated.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spacing w:after="0" w:line="74"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51"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b w:val="1"/>
          <w:bCs w:val="1"/>
          <w:i w:val="1"/>
          <w:iCs w:val="1"/>
          <w:color w:val="auto"/>
        </w:rPr>
        <w:t>The size of the potential market for our product candidates is difficult to estimate and, if any of our assumptions are inaccurate, the actual markets for our product candidates may be smaller than our estimates.</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current and future target patient populations are based on our beliefs and estimates regarding the incidence or prevalence of certain types of the indications that may be addressable by our product candidates, which is derived from a variety of sources, including scientific literature and surveys of clinics. Our projections may prove to be incorrect and the number of potential patients may turn out to be lower than expected.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the success of competing therapies and product pricing and reimbursement. Further, the market opportunity for viral immunotherapies is hard to estimate given that it is an emerging field with few globally or FDA-approved therapies, none of which have yet to enjoy broad market acceptance. Even if we obtain significant market share for our product candidates, because the potential target populations could be small, we may never achieve profitability without obtaining regulatory approval for additional indications.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 measures may have a material adverse effect on our business and results of operations.</w:t>
      </w:r>
    </w:p>
    <w:p>
      <w:pPr>
        <w:spacing w:after="0" w:line="102"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Among policy-makers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For more information, see Part I, Item 1 “Business - Health Reform”.</w:t>
      </w:r>
    </w:p>
    <w:p>
      <w:pPr>
        <w:spacing w:after="0" w:line="76"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continuing efforts of the government, insurance companies, managed care organizations and other payers of healthcare services to contain or reduce costs of healthcare may adversely affect:</w:t>
      </w:r>
    </w:p>
    <w:p>
      <w:pPr>
        <w:spacing w:after="0" w:line="51"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the demand for any of our product candidates, if approved;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to set a price that we believe is fair for any of our product candidates, if approved;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generate revenues and achieve or maintain profitability;</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taxes that we are required to pay;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capital.</w:t>
      </w:r>
    </w:p>
    <w:p>
      <w:pPr>
        <w:spacing w:after="0" w:line="114"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4" w:name="page65"/>
    <w:bookmarkEnd w:id="64"/>
    <w:p>
      <w:pPr>
        <w:ind w:right="500"/>
        <w:spacing w:after="0" w:line="267" w:lineRule="auto"/>
        <w:rPr>
          <w:sz w:val="20"/>
          <w:szCs w:val="20"/>
          <w:color w:val="auto"/>
        </w:rPr>
      </w:pPr>
      <w:r>
        <w:rPr>
          <w:rFonts w:ascii="Arial" w:cs="Arial" w:eastAsia="Arial" w:hAnsi="Arial"/>
          <w:sz w:val="17"/>
          <w:szCs w:val="17"/>
          <w:color w:val="auto"/>
        </w:rPr>
        <w:t>Congress of the FDA’s approval process may significantly delay or prevent marketing approval, as well as subject us to more stringent product labeling and post-marketing testing and other requirements.</w:t>
      </w:r>
    </w:p>
    <w:p>
      <w:pPr>
        <w:spacing w:after="0" w:line="5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w:t>
      </w:r>
    </w:p>
    <w:p>
      <w:pPr>
        <w:spacing w:after="0" w:line="6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7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4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do not currently have a sales or marketing infrastructure and have limited experience in the sales, marketing, patient support or distribution of products.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7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Factors that may inhibit our efforts to commercialize our current or future product candidates on our own include:</w:t>
      </w:r>
    </w:p>
    <w:p>
      <w:pPr>
        <w:spacing w:after="0" w:line="102" w:lineRule="exact"/>
        <w:rPr>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our inability to recruit and retain adequate numbers of effective sales and marketing personnel;</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of sales personnel to obtain access to physicians or persuade adequate numbers of physicians to use any future products;</w:t>
      </w:r>
    </w:p>
    <w:p>
      <w:pPr>
        <w:spacing w:after="0" w:line="114" w:lineRule="exact"/>
        <w:rPr>
          <w:rFonts w:ascii="Times New Roman" w:cs="Times New Roman" w:eastAsia="Times New Roman" w:hAnsi="Times New Roman"/>
          <w:sz w:val="17"/>
          <w:szCs w:val="17"/>
          <w:color w:val="auto"/>
        </w:rPr>
      </w:pPr>
    </w:p>
    <w:p>
      <w:pPr>
        <w:ind w:left="760" w:right="800" w:hanging="378"/>
        <w:spacing w:after="0" w:line="266" w:lineRule="auto"/>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114" w:lineRule="exact"/>
        <w:rPr>
          <w:sz w:val="20"/>
          <w:szCs w:val="20"/>
          <w:color w:val="auto"/>
        </w:rPr>
      </w:pPr>
    </w:p>
    <w:p>
      <w:pPr>
        <w:ind w:right="240"/>
        <w:spacing w:after="0" w:line="237" w:lineRule="auto"/>
        <w:rPr>
          <w:sz w:val="20"/>
          <w:szCs w:val="20"/>
          <w:color w:val="auto"/>
        </w:rPr>
      </w:pPr>
      <w:r>
        <w:rPr>
          <w:rFonts w:ascii="Arial" w:cs="Arial" w:eastAsia="Arial" w:hAnsi="Arial"/>
          <w:sz w:val="17"/>
          <w:szCs w:val="17"/>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76"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If any product candidate for which we receive regulatory approval does not achieve broad market acceptance among physicians, patients, healthcare payors, and the medical community, the revenues that we generate from its sales will be limited.</w:t>
      </w:r>
    </w:p>
    <w:p>
      <w:pPr>
        <w:spacing w:after="0" w:line="30"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Even if our product candidates receive regulatory approval, they may not gain market acceptance among physicians, patients, healthcare payors, and others in the medical community. Commercial success also will depend, in large part, on the coverage and reimbursement of our product candidates by third-party payors, including private insurance providers and government payors. The degree of market acceptance of any approved product would depend on a number of factors, including:</w:t>
      </w:r>
    </w:p>
    <w:p>
      <w:pPr>
        <w:spacing w:after="0" w:line="69" w:lineRule="exact"/>
        <w:rPr>
          <w:sz w:val="20"/>
          <w:szCs w:val="20"/>
          <w:color w:val="auto"/>
        </w:rPr>
      </w:pPr>
    </w:p>
    <w:p>
      <w:pPr>
        <w:ind w:left="5520" w:right="5420" w:hanging="5138"/>
        <w:spacing w:after="0" w:line="681" w:lineRule="auto"/>
        <w:tabs>
          <w:tab w:leader="none" w:pos="747"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the efficacy, safety and tolerability as demonstrated in clinical trials;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5" w:name="page66"/>
    <w:bookmarkEnd w:id="65"/>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market introduction of such product candidate as well as competitive products;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the product is approved;</w:t>
      </w:r>
    </w:p>
    <w:p>
      <w:pPr>
        <w:spacing w:after="0" w:line="114" w:lineRule="exact"/>
        <w:rPr>
          <w:rFonts w:ascii="Times New Roman" w:cs="Times New Roman" w:eastAsia="Times New Roman" w:hAnsi="Times New Roman"/>
          <w:sz w:val="17"/>
          <w:szCs w:val="17"/>
          <w:color w:val="auto"/>
        </w:rPr>
      </w:pPr>
    </w:p>
    <w:p>
      <w:pPr>
        <w:ind w:left="760" w:right="380" w:hanging="378"/>
        <w:spacing w:after="0" w:line="266" w:lineRule="auto"/>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acceptance by physicians, major operators of cancer or neurology clinics and patients of the product as a safe, tolerable and effective treatment;</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and perceived advantages of the product candidate over alternative treatments;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safety and tolerability of the product candidate in a broader patient group;</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treatment in relation to alternative treatments;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adequate reimbursement by third party payors and government authorities;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regulatory requirements by government authorities for the product candidate;</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relative convenience and ease of administration;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side effects and adverse events;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effectiveness of our sales and marketing efforts;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favorable or unfavorable publicity relating to the product or relating to the Company.</w:t>
      </w:r>
    </w:p>
    <w:p>
      <w:pPr>
        <w:spacing w:after="0" w:line="11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healthcare payors and patients, we may not generate sufficient revenue from these products and we may not become profitable, which would have a material adverse effect on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develop additional product candidates, our commercial opportunity could be limited.</w:t>
      </w:r>
    </w:p>
    <w:p>
      <w:pPr>
        <w:spacing w:after="0" w:line="102"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We expect initially to develop our most advanced product candidates, CAN-2409 and CAN-3110. A key part of our strategy, however, is to pursue clinical development of additional product candidates. Developing, obtaining marketing approval for, and commercializing additional product candidates will require substantial additional funding and will be subject to the risks of failure inherent in medical product development. We cannot assure you that we will be able to successfully advance any of these additional product candidates through the development process.</w:t>
      </w:r>
    </w:p>
    <w:p>
      <w:pPr>
        <w:spacing w:after="0" w:line="69"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Even if we obtain approval from the FDA or comparable foreign regulatory authorities to market additional product candidates for the treatment of solid tumors,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72"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4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Although we do not currently have any drugs on the market, if we begin commercializing our current or future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current or future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current or future product candidates for which we obtain marketing approval.</w:t>
      </w:r>
    </w:p>
    <w:p>
      <w:pPr>
        <w:spacing w:after="0" w:line="7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as well as additional</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6" w:name="page67"/>
    <w:bookmarkEnd w:id="66"/>
    <w:p>
      <w:pPr>
        <w:ind w:right="640"/>
        <w:spacing w:after="0" w:line="267" w:lineRule="auto"/>
        <w:rPr>
          <w:sz w:val="20"/>
          <w:szCs w:val="20"/>
          <w:color w:val="auto"/>
        </w:rPr>
      </w:pPr>
      <w:r>
        <w:rPr>
          <w:rFonts w:ascii="Arial" w:cs="Arial" w:eastAsia="Arial" w:hAnsi="Arial"/>
          <w:sz w:val="17"/>
          <w:szCs w:val="17"/>
          <w:color w:val="auto"/>
        </w:rPr>
        <w:t>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potential liability if we obtain identifiable patient health information from clinical trials sponsored by us.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HIPAA, as amended by the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232"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Foreign data protection laws, including the European Union’s General Data Protection Regulation (the EU GDPR), and the United Kingdom (or UK) equivalent of the same (the UK GDPR, together with the EU GDPR, the GDPR) may also apply to our processing of health-related and other personal data.</w:t>
      </w:r>
    </w:p>
    <w:p>
      <w:pPr>
        <w:spacing w:after="0" w:line="6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GDPR imposes stringent requirements for controllers and processors of personal data of individuals within the European Economic Area (the EEA) or the UK. The GDPR applies to any company established in the EEA or UK as well as to those outside the EEA or UK if they collect and use personal data in connection with the offering of goods or services to individuals in the EEA or UK or the monitoring of their behavior. The GDPR, together with national legislation, regulations and guidelines of the EEA Member States and the UK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UK,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(£17.5 million) or 4% of the annual global revenues of the noncompliant company, whichever is greater. Currently, the EU GDPR and UK GDPR remain largely aligned, but the UK has announced plans to reform the country’s data protection legal framework in its Data Reform Bill, which will introduce significant changes from the EU GDPR. This may lead to additional compliance costs and could increase our overall risk exposure as we may no longer be able to take a unified approach across the EEA and the UK, and we will need to amend our processes and procedures to align with the new framework.</w:t>
      </w:r>
    </w:p>
    <w:p>
      <w:pPr>
        <w:spacing w:after="0" w:line="7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GDPR also imposes restrictions in relation to the international transfer of personal data from the EEA and UK and other countries in respect of which the European Commission or the UK government has not issued a so-called “adequacy decision” or “adequacy regulation” (known as “third countries”), unless the parties to the transfer have implemented specific safeguards to protect the transferred personal data. This includes putting in place the European Commission’s Standard Contractual Clauses for transfers outside of the EEA and a similar transfer mechanism for transfers of personal data outside of the UK, the International Data Transfer Agreement or Addendum (IDTA). Under both the EU GDPR and the UK GDPR, exporters are also required to assess the risk of the data transfer on a case-by-case basis, including an analysis of the laws in the destination country.</w:t>
      </w:r>
    </w:p>
    <w:p>
      <w:pPr>
        <w:spacing w:after="0" w:line="74"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In July 2023, the European Commission adopted its adequacy decision for the EU-U.S. Data Privacy Framework (Framework), the successor of the EU-U.S. Privacy Shield framework, which the Court of Justice of the European Union invalidated in 2020. On the basis of the new adequacy decision, personal data can flow safely from the EU to U.S. companies participating in the Framework, without having to put in place additional data protection safeguards. However, the Framework has already been challenged in European courts, which may lead to its invalidation.</w:t>
      </w:r>
    </w:p>
    <w:p>
      <w:pPr>
        <w:spacing w:after="0" w:line="69"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 action-type litigation.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7" w:name="page68"/>
    <w:bookmarkEnd w:id="67"/>
    <w:p>
      <w:pPr>
        <w:ind w:right="80"/>
        <w:spacing w:after="0" w:line="235" w:lineRule="auto"/>
        <w:rPr>
          <w:sz w:val="20"/>
          <w:szCs w:val="20"/>
          <w:color w:val="auto"/>
        </w:rPr>
      </w:pPr>
      <w:r>
        <w:rPr>
          <w:rFonts w:ascii="Arial" w:cs="Arial" w:eastAsia="Arial" w:hAnsi="Arial"/>
          <w:sz w:val="17"/>
          <w:szCs w:val="17"/>
          <w:color w:val="auto"/>
        </w:rPr>
        <w:t>In addition, governments in the United States are increasingly passing stringent privacy laws. California recently enacted and has proposed companion regulations to the California Consumer Privacy Act (CCPA), which went into effect January 1, 2020. The CCPA creates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As of March 28, 2020, the California State Attorney General has proposed varying versions of companion draft regulations which are not yet finalized. Despite the delay in adopting regulations, the California State Attorney General commenced enforcement actions against violators on July 1, 2020. While there are currently exceptions for protected health information that is subject to HIPAA and clinical trial regulations, as currently written, the CCPA may impact our business activities. On August 14, 2020, implementing regulations were finalized and became effective as of that date. While clinical trial data and information governed by HIPAA are currently exempt from the current version of the CCPA, other personal information may be applicable and possible changes to the CCPA may broaden its scope. We continue to monitor the impact the CCPA may have on our business activities.</w:t>
      </w:r>
    </w:p>
    <w:p>
      <w:pPr>
        <w:spacing w:after="0" w:line="7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7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Also, on March 2, 2021, Virginia enacted the Consumer Data Protection Act (CDPA). The CDPA will become effective January 1, 2023. The CDPA will regulate how businesses, which the CDPA refers to as “controllers”, collect and share personal information. The law applies to companies that conduct business in Virginia or product products or services that are targeted to residents of Virginia and either: (1) annually control or process personal data of at least 100,000 Virginia residents; or (2) control or process the personal data of at least 25,000 Virginia residents and derive over 50% of gross revenue from the sale of personal data.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 personal data to affiliates, and respond to consumer rights requests. In addition, on July 8, 2021, Colorado’s governor signed the Colorado Privacy Act (CPA) into law. The CPA is rather similar to the Virginia’s CPDA but also contains additional requirements. The new measure applies to companies conducting business in Colorado or who produce or deliver commercial products or services intentionally targeted to its residents of the state and that either: (1) control or process the personal data of at least 100,000 Colorado residents during a calendar year; or (2) derive revenue or receive a discount on the price of goods or services from the sale of personal data and process or control the personal data of at least 25,000 Colorado residents.</w:t>
      </w:r>
    </w:p>
    <w:p>
      <w:pPr>
        <w:spacing w:after="0" w:line="7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Moreover, on March 24, 2022, Utah’s governor signed the Utah Consumer Privacy Act (UCPA) into law. The UCPA will take effect on December 31, 2023. Also, in May 2022, Connecticut Governor Lamont signed the Connecticut Data Privacy Act (CTDPA) into laws. The UCPA and CTDPA draw heavily upon their predecessors in Virginia and Colorado. With the CTDPA, Connecticut became the fifth state to enact a comprehensive privacy law. New privacy and data security laws have been proposed in more than half of the states in the U.S. and in the U.S. Congress. With bills proposed in many other jurisdictions, it remains quite possible that other states will follow suit.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w:t>
      </w:r>
    </w:p>
    <w:p>
      <w:pPr>
        <w:spacing w:after="0" w:line="7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6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8" w:name="page69"/>
    <w:bookmarkEnd w:id="68"/>
    <w:p>
      <w:pPr>
        <w:ind w:right="340"/>
        <w:spacing w:after="0" w:line="267" w:lineRule="auto"/>
        <w:rPr>
          <w:sz w:val="20"/>
          <w:szCs w:val="20"/>
          <w:color w:val="auto"/>
        </w:rPr>
      </w:pPr>
      <w:r>
        <w:rPr>
          <w:rFonts w:ascii="Arial" w:cs="Arial" w:eastAsia="Arial" w:hAnsi="Arial"/>
          <w:sz w:val="17"/>
          <w:szCs w:val="17"/>
          <w:color w:val="auto"/>
        </w:rPr>
        <w:t>we have violated individuals’ privacy rights or breached our contractual obligations, even if we are not found liable, could be expensive and time-consuming to defend and could result in adverse publicity that could harm our business.</w:t>
      </w:r>
    </w:p>
    <w:p>
      <w:pPr>
        <w:spacing w:after="0" w:line="5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If we or third-party contract research organizations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74"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color w:val="auto"/>
        </w:rPr>
        <w:t>Additionally, we are subject to other state and foreign equivalents of each of the healthcare laws described above, among others, some of which may be broader in scope and may apply regardless of the payor.</w:t>
      </w:r>
    </w:p>
    <w:p>
      <w:pPr>
        <w:spacing w:after="0" w:line="51"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0" w:lineRule="exact"/>
        <w:rPr>
          <w:sz w:val="20"/>
          <w:szCs w:val="20"/>
          <w:color w:val="auto"/>
        </w:rPr>
      </w:pPr>
    </w:p>
    <w:p>
      <w:pPr>
        <w:ind w:right="240"/>
        <w:spacing w:after="0" w:line="23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 Matters, Managing Growth and General Business Operations</w:t>
      </w:r>
    </w:p>
    <w:p>
      <w:pPr>
        <w:spacing w:after="0" w:line="10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b w:val="1"/>
          <w:bCs w:val="1"/>
          <w:i w:val="1"/>
          <w:iCs w:val="1"/>
          <w:color w:val="auto"/>
        </w:rPr>
        <w:t>Any future public health crisis may affect our ability to complete our ongoing clinical trials and initiate and complete other preclinical studies, planned clinical trials or future clinical trials, disrupt regulatory activities, disrupt our manufacturing and supply chain or have other adverse effects on our business and operations. In addition, any future public health crisis may cause substantial disruption in the financial markets and may adversely impact economies worldwide, both of which could result in adverse effects on our business, operations and ability to raise capital.</w:t>
      </w:r>
    </w:p>
    <w:p>
      <w:pPr>
        <w:spacing w:after="0" w:line="59"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Any future public health crisis may cause governments to implement measures to slow the spread of the public health crisis through quarantines, travel restrictions, heightened border scrutiny and other measures. Government measures taken in response to any future public health crisis may also have a significant impact, both directly and indirectly, on businesses and commerce, as worker shortages may occur; supply chains may be disrupted; facilities and production may be suspended; and demand for certain goods and services, such as medical services and supplies, may spike, while demand for other goods and services, such as travel may fall. The extent to which any future public health crisis may in the future have an impact on our operations or those of the third parties on which we rely depends on many factors, which are highly uncertain and cannot be predicted with confidence. Additionally, the conduct of our clinical trials, preclinical studies and manufacturing activities is dependent upon the availability of clinical trial sites, CROs, CDMOs, researchers and investigators, regulatory agency personnel and logistics providers, all of which may in the future be adversely affected by any future public health crisis.</w:t>
      </w:r>
    </w:p>
    <w:p>
      <w:pPr>
        <w:spacing w:after="0" w:line="79"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Any negative impact that any future public health crisis may have on enrolling or retaining patients in our clinical trials, the ability of our suppliers to provide materials for our product candidates, or the regulatory review process could cause delays with respect to product development activities, which could materially and adversely affect our ability to obtain marketing approval for and to commercialize our product candidates, increase our operating expenses, affect our ability to raise additional capital, and have a material adverse effect on our financial results.</w:t>
      </w:r>
    </w:p>
    <w:p>
      <w:pPr>
        <w:spacing w:after="0" w:line="69" w:lineRule="exact"/>
        <w:rPr>
          <w:sz w:val="20"/>
          <w:szCs w:val="20"/>
          <w:color w:val="auto"/>
        </w:rPr>
      </w:pPr>
    </w:p>
    <w:p>
      <w:pPr>
        <w:jc w:val="both"/>
        <w:ind w:right="200"/>
        <w:spacing w:after="0" w:line="249" w:lineRule="auto"/>
        <w:rPr>
          <w:sz w:val="20"/>
          <w:szCs w:val="20"/>
          <w:color w:val="auto"/>
        </w:rPr>
      </w:pPr>
      <w:r>
        <w:rPr>
          <w:rFonts w:ascii="Arial" w:cs="Arial" w:eastAsia="Arial" w:hAnsi="Arial"/>
          <w:sz w:val="17"/>
          <w:szCs w:val="17"/>
          <w:color w:val="auto"/>
        </w:rPr>
        <w:t>Any future public health crisis may cause disruptions in the future, which could adversely impact our ability to raise additional funds through public offerings or private placements and may also impact the volatility of our stock price and trading in our stock. Moreover, it is possible that any future public health crisis could impact economies worldwide, which could result in adverse effects on our business and operations.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executives and to attract, retain and motivate qualified personnel.</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9" w:name="page70"/>
    <w:bookmarkEnd w:id="69"/>
    <w:p>
      <w:pPr>
        <w:ind w:right="100"/>
        <w:spacing w:after="0" w:line="237" w:lineRule="auto"/>
        <w:rPr>
          <w:sz w:val="20"/>
          <w:szCs w:val="20"/>
          <w:color w:val="auto"/>
        </w:rPr>
      </w:pPr>
      <w:r>
        <w:rPr>
          <w:rFonts w:ascii="Arial" w:cs="Arial" w:eastAsia="Arial" w:hAnsi="Arial"/>
          <w:sz w:val="17"/>
          <w:szCs w:val="17"/>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agreements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 On December 11, 2023, Jason A. Amello resigned from his position as the Company’s Chief Financial Officer, principal financial officer and principal accounting officer, effective January 12, 2024. Mr. Amello will remain an advisor to the Company in order to support the transition of his responsibilities. On January 12, 2024, our Board of Directors unanimously appointed Charles Schoch as the Company’s interim Chief Financial Officer, principal financial officer and principal accounting officer, effective January 12, 2024.</w:t>
      </w:r>
    </w:p>
    <w:p>
      <w:pPr>
        <w:spacing w:after="0" w:line="7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79" w:lineRule="exact"/>
        <w:rPr>
          <w:sz w:val="20"/>
          <w:szCs w:val="20"/>
          <w:color w:val="auto"/>
        </w:rPr>
      </w:pPr>
    </w:p>
    <w:p>
      <w:pPr>
        <w:ind w:right="520"/>
        <w:spacing w:after="0" w:line="280" w:lineRule="auto"/>
        <w:rPr>
          <w:sz w:val="20"/>
          <w:szCs w:val="20"/>
          <w:color w:val="auto"/>
        </w:rPr>
      </w:pPr>
      <w:r>
        <w:rPr>
          <w:rFonts w:ascii="Arial" w:cs="Arial" w:eastAsia="Arial" w:hAnsi="Arial"/>
          <w:sz w:val="17"/>
          <w:szCs w:val="17"/>
          <w:b w:val="1"/>
          <w:bCs w:val="1"/>
          <w:i w:val="1"/>
          <w:iCs w:val="1"/>
          <w:color w:val="auto"/>
        </w:rPr>
        <w:t>We expect to expand our development, manufacturing and regulatory capabilities and potentially implement sales, marketing and distribution capabilities, and as a result, we may encounter difficulties in managing our growth, which could disrupt our operations.</w:t>
      </w:r>
    </w:p>
    <w:p>
      <w:pPr>
        <w:spacing w:after="0" w:line="3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marketing and sales capabilities or contract with third parties to provide these capabilities. We expect the number of our employees and the scope of our operations to grow, particularly in the areas of drug development, clinical, regulatory affairs and, if any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increasing use of social media platforms presents new risks and challenges.</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biotechnology and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and heightened scrutiny by the FDA, the SEC and other regulators. For example, patients may use social media channels to comment on their experience in an ongoing blinded clinical trial or to report an alleged adverse event. If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In addition, we may encounter attacks on social media regarding our company, management, product candidates or products. If any of these events were to occur or we otherwise fail to comply with applicable regulations, we could incur liability, face regulatory actions or incur other harm to our business.</w:t>
      </w:r>
    </w:p>
    <w:p>
      <w:pPr>
        <w:spacing w:after="0" w:line="77"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b w:val="1"/>
          <w:bCs w:val="1"/>
          <w:i w:val="1"/>
          <w:iCs w:val="1"/>
          <w:color w:val="auto"/>
        </w:rPr>
        <w:t>Our internal computer systems, or those of our third-party CROs that we may use in the future, or other contractors or consultants, may fail or suffer security incidents, which could result in a material disruption of our product candidates’ development programs.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0" w:name="page71"/>
    <w:bookmarkEnd w:id="70"/>
    <w:p>
      <w:pPr>
        <w:ind w:right="20"/>
        <w:spacing w:after="0" w:line="236" w:lineRule="auto"/>
        <w:rPr>
          <w:sz w:val="20"/>
          <w:szCs w:val="20"/>
          <w:color w:val="auto"/>
        </w:rPr>
      </w:pPr>
      <w:r>
        <w:rPr>
          <w:rFonts w:ascii="Arial" w:cs="Arial" w:eastAsia="Arial" w:hAnsi="Arial"/>
          <w:sz w:val="17"/>
          <w:szCs w:val="17"/>
          <w:color w:val="auto"/>
        </w:rPr>
        <w:t>Despite our implementation of security measures, our internal computer systems, and those of our CROs that we may use in the future, information technology suppliers and other contractors and consultants are vulnerable to damage from computer viruses, cyberattacks and other unauthorized access, natural disasters, terrorism, war, and telecommunication and electrical failures.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incident were to result in a loss of or damage to our data or applications, or inappropriate disclosure of personal, confidential or proprietary information, we could incur liability and the further development of any of our product candidates could be delayed. In addition, our liability and cyber insurance may not be sufficient in type or amount to cover us against claims related to security incidents, cyber-attacks or other related liabilities.</w:t>
      </w:r>
    </w:p>
    <w:p>
      <w:pPr>
        <w:spacing w:after="0" w:line="79"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Cyberattacks are increasing in their frequency, sophistication, and intensity, and are becoming increasingly difficult to detect. They are often carried out by well-resourced and skilled parties, including nation states, organized crime groups, “hacktivists” and employees or contractors acting carelessly or with malicious intent. Cyber-attacks include deployment of harmful malware and key loggers, ransomware, denial-of-service attacks, malicious websites, the use of social engineering (including phishing attacks),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privacy or security incident. Our business partners face similar risks, and any security incident related their systems could adversely affect our security or the security of our systems or data. In addition, our increased use of cloud technologies heightens these third party and other operational risks, and any failure by cloud or other technology service providers to adequately safeguard their systems and prevent cyber-attacks could disrupt our operations and result in misappropriation, corruption, or loss of confidential or propriety information. Risk of cyber-attack is increased with employees working remotely. Remote work increases the risk we may be vulnerable to cybersecurity-related events such as phishing attacks and other security threats.</w:t>
      </w:r>
    </w:p>
    <w:p>
      <w:pPr>
        <w:spacing w:after="0" w:line="154"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Although we develop and maintain systems and controls designed to prevent these events from occurring,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incident, industrial espionage attacks or insider threat attacks which could result in financial, legal, business or reputational harm.</w:t>
      </w:r>
    </w:p>
    <w:p>
      <w:pPr>
        <w:spacing w:after="0" w:line="153" w:lineRule="exact"/>
        <w:rPr>
          <w:sz w:val="20"/>
          <w:szCs w:val="20"/>
          <w:color w:val="auto"/>
        </w:rPr>
      </w:pPr>
    </w:p>
    <w:p>
      <w:pPr>
        <w:ind w:right="20"/>
        <w:spacing w:after="0"/>
        <w:rPr>
          <w:sz w:val="20"/>
          <w:szCs w:val="20"/>
          <w:color w:val="auto"/>
        </w:rPr>
      </w:pPr>
      <w:r>
        <w:rPr>
          <w:rFonts w:ascii="Arial" w:cs="Arial" w:eastAsia="Arial" w:hAnsi="Arial"/>
          <w:sz w:val="17"/>
          <w:szCs w:val="17"/>
          <w:color w:val="auto"/>
        </w:rPr>
        <w:t>If a material security incident related to our information technology systems or those of our vendors occurs, the market perception of the effectiveness of our cybersecurity measures could be harmed and our reputation and credibility could be damaged. We could be required to expend significant amounts of money and other resources to repair or replace information systems or networks, including costs to deploy additional personnel and protection technologies, train employees, and engage third-party experts and consultants, which could materially and adversely affect our business, financial condition and results of operations.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t>
      </w:r>
    </w:p>
    <w:p>
      <w:pPr>
        <w:spacing w:after="0" w:line="160"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b w:val="1"/>
          <w:bCs w:val="1"/>
          <w:i w:val="1"/>
          <w:iCs w:val="1"/>
          <w:color w:val="auto"/>
        </w:rPr>
        <w:t>Our operations or those of the third parties upon whom we depend might be affected by the occurrence of a natural disaster, pandemic, war or other catastrophic event.</w:t>
      </w:r>
    </w:p>
    <w:p>
      <w:pPr>
        <w:spacing w:after="0" w:line="4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depend on our employees and consultants, CDMOs and CROs that we may use in the future, as well as regulatory agencies and other parties, for the continued operation of our business. While we maintain disaster recovery plans, they might not adequately protect us. Despite any precautions we take for natural disasters or other catastrophic events, these events, including terrorist attacks, pandemics, wars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the outbreak of war, the escalation of hostilities and acts of terrorism or other “acts of God,” particularly involving cities in which we have offices, manufacturing or clinical trial sites, could adversely affect our businesses. For example, in late February 2022, Russian military forces launched significant military action against Ukraine, and sustained conflict and disruption in the region is likely.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have an adverse effect on the Company’s operations. These countries may impose further sanctions or other restrictive actions against governmental or other individuals or organizations in Russia or elsewhere. In addition, in October 2023, Hamas launched an attack on Israel, and Israel declared war on Hamas, with the armed conflict ongoing as of the date of this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1" w:name="page72"/>
    <w:bookmarkEnd w:id="71"/>
    <w:p>
      <w:pPr>
        <w:ind w:right="40"/>
        <w:spacing w:after="0" w:line="241" w:lineRule="auto"/>
        <w:rPr>
          <w:sz w:val="20"/>
          <w:szCs w:val="20"/>
          <w:color w:val="auto"/>
        </w:rPr>
      </w:pPr>
      <w:r>
        <w:rPr>
          <w:rFonts w:ascii="Arial" w:cs="Arial" w:eastAsia="Arial" w:hAnsi="Arial"/>
          <w:sz w:val="17"/>
          <w:szCs w:val="17"/>
          <w:color w:val="auto"/>
        </w:rPr>
        <w:t>filing. The effects of disruptive events could affect the global economy and financial and commodities markets in ways that cannot necessarily be foreseen at the present time.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CDMOs or CROs, regulatory agencies or other parties with which we are engaged could have a significant negative impact on our operations and financial performance.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As a public company, 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6"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 and the market price of our common stock.</w:t>
      </w:r>
    </w:p>
    <w:p>
      <w:pPr>
        <w:spacing w:after="0" w:line="49" w:lineRule="exact"/>
        <w:rPr>
          <w:sz w:val="20"/>
          <w:szCs w:val="20"/>
          <w:color w:val="auto"/>
        </w:rPr>
      </w:pPr>
    </w:p>
    <w:p>
      <w:pPr>
        <w:jc w:val="both"/>
        <w:ind w:right="260"/>
        <w:spacing w:after="0" w:line="244" w:lineRule="auto"/>
        <w:rPr>
          <w:sz w:val="20"/>
          <w:szCs w:val="20"/>
          <w:color w:val="auto"/>
        </w:rPr>
      </w:pPr>
      <w:r>
        <w:rPr>
          <w:rFonts w:ascii="Arial" w:cs="Arial" w:eastAsia="Arial" w:hAnsi="Arial"/>
          <w:sz w:val="17"/>
          <w:szCs w:val="17"/>
          <w:color w:val="auto"/>
        </w:rPr>
        <w:t>We are subject to the requirements of the Sarbanes-Oxley Act and the applicable SEC rules and regulations that require an annual management report on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69"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We cannot assure you that we will not identify material weaknesses in our internal control over financial reporting. In addition, our independent registered public accounting firm has not performed an evaluation of our internal control over financial reporting in accordance with the provisions of the SOX Act because no such evaluation has been required. Had our independent registered public accounting firm performed an evaluation of our internal control over financial reporting in accordance with the provisions of the SOX Act, one or more material weaknesses may have been identified. If future material weaknesses are identified in our internal control over financial reporting, or if we otherwise fail to maintain an effective system of internal controls,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market price of our common stock may decline as a result.</w:t>
      </w:r>
    </w:p>
    <w:p>
      <w:pPr>
        <w:spacing w:after="0" w:line="76"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4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spacing w:after="0" w:line="74"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are required to assess the effectiveness of these controls annually. However, for as long as we are an EGC under the JOBS Act, our independent registered public accounting firm will not be required to attest to the effectiveness of our internal control over financial reporting pursuant to Section 404. We could be an EGC for up to five years. Our assessment of internal controls and procedures may not detect material weaknesses in our internal control over financial reporting. Material weaknesses in our internal control over financial reporting may go undetected and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2" w:name="page73"/>
    <w:bookmarkEnd w:id="72"/>
    <w:p>
      <w:pPr>
        <w:ind w:right="100"/>
        <w:spacing w:after="0" w:line="267" w:lineRule="auto"/>
        <w:rPr>
          <w:sz w:val="20"/>
          <w:szCs w:val="20"/>
          <w:color w:val="auto"/>
        </w:rPr>
      </w:pPr>
      <w:r>
        <w:rPr>
          <w:rFonts w:ascii="Arial" w:cs="Arial" w:eastAsia="Arial" w:hAnsi="Arial"/>
          <w:sz w:val="17"/>
          <w:szCs w:val="17"/>
          <w:color w:val="auto"/>
        </w:rPr>
        <w:t>could lead to financial statement restatements and require us to incur the expense of remediation, which could have a negative effect on the trading price of our stock.</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and Compliance Matters</w:t>
      </w:r>
    </w:p>
    <w:p>
      <w:pPr>
        <w:spacing w:after="0" w:line="102"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b w:val="1"/>
          <w:bCs w:val="1"/>
          <w:i w:val="1"/>
          <w:iCs w:val="1"/>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30"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76"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loss of revenue from decreased demand for our products and/or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impairment of our business reputation or financial stability;</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costs of related litigation;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monetary awards to patients or other claimants;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diversion of management attention;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withdrawal of clinical trial participants and potential termination of clinical trial sites or entire clinical programs;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to commercialize our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negative media attention;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decreases in our stock price;</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initiation of investigations and enforcement actions by regulators;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product recalls, withdrawals or labeling, marketing or promotional restrictions, including withdrawal of marketing approval.</w:t>
      </w:r>
    </w:p>
    <w:p>
      <w:pPr>
        <w:spacing w:after="0" w:line="11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 sufficient product liability insurance at an acceptable cost could prevent or inhibit the commercialization of products we develop. On occasion, large judgments have been awarded in class action lawsuits based on therapeutics that had unanticipated side effects.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spacing w:after="0" w:line="76"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We are subject to the U.S. Foreign Corrupt Practices Act and other anti-corruption laws, as well as import and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results of operations, stock price and prospects.</w:t>
      </w:r>
    </w:p>
    <w:p>
      <w:pPr>
        <w:spacing w:after="0" w:line="56"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Our operations are subject to anti-corruption laws, including the Foreign Corrupt Practices Act (FCPA), and other anti-corruption laws that apply in countries where we do business. The FCPA and these other laws generally prohibit us and our employees and intermediaries from bribing, being bribed or making other prohibited payments to government officials or other persons to obtain or retain business or gain some other business advantage. We also may participate in collaborations and relationships with third parties whose actions, if non-compliant, could potentially subject us to</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3" w:name="page74"/>
    <w:bookmarkEnd w:id="73"/>
    <w:p>
      <w:pPr>
        <w:ind w:right="260"/>
        <w:spacing w:after="0" w:line="267" w:lineRule="auto"/>
        <w:rPr>
          <w:sz w:val="20"/>
          <w:szCs w:val="20"/>
          <w:color w:val="auto"/>
        </w:rPr>
      </w:pPr>
      <w:r>
        <w:rPr>
          <w:rFonts w:ascii="Arial" w:cs="Arial" w:eastAsia="Arial" w:hAnsi="Arial"/>
          <w:sz w:val="17"/>
          <w:szCs w:val="17"/>
          <w:color w:val="auto"/>
        </w:rPr>
        <w:t>liability under the FCPA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51"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We are also subject to other laws and regulations governing our international operations, including regulations administered by the government of the United States, including applicable import and export control regulations, economic sanctions on countries and persons, anti-money laundering laws, customs requirements and currency exchange regulations, collectively referred to as the trade control laws.</w:t>
      </w:r>
    </w:p>
    <w:p>
      <w:pPr>
        <w:spacing w:after="0" w:line="67"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Likewise, any investigation of any potential violations of these anti-corruption laws or trade control laws by United States or other authorities could also have an adverse impact on our reputation, our business, financial condition, results of operations, stock price and prospects.</w:t>
      </w:r>
    </w:p>
    <w:p>
      <w:pPr>
        <w:spacing w:after="0" w:line="74"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If we fail to comply with federal and state healthcare laws, including fraud and abuse and health and other information privacy and security laws, we could face substantial penalties and our business, financial condition, results of operations, stock price and prospects will be materially harmed.</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subject to many federal and state healthcare laws, such as the federal Anti-Kickback Statute, the federal civil and criminal False Claims Acts, the civil monetary penalties statute, the Medicaid Drug Rebate statute and other price reporting requirements, the Veterans Health Care Act of 1992 (VHCA), HIPAA, the FCPA, the ACA and similar state laws. Even though we do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our business. We would be subject to healthcare fraud and abuse and patient privacy regulation by both the federal government and the states and foreign jurisdictions in which we conduct our business. In the European Union, the data privacy laws are generally stricter than those which apply in the United States and include specific requirements for the collection of personal data of European Union persons or the transfer of personal data outside of the European Union to the United States to ensure that European Union standards of data privacy will be applied to such data. For more information, see Part I, Item 1 “Business – Other Healthcare Laws and Compliance Requirements.”</w:t>
      </w:r>
    </w:p>
    <w:p>
      <w:pPr>
        <w:spacing w:after="0" w:line="76"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If we or our operations, including our arrangements with physicians and other healthcare providers, some of whom receive share options or other financial interest in the business as compensation for services provided, are found to be in violation of any federal or state healthcare law, or any other governmental laws or regulations that apply to us, we may be subject to penalties, including civil, criminal, and administrative penalties, damages, fines, disgorgement, suspension and debarment from government contracts,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is found not to be in compliance with applicable laws, it or they may be subject to criminal, civil or administrative sanctions, including but not limited to, exclusions from participation in government healthcare programs, which could also materially affect our business.</w:t>
      </w:r>
    </w:p>
    <w:p>
      <w:pPr>
        <w:spacing w:after="0" w:line="79"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state and foreign privacy, data protection, security, reimbursement, and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6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4" w:name="page75"/>
    <w:bookmarkEnd w:id="74"/>
    <w:p>
      <w:pPr>
        <w:ind w:right="120"/>
        <w:spacing w:after="0" w:line="267" w:lineRule="auto"/>
        <w:rPr>
          <w:sz w:val="20"/>
          <w:szCs w:val="20"/>
          <w:color w:val="auto"/>
        </w:rPr>
      </w:pPr>
      <w:r>
        <w:rPr>
          <w:rFonts w:ascii="Arial" w:cs="Arial" w:eastAsia="Arial" w:hAnsi="Arial"/>
          <w:sz w:val="17"/>
          <w:szCs w:val="17"/>
          <w:color w:val="auto"/>
        </w:rPr>
        <w:t>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laws or in their implementation or interpretation may adversely affect our business and financial condition.</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Changes in tax law may adversely affect our business or financial condition. Any new taxes could adversely affect our business and financial performance. Further, existing tax laws, statutes, rules, regulations or ordinances could be interpreted, changed, modified or applied adversely to us. For example, under Section 174 of the Internal Revenue Code of 1986, as amended (the Code), in taxable years beginning after December 31, 2021, expenses that are incurred for research and development in the U.S. will be capitalized and amortized, which may have an adverse effect on our cash flow. In addition, it is uncertain if and to what extent various states will conform to changes to U.S. federal income tax law. We urge prospective investors in our common stock to consult with their legal and tax advisors with respect to any recently enacted tax legislation, or proposed changes in law, and the potential tax consequences of investing in or holding our common stock.</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Under Sections 382 and 383 of the Code, if a corporation undergoes an “ownership change” (generally defined as a greater than 50% change (by value) in its equity ownership by 5% stockholders over a three-year period), the corporation’s ability to use its pre-change net operating loss carryforwards and other pre-change tax attributes to offset its post-change taxable income may be limited. As a result of our most recent private placements, the IPO, and other transactions that have occurred over the past three years, we may have experienced, an “ownership change.” We may also experience ownership changes in the future as a result of subsequent shifts in our stock ownership. As of December 31, 2023, we had U.S. federal and state net operating loss carryforwards of $86.2 million and $79.6 million, which begin to expire in 2027 and 2032, respectively, and which could be limited if we experience an “ownership change.” The reduction of the corporate tax rate under TCJA may cause a reduction in the economic benefit of our net operating loss carryforwards and other deferred tax assets available to us. Under current federal tax law, federal net operating losses generated after December 31, 2017 will not be subject to expiration but will not be permitted to be carried back. In addition, under current U.S. federal tax law, the amount of net operating losses generated after December 31, 2017 that we are permitted to deduct in any taxable year is limited to 80% of our taxable income in such year, where taxable income is determined without regard to the net operating loss deduction itself. Additionally, as of December 31, 2023, we had a U.S. federal net operating loss carryforward of $77.4 million which do not expire but is limited to an annual deduction equal to 80% of annual taxable income.</w:t>
      </w:r>
    </w:p>
    <w:p>
      <w:pPr>
        <w:spacing w:after="0" w:line="77"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If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both domestic and foreign markets, sales of our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 cost therapeutic alternatives are already available or subsequently become available, even if our products are alone in a class. If reimbursement is not available, or is available only to limited levels, our product candidates may be competitively disadvantaged, and we may not be able to successfully commercialize our product candidates. Even if coverage is provided, the approved reimbursement amount may not be high enough to allow us to establish or maintain a market share sufficient to realize a sufficient return on our or their investments. Alternatively, securing favorable reimbursement terms may require us to compromise pricing and prevent us from realizing an adequate margin over cost. For more information, see Part I, Item 1 "Business - Coverage and Reimbursement."</w:t>
      </w:r>
    </w:p>
    <w:p>
      <w:pPr>
        <w:spacing w:after="0" w:line="7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therapeutics. Marketing approvals, pricing, and reimbursement for new therapeutic products vary widely from country to country. Current and 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 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or their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government health administration authorities, private health insurers and other</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75" w:name="page76"/>
    <w:bookmarkEnd w:id="75"/>
    <w:p>
      <w:pPr>
        <w:ind w:right="60"/>
        <w:spacing w:after="0" w:line="241" w:lineRule="auto"/>
        <w:rPr>
          <w:sz w:val="20"/>
          <w:szCs w:val="20"/>
          <w:color w:val="auto"/>
        </w:rPr>
      </w:pPr>
      <w:r>
        <w:rPr>
          <w:rFonts w:ascii="Arial" w:cs="Arial" w:eastAsia="Arial" w:hAnsi="Arial"/>
          <w:sz w:val="17"/>
          <w:szCs w:val="17"/>
          <w:color w:val="auto"/>
        </w:rPr>
        <w:t>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companies provide them with predetermined discounts from list prices, are using preferred drug lists to leverage greater discounts in competitive classes, are disregarding therapeutic differentiators within classes, are challenging the prices charged for therapeutics, and are negotiating price concessions based on performance goals.</w:t>
      </w:r>
    </w:p>
    <w:p>
      <w:pPr>
        <w:spacing w:after="0" w:line="7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74"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addition, federal programs impose penalties on manufacturers of therapeutics in the form of mandatory additional rebates and/or discounts if commercial prices increase at a rate greater than the Consumer Price Index-Urban, and these rebates and/or discounts, which can be substantial, may impact our ability to raise commercial prices. A few states have also passed or are considering legislation intended to prevent significant price increases. Regulatory authorities and third-party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7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addition, third-party payors are increasingly requiring higher levels of evidence of the benefits and clinical outcomes of new technologies, benchmarking against other therapies, seeking performance-based discounts, and challenging the prices charged. We cannot be sure that coverage will be available for any product candidate that we commercialize and, if available, that the reimbursement rates will be adequate.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spacing w:after="0" w:line="74"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principal investigators, CROs or CDMOs may engage in misconduct or other improper activities, including noncompliance with regulatory standards and requirements and insider trading, which could have a material adverse effect on our business.</w:t>
      </w:r>
    </w:p>
    <w:p>
      <w:pPr>
        <w:spacing w:after="0" w:line="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are exposed to the risk of employee fraud or other misconduct. Misconduct by employees, independent contractors, consultants, commercial partners, principal investigators, CDMOs or CROs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If any such actions are instituted against us, and we are not successful in defending ourselves or asserting our rights, those actions could have a significant impact on our business, financial condition, results of operations, stock price and prospects, including the imposition of significant fines or other sanctions.</w:t>
      </w:r>
    </w:p>
    <w:p>
      <w:pPr>
        <w:spacing w:after="0" w:line="7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On March 15, 2024, we notified Dr. Aguilar-Cordova that we had uncovered that, during his tenure as Chief Executive Officer and possibly his tenure as Chief Scientific Officer, he allegedly (i) instructed Company personnel to falsify sterility testing results that were submitted to the FDA for CAN-2409 and (ii) failed to implement an appropriate and compliant stability testing program for that same program. Upon identifying these deficiencies, we promptly updated our stability testing program to fully bring it into compliance and submitted additional information and data to the FDA regarding both the updated program and our prior testing results. Following an internal review and analysis, we also</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6" w:name="page77"/>
    <w:bookmarkEnd w:id="76"/>
    <w:p>
      <w:pPr>
        <w:ind w:right="200"/>
        <w:spacing w:after="0" w:line="249" w:lineRule="auto"/>
        <w:rPr>
          <w:sz w:val="20"/>
          <w:szCs w:val="20"/>
          <w:color w:val="auto"/>
        </w:rPr>
      </w:pPr>
      <w:r>
        <w:rPr>
          <w:rFonts w:ascii="Arial" w:cs="Arial" w:eastAsia="Arial" w:hAnsi="Arial"/>
          <w:sz w:val="17"/>
          <w:szCs w:val="17"/>
          <w:color w:val="auto"/>
        </w:rPr>
        <w:t>determined that trial participants who were dosed with CAN-2409 were not placed at risk, and that there was and is no risk to the integrity of our resulting clinical data related to the identified deficiencies. In the March 15, 2024 letter, we also requested that Dr. Aguilar-Cordova resign from the Board of Directors with immediate effect. On March 26, 2024, Dr. Aguilar-Cordova denied these allegations in response.</w:t>
      </w:r>
    </w:p>
    <w:p>
      <w:pPr>
        <w:spacing w:after="0" w:line="67"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b w:val="1"/>
          <w:bCs w:val="1"/>
          <w:i w:val="1"/>
          <w:i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30"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hazardous and flammable materials, including chemicals and biological and radioactive materials. Our operations also produce hazardous waste products. We would incur substantial costs as a result of violations of or liabilities under environmental requirements in connection with our 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10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b w:val="1"/>
          <w:bCs w:val="1"/>
          <w:i w:val="1"/>
          <w:iCs w:val="1"/>
          <w:color w:val="auto"/>
        </w:rPr>
        <w:t>For certain product candidates, we depend, or will depend, on development and commercialization collaborators to develop and conduct clinical trials with, obtain regulatory approvals for, and if approved, market and sell product candidates. If such collaborators fail to perform as expected, the potential for us to generate future revenue from such product candidates would be significantly reduced and our business would be harmed.</w:t>
      </w:r>
    </w:p>
    <w:p>
      <w:pPr>
        <w:spacing w:after="0" w:line="5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For certain product candidates, we depend, or will depend, on our development and commercial collaborators to develop, conduct clinical trials of, and, if approved, commercialize product candidates. We cannot provide assurance that our collaborators will be successful in or that they will devote sufficient resources to these collaborations. If our current or future collaboration and commercialization partners do not perform in the manner we expect or fail to fulfill their responsibilities in a timely manner, or at all, if our agreements with them terminate or if the quality or accuracy of the clinical data they obtain is compromised, the clinical development, regulatory approval and commercialization efforts related to their and our product candidates and products could be delayed or terminated and it could become necessary for us to assume the responsibility at our own expense for the clinical development of such product candidates. Moreover, our ability to generate revenues from these collaborations and product candidates will depend on such collaborators’ abilities to perform in the manner we expect or fulfill their responsibilities in a timely manner, and delays by collaborators, or caused by other collaboration contract obligations, may result in a delay of our ability to disclose data.</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Our current collaborations and any future collaborations that we enter into are subject to numerous risks, including:</w:t>
      </w:r>
    </w:p>
    <w:p>
      <w:pPr>
        <w:spacing w:after="0" w:line="102"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have significant discretion in determining the efforts and resources that they will apply to the collaborations;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perform their obligations as expected or fail to fulfill their responsibilities in a timely manner, or at all;</w:t>
      </w:r>
    </w:p>
    <w:p>
      <w:pPr>
        <w:spacing w:after="0" w:line="114" w:lineRule="exact"/>
        <w:rPr>
          <w:rFonts w:ascii="Times New Roman" w:cs="Times New Roman" w:eastAsia="Times New Roman" w:hAnsi="Times New Roman"/>
          <w:sz w:val="17"/>
          <w:szCs w:val="17"/>
          <w:color w:val="auto"/>
        </w:rPr>
      </w:pPr>
    </w:p>
    <w:p>
      <w:pPr>
        <w:ind w:left="1020" w:right="40" w:hanging="503"/>
        <w:spacing w:after="0" w:line="243"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 studies or clinical trial results, changes in the collaborators’ strategic focus or available funding or external factors, such as an acquisition, that divert resources or create competing priorities;</w:t>
      </w:r>
    </w:p>
    <w:p>
      <w:pPr>
        <w:spacing w:after="0" w:line="7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delay preclinical studies or clinical trials, provide insufficient funding for clinical trials, stop a preclinical study or clinical trial or abandon a product candidate, repeat or conduct new clinical trials or require a new formulation of a product candidate for clinical testing;</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fail to make timely regulatory submissions for a product candidate;</w:t>
      </w:r>
    </w:p>
    <w:p>
      <w:pPr>
        <w:spacing w:after="0" w:line="114" w:lineRule="exact"/>
        <w:rPr>
          <w:rFonts w:ascii="Times New Roman" w:cs="Times New Roman" w:eastAsia="Times New Roman" w:hAnsi="Times New Roman"/>
          <w:sz w:val="17"/>
          <w:szCs w:val="17"/>
          <w:color w:val="auto"/>
        </w:rPr>
      </w:pPr>
    </w:p>
    <w:p>
      <w:pPr>
        <w:ind w:left="1020" w:right="100" w:hanging="503"/>
        <w:spacing w:after="0" w:line="249"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7" w:name="page78"/>
    <w:bookmarkEnd w:id="77"/>
    <w:p>
      <w:pPr>
        <w:ind w:left="1020" w:right="20" w:hanging="503"/>
        <w:spacing w:after="0" w:line="249" w:lineRule="auto"/>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5"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the collaborations may not result in product candidates to develop and/or preclinical studies or clinical trials conducted as part of the collaborations may not be successful;</w:t>
      </w:r>
    </w:p>
    <w:p>
      <w:pPr>
        <w:spacing w:after="0" w:line="51"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product candidates developed with collaborators may be viewed by our collaborators as competitive with their own product candidates or products, which may cause collaborators to stop commercialization of our product candidates;</w:t>
      </w:r>
    </w:p>
    <w:p>
      <w:pPr>
        <w:spacing w:after="0" w:line="51" w:lineRule="exact"/>
        <w:rPr>
          <w:rFonts w:ascii="Times New Roman" w:cs="Times New Roman" w:eastAsia="Times New Roman" w:hAnsi="Times New Roman"/>
          <w:sz w:val="17"/>
          <w:szCs w:val="17"/>
          <w:color w:val="auto"/>
        </w:rPr>
      </w:pPr>
    </w:p>
    <w:p>
      <w:pPr>
        <w:ind w:left="1020" w:right="80" w:hanging="503"/>
        <w:spacing w:after="0" w:line="266" w:lineRule="auto"/>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a collaborator with marketing and distribution rights to one or more of our product candidates that achieve regulatory approval may not commit sufficient resources to the marketing and distribution of any such product candidate; and</w:t>
      </w:r>
    </w:p>
    <w:p>
      <w:pPr>
        <w:spacing w:after="0" w:line="51" w:lineRule="exact"/>
        <w:rPr>
          <w:rFonts w:ascii="Times New Roman" w:cs="Times New Roman" w:eastAsia="Times New Roman" w:hAnsi="Times New Roman"/>
          <w:sz w:val="17"/>
          <w:szCs w:val="17"/>
          <w:color w:val="auto"/>
        </w:rPr>
      </w:pPr>
    </w:p>
    <w:p>
      <w:pPr>
        <w:ind w:left="1020" w:right="140" w:hanging="503"/>
        <w:spacing w:after="0" w:line="249" w:lineRule="auto"/>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2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certain collaboration and commercialization agreements provide our collaborators with rights to terminate such agreements, which rights may or may not be subject to conditions, and which rights, if exercised, would adversely affect our product development efforts and could make it difficult for us to attract new collaborators. For example, our license agreement with MGB may be terminated by MGB for our failure to pay, our failure to maintain proper insurance in accordance with the agreement, if we file for bankruptcy or if we remain in default for non-financial reasons following a specified cure period to remedy the breach. In the event of the termination of any collaboration or commercialization agreement, we would likely be required to limit the size and scope of efforts for the development and commercialization of such product candidates or products; we would likely be required to seek additional financing to fund further development or identify alternative strategic collaborations; our potential to generate future revenue from royalties and milestone payments from such product candidates or products would be significantly reduced, delayed or eliminated; and it could have an adverse effect on our business and future growth prospects. Our rights to recover tangible and intangible assets and intellectual property rights needed to advance a product candidate or product after termination of a collaboration may be limited by contract, and we may not be able to advance a program post-termination.</w:t>
      </w:r>
    </w:p>
    <w:p>
      <w:pPr>
        <w:spacing w:after="0" w:line="7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 If one of our collaborators terminates its agreement with us, we may find it more difficult to attract new collaborators and our reputation in the business and financial communities could be adversely affected.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74"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i w:val="1"/>
          <w:iCs w:val="1"/>
          <w:color w:val="auto"/>
        </w:rPr>
        <w:t>If conflicts arise with our development and commercialization collaborators or licensors, they may act in their own self-interest, which may be adverse to the interests of our company.</w:t>
      </w:r>
    </w:p>
    <w:p>
      <w:pPr>
        <w:spacing w:after="0" w:line="30"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We may in the future experience disagreements with our development and commercialization collaborators or licensors. Conflicts may arise in our collaboration and license arrangements with third parties due to one or more of the following:</w:t>
      </w:r>
    </w:p>
    <w:p>
      <w:pPr>
        <w:spacing w:after="0" w:line="51"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disputes with respect to milestone, royalty and other payments that are believed due under the applicable agreements;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the ownership of intellectual property rights or scope of licenses;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the scope of any reporting obligations;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contract interpretation or the preferred course of development;</w:t>
      </w:r>
    </w:p>
    <w:p>
      <w:pPr>
        <w:spacing w:after="0" w:line="114"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unwillingness on the part of a collaborator to keep us informed regarding the progress of its development and commercialization activities, or to permit public disclosure of these activities; and</w:t>
      </w:r>
    </w:p>
    <w:p>
      <w:pPr>
        <w:spacing w:after="0" w:line="51" w:lineRule="exact"/>
        <w:rPr>
          <w:rFonts w:ascii="Times New Roman" w:cs="Times New Roman" w:eastAsia="Times New Roman" w:hAnsi="Times New Roman"/>
          <w:sz w:val="17"/>
          <w:szCs w:val="17"/>
          <w:color w:val="auto"/>
        </w:rPr>
      </w:pPr>
    </w:p>
    <w:p>
      <w:pPr>
        <w:ind w:left="1020" w:right="460" w:hanging="503"/>
        <w:spacing w:after="0" w:line="266" w:lineRule="auto"/>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disputes with respect to a collaborator’s or our development or commercialization efforts with respect to our products and product candidates.</w:t>
      </w:r>
    </w:p>
    <w:p>
      <w:pPr>
        <w:spacing w:after="0" w:line="5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Conflicts with our development and commercialization collaborators or licensors could materially adversely affect our business, financial condition or results of operations and future growth prospects.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8" w:name="page79"/>
    <w:bookmarkEnd w:id="78"/>
    <w:p>
      <w:pPr>
        <w:ind w:right="80"/>
        <w:spacing w:after="0" w:line="256" w:lineRule="auto"/>
        <w:rPr>
          <w:sz w:val="20"/>
          <w:szCs w:val="20"/>
          <w:color w:val="auto"/>
        </w:rPr>
      </w:pPr>
      <w:r>
        <w:rPr>
          <w:rFonts w:ascii="Arial" w:cs="Arial" w:eastAsia="Arial" w:hAnsi="Arial"/>
          <w:sz w:val="17"/>
          <w:szCs w:val="17"/>
          <w:b w:val="1"/>
          <w:bCs w:val="1"/>
          <w:i w:val="1"/>
          <w:iCs w:val="1"/>
          <w:color w:val="auto"/>
        </w:rPr>
        <w:t>We rely on third parties, including independent clinical investigators and CROs to conduct and sponsor some of the clinical trials of our product candidates. Any failure by a third party to meet its obligations with respect to the clinical development of our product candidates may delay or impair our ability to obtain regulatory approval for our product candidates.</w:t>
      </w:r>
    </w:p>
    <w:p>
      <w:pPr>
        <w:spacing w:after="0" w:line="4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academic partners, medical institutions,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While we have, or will have, agreements governing the activities of such third parties, we will control only certain aspects of their activities and have limited influence over their actual performance.</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spacing w:after="0" w:line="6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77"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spacing w:after="0" w:line="7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addition, with respect to investigator-sponsored trials that are being or may be conducted, we do not control the design or conduct of these trials, and it is possible that the FDA or EMA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9" w:name="page80"/>
    <w:bookmarkEnd w:id="79"/>
    <w:p>
      <w:pPr>
        <w:ind w:right="200"/>
        <w:spacing w:after="0" w:line="256" w:lineRule="auto"/>
        <w:rPr>
          <w:sz w:val="20"/>
          <w:szCs w:val="20"/>
          <w:color w:val="auto"/>
        </w:rPr>
      </w:pPr>
      <w:r>
        <w:rPr>
          <w:rFonts w:ascii="Arial" w:cs="Arial" w:eastAsia="Arial" w:hAnsi="Arial"/>
          <w:sz w:val="17"/>
          <w:szCs w:val="17"/>
          <w:b w:val="1"/>
          <w:bCs w:val="1"/>
          <w:i w:val="1"/>
          <w:iCs w:val="1"/>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49"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We also expect to develop commercial-scale manufacturing at third-party manufacturers for our product candidate CAN-2409. We may develop clinical manufacturing capabilities for CAN-3110 at third-party manufacturers. There can be no assurance that our supply of clinical product will not be limited, interrupted, or of satisfactory quality or continue to be available at acceptable prices. In particular, any replacement of our CDMOs could require significant effort and expertise because there may be a limited number of qualified replacements. Any delays in obtaining adequate supplies of our product candidates that meet the necessary quality standards, including delays caused by any future public health crisis, may delay our development or commercialization.</w:t>
      </w:r>
    </w:p>
    <w:p>
      <w:pPr>
        <w:spacing w:after="0" w:line="7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product candidates or programs. Our product candidates may compete with other products and product candidates for access to manufacturing facilities. There are a limited number of manufacturers that operate under cGMP regulations and that are both capable of manufacturing and filling our viral product for us and willing to do so. If our existing third-party manufacturers, or the third parties that we engage in the future, should cease to work with us,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therapeutic substances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79"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Any problems or delays we experience in preparing for commercial-scale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our product candidates and may materially harm our business, financial condition, results of operations, stock price and prospects.</w:t>
      </w:r>
    </w:p>
    <w:p>
      <w:pPr>
        <w:spacing w:after="0" w:line="7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or key raw materials, and compliance with strictly enforced federal, state, and foreign regulations. Our CDMOs may not perform as agreed. If our manufacturers were to encounter these or other difficulties, our ability to provide product candidates to patients in our clinical trials could be jeopardized.</w:t>
      </w:r>
    </w:p>
    <w:p>
      <w:pPr>
        <w:spacing w:after="0" w:line="74"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CDMOs of our product candidates may be unable to comply with our specifications, applicable cGMP requirements or other FDA, state or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CDMOs cannot successfully manufacture material that 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 consuming for us or a third party to implement and that may include the temporary or permanent suspension of a clinical trial or the temporary or permanent closure of a facility. Any such remedial measures imposed upon us or third parties with whom we contract could materially harm our business. Any delays in obtaining products or product candidates that comply with the applicable regulatory requirements may result in delays to clinical trials, product approvals, and commercialization. It may also require that we conduct additional studies.</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While we are ultimately responsible for the manufacturing of our product candidates and therapeutic substances,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approval from the FDA and applicable comparable foreign regulatory authorities for the use of any new manufacturers for commercial supply. The regulatory authorities may also require additional studies if a new manufacturer is relied upon for commercial production. In some cases, the technical skills required to manufacture our product candidates may be unique or proprietary to the original CDMO and we may have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0" w:name="page81"/>
    <w:bookmarkEnd w:id="80"/>
    <w:p>
      <w:pPr>
        <w:spacing w:after="0" w:line="236" w:lineRule="auto"/>
        <w:rPr>
          <w:sz w:val="20"/>
          <w:szCs w:val="20"/>
          <w:color w:val="auto"/>
        </w:rPr>
      </w:pPr>
      <w:r>
        <w:rPr>
          <w:rFonts w:ascii="Arial" w:cs="Arial" w:eastAsia="Arial" w:hAnsi="Arial"/>
          <w:sz w:val="17"/>
          <w:szCs w:val="17"/>
          <w:color w:val="auto"/>
        </w:rPr>
        <w:t>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or product candidate according to the specifications previously submitted to or approved by the FDA or another regulatory authority. The delays associated with the verification of a new CDMO could negatively affect our ability to develop product candidates or once approved, to commercialize those product candidates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spacing w:after="0" w:line="76"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A failure to comply with the applicable regulatory requirements, including periodic regulatory inspections, may result in regulatory enforcement actions against our manufacturers or us (including fines and civil and criminal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suits under the civil False Claims Act, corporate integrity agreements, consent decrees, withdrawal of product approval, environmental or safety incidents and other liabilities.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7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Any failure or refusal to supply our product candidates or components for our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67" w:lineRule="exact"/>
        <w:rPr>
          <w:sz w:val="20"/>
          <w:szCs w:val="20"/>
          <w:color w:val="auto"/>
        </w:rPr>
      </w:pPr>
    </w:p>
    <w:p>
      <w:pPr>
        <w:jc w:val="both"/>
        <w:ind w:right="200"/>
        <w:spacing w:after="0" w:line="256" w:lineRule="auto"/>
        <w:rPr>
          <w:sz w:val="20"/>
          <w:szCs w:val="20"/>
          <w:color w:val="auto"/>
        </w:rPr>
      </w:pPr>
      <w:r>
        <w:rPr>
          <w:rFonts w:ascii="Arial" w:cs="Arial" w:eastAsia="Arial" w:hAnsi="Arial"/>
          <w:sz w:val="17"/>
          <w:szCs w:val="17"/>
          <w:b w:val="1"/>
          <w:bCs w:val="1"/>
          <w:i w:val="1"/>
          <w:iCs w:val="1"/>
          <w:color w:val="auto"/>
        </w:rPr>
        <w:t>Some of our product candidates are being and may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4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have supplied and may continue to supply and otherwise support third party research, including investigator-sponsored clinical trials. Investigator-sponsored clinical trials pose similar risks as those set forth elsewhere in this “Risk Factors” section relating to our internally-sponsored clinical trials, but because we are not be the sponsors of these trials, we have less control over the protocols, administration or conduct of these trials, including follow-up with patients and ongoing collection of data after treatment. Additionally, third party clinical research has been and may continue to be conducted with CAN-3110 and CAN-2409 which was not provided by us. The conduct or findings of these trials may have a negative impact on our development programs notwithstanding that we have little involvement or control over these trials. As a result, we are subject to additional risks associated with the way investigator-sponsored trials are conducted. In particular, for trials in which we supply drug product, we may be named in lawsuits that would lead to increased costs associated with legal defense. Additional risks include difficulties or delays in communicating with investigators or administrators, procedural delays and other timing issues and difficulties or differences in interpreting data. Third-party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As a result, our lack of control over the conduct and timing of and communications with the FDA and other regulatory authorities regarding investigator-sponsored trials may expose us to additional risks and uncertainties, many of which are outside our control, and the occurrence of which could adversely affect the commercial prospects for our product candidates. In addition, third parties that are investigating product candidates which have not been provided by us may seek and obtain regulatory approval of product candidates before we do, which may adversely affect our development strategy and eligibility for certain exclusivities for which we may otherwise be eligible.</w:t>
      </w:r>
    </w:p>
    <w:p>
      <w:pPr>
        <w:spacing w:after="0" w:line="81" w:lineRule="exact"/>
        <w:rPr>
          <w:sz w:val="20"/>
          <w:szCs w:val="20"/>
          <w:color w:val="auto"/>
        </w:rPr>
      </w:pPr>
    </w:p>
    <w:p>
      <w:pPr>
        <w:spacing w:after="0" w:line="280" w:lineRule="auto"/>
        <w:rPr>
          <w:sz w:val="20"/>
          <w:szCs w:val="20"/>
          <w:color w:val="auto"/>
        </w:rPr>
      </w:pPr>
      <w:r>
        <w:rPr>
          <w:rFonts w:ascii="Arial" w:cs="Arial" w:eastAsia="Arial" w:hAnsi="Arial"/>
          <w:sz w:val="17"/>
          <w:szCs w:val="17"/>
          <w:b w:val="1"/>
          <w:bCs w:val="1"/>
          <w:i w:val="1"/>
          <w:iCs w:val="1"/>
          <w:color w:val="auto"/>
        </w:rPr>
        <w:t>We have completed and may in the future complete related party transactions that were not and may not be conducted on an arm’s length basis.</w:t>
      </w:r>
    </w:p>
    <w:p>
      <w:pPr>
        <w:spacing w:after="0" w:line="30"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We have in the past been and continue to be party to certain transactions with certain entities affiliated with Estuardo Aguilar-Cordova, our founder and former Chief Scientific Officer, and Laura Aguilar, our former Chief Medical Officer. For instance, we have entered into an exclusive license agreement with Ventagen, LLC (Ventagen), an entity owned in part (49.5%), though not managed, by Estuardo Aguilar-Cordova and Laura Aguilar, for the use of worldwide patent</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81" w:name="page82"/>
    <w:bookmarkEnd w:id="81"/>
    <w:p>
      <w:pPr>
        <w:ind w:right="200"/>
        <w:spacing w:after="0" w:line="267" w:lineRule="auto"/>
        <w:rPr>
          <w:sz w:val="20"/>
          <w:szCs w:val="20"/>
          <w:color w:val="auto"/>
        </w:rPr>
      </w:pPr>
      <w:r>
        <w:rPr>
          <w:rFonts w:ascii="Arial" w:cs="Arial" w:eastAsia="Arial" w:hAnsi="Arial"/>
          <w:sz w:val="17"/>
          <w:szCs w:val="17"/>
          <w:color w:val="auto"/>
        </w:rPr>
        <w:t>rights and know-how owned or controlled by us which cover applicable technology utilizing the delivery method of the herpes derived TK protein to tumors or other tissues via a viral vector.</w:t>
      </w:r>
    </w:p>
    <w:p>
      <w:pPr>
        <w:spacing w:after="0" w:line="51"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In January 2008, we entered into an operating lease agreement with a term through December 31, 2022 with Ellka Holdings, LLC (Ellka), for the space in which we operated in Auburndale, MA. In May 2016, we entered into a second lease agreement with Ellka for living space for employees, also in Auburndale, MA. We entered into a second lease for this space on July 26, 2018, which expired on July 31, 2019. Ellka was originally established in 2007 as an LLC for the purpose of acquiring and managing investment properties owned by Laura Aguilar and Estuardo Aguilar-Cordova and their children’s trusts. Ellka is owned and operated by Laura Aguilar and Estuardo Aguilar-Cordova and members of their immediate family. Although we believe that these transactions were conducted on an arm’s length basis, it is possible that the terms were less favorable to us than they might have been in a transaction with an unrelated party.</w:t>
      </w:r>
    </w:p>
    <w:p>
      <w:pPr>
        <w:spacing w:after="0" w:line="74"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As of March 21, 2024, Estuardo Aguilar-Cordova and Laura Aguilar beneficially owned 6,200,755 shares of our common stock, or approximately 21.1% of our total outstanding capital stock as of such date. Accordingly, they will continue to have significant influence over all business decisions, including with respect to such matters as amendments to our charter, other fundamental corporate transactions, such as mergers, asset sales, and the sale of the Company, and otherwise will be able to influence our business and affairs. In connection with the IPO, we adopted a written related-person transactions policy that sets forth our policies and procedures regarding the identification, review, consideration and oversight of related-person transactions.</w:t>
      </w:r>
    </w:p>
    <w:p>
      <w:pPr>
        <w:spacing w:after="0" w:line="74"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3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Because we rely on third parties to manufacture our product candidates, and because we collaborate with various organizations and academic institutions on the development of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74"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7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02"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b w:val="1"/>
          <w:bCs w:val="1"/>
          <w:i w:val="1"/>
          <w:iCs w:val="1"/>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56"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are and expect to continue to be reliant upon third-party licensors for certain patent and other intellectual property rights that are important or necessary to the development of some of our technology and product candidates. For example, we rely on licenses from MGB and Periphagen to certain patent rights. These license agreements impose, and we expect that any future license agreement will impose, specified diligence, milestone payment, royalty, commercialization, development and other obligations on us and require us to meet development timelines, or to exercise diligent or commercially reasonable efforts to develop and commercialize licensed products, in order to maintain the licenses.</w:t>
      </w:r>
    </w:p>
    <w:p>
      <w:pPr>
        <w:spacing w:after="0" w:line="72"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Furthermore, our licensors have, or may in the future have, the right to terminate a license if we materially breach the agreement and fail to cure such breach within a specified period or in the event we undergo certain bankruptcy events.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2" w:name="page83"/>
    <w:bookmarkEnd w:id="82"/>
    <w:p>
      <w:pPr>
        <w:ind w:right="40"/>
        <w:spacing w:after="0" w:line="236" w:lineRule="auto"/>
        <w:rPr>
          <w:sz w:val="20"/>
          <w:szCs w:val="20"/>
          <w:color w:val="auto"/>
        </w:rPr>
      </w:pPr>
      <w:r>
        <w:rPr>
          <w:rFonts w:ascii="Arial" w:cs="Arial" w:eastAsia="Arial" w:hAnsi="Arial"/>
          <w:sz w:val="17"/>
          <w:szCs w:val="17"/>
          <w:color w:val="auto"/>
        </w:rPr>
        <w:t>In spite of our best efforts, our current or any future licensors might conclude that we have materially breached our license agreements and might therefore terminate the license agreements. If any of our license agreements are terminated, we may lose our rights to develop and commercialize certain of our product candidates and technology, lose patent protection, experience significant delays in the development and commercialization of certain of our product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product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product candidates we may develop and our technology. Any of the foregoing could have a material adverse effect on our competitive position, business, financial condition, results of operations and prospects.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Disputes may arise regarding intellectual property subject to a licensing agreement, including:</w:t>
      </w:r>
    </w:p>
    <w:p>
      <w:pPr>
        <w:spacing w:after="0" w:line="102"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4" w:lineRule="exact"/>
        <w:rPr>
          <w:rFonts w:ascii="Times New Roman" w:cs="Times New Roman" w:eastAsia="Times New Roman" w:hAnsi="Times New Roman"/>
          <w:sz w:val="17"/>
          <w:szCs w:val="17"/>
          <w:color w:val="auto"/>
        </w:rPr>
      </w:pPr>
    </w:p>
    <w:p>
      <w:pPr>
        <w:ind w:left="1020" w:right="240" w:hanging="503"/>
        <w:spacing w:after="0" w:line="266" w:lineRule="auto"/>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our or our licensors’ ability to obtain, maintain and defend intellectual property and to enforce intellectual property rights against third parties;</w:t>
      </w:r>
    </w:p>
    <w:p>
      <w:pPr>
        <w:spacing w:after="0" w:line="51" w:lineRule="exact"/>
        <w:rPr>
          <w:rFonts w:ascii="Times New Roman" w:cs="Times New Roman" w:eastAsia="Times New Roman" w:hAnsi="Times New Roman"/>
          <w:sz w:val="17"/>
          <w:szCs w:val="17"/>
          <w:color w:val="auto"/>
        </w:rPr>
      </w:pPr>
    </w:p>
    <w:p>
      <w:pPr>
        <w:ind w:left="1020" w:right="440" w:hanging="503"/>
        <w:spacing w:after="0" w:line="266" w:lineRule="auto"/>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our technology, product candidates and processes infringe, misappropriate or otherwise violate the intellectual property of the licensor that is not subject to the license agreement;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the sublicensing of patent and other intellectual property rights under our license agreements;</w:t>
      </w:r>
    </w:p>
    <w:p>
      <w:pPr>
        <w:spacing w:after="0" w:line="114" w:lineRule="exact"/>
        <w:rPr>
          <w:rFonts w:ascii="Times New Roman" w:cs="Times New Roman" w:eastAsia="Times New Roman" w:hAnsi="Times New Roman"/>
          <w:sz w:val="17"/>
          <w:szCs w:val="17"/>
          <w:color w:val="auto"/>
        </w:rPr>
      </w:pPr>
    </w:p>
    <w:p>
      <w:pPr>
        <w:ind w:left="1020" w:right="700" w:hanging="503"/>
        <w:spacing w:after="0" w:line="266" w:lineRule="auto"/>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our diligence, development, regulatory, commercialization, financial or other obligations under the license agreement and what activities satisfy those diligence obligations;</w:t>
      </w:r>
    </w:p>
    <w:p>
      <w:pPr>
        <w:spacing w:after="0" w:line="51"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current or future licensors and us and our partners;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the priority of invention of patented technology.</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product candidates and technology. Any of the foregoing could have a material adverse effect on our business, financial condition, results of operations and prospects.</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product candidates we may develop in the future.</w:t>
      </w:r>
    </w:p>
    <w:p>
      <w:pPr>
        <w:spacing w:after="0" w:line="7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Moreover, some of our in-licensed patent and other intellectual property rights may in the future be subject to third-party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7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3" w:name="page84"/>
    <w:bookmarkEnd w:id="83"/>
    <w:p>
      <w:pPr>
        <w:ind w:right="160"/>
        <w:spacing w:after="0" w:line="267" w:lineRule="auto"/>
        <w:rPr>
          <w:sz w:val="20"/>
          <w:szCs w:val="20"/>
          <w:color w:val="auto"/>
        </w:rPr>
      </w:pPr>
      <w:r>
        <w:rPr>
          <w:rFonts w:ascii="Arial" w:cs="Arial" w:eastAsia="Arial" w:hAnsi="Arial"/>
          <w:sz w:val="17"/>
          <w:szCs w:val="17"/>
          <w:color w:val="auto"/>
        </w:rPr>
        <w:t>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w:t>
      </w:r>
    </w:p>
    <w:p>
      <w:pPr>
        <w:spacing w:after="0" w:line="51"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Furthermore, our owned and in-licensed patent rights may be subject to a reservation of rights by one or more third parties.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w:t>
      </w:r>
    </w:p>
    <w:p>
      <w:pPr>
        <w:spacing w:after="0" w:line="72"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3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Our business will depend in large part on obtaining and maintaining patent, trademark and trade secret protection of our proprietary technologies and our product candidates, their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76"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and patents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79"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and directed to our product candidates, and, if we were not, we may be precluded from obtaining patent protection for our technology, including our product candidates.</w:t>
      </w:r>
    </w:p>
    <w:p>
      <w:pPr>
        <w:spacing w:after="0" w:line="5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patents, and, if we are not, we may be subject to priority disputes.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and patents.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7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4" w:name="page85"/>
    <w:bookmarkEnd w:id="84"/>
    <w:p>
      <w:pPr>
        <w:ind w:right="340"/>
        <w:spacing w:after="0" w:line="267" w:lineRule="auto"/>
        <w:rPr>
          <w:sz w:val="20"/>
          <w:szCs w:val="20"/>
          <w:color w:val="auto"/>
        </w:rPr>
      </w:pPr>
      <w:r>
        <w:rPr>
          <w:rFonts w:ascii="Arial" w:cs="Arial" w:eastAsia="Arial" w:hAnsi="Arial"/>
          <w:sz w:val="17"/>
          <w:szCs w:val="17"/>
          <w:color w:val="auto"/>
        </w:rPr>
        <w:t>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51" w:lineRule="exact"/>
        <w:rPr>
          <w:sz w:val="20"/>
          <w:szCs w:val="20"/>
          <w:color w:val="auto"/>
        </w:rPr>
      </w:pPr>
    </w:p>
    <w:p>
      <w:pPr>
        <w:jc w:val="both"/>
        <w:ind w:right="120"/>
        <w:spacing w:after="0" w:line="241"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countries may diminish the value of the patents we in-license or narrow the scope of our patent protection. In addition, the laws of foreign countries may not protect our rights to the same extent or in the same manner as the laws of the United States. For example, European patent law is more restrictive than U.S. patent law in connection with the patentability of methods of treatment of the human body and Chinese bankruptcy law may not provide a licensee the same protections as U.S. bankruptcy law.</w:t>
      </w:r>
    </w:p>
    <w:p>
      <w:pPr>
        <w:spacing w:after="0" w:line="7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Furthermore, in the United States, patent reform legislation could increase the uncertainties and costs surrounding the prosecution of our patent applications and the enforcement or defense of our issued patents. Under the Leahy-Smith America Invents Act (the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unclear as the USPTO continues to develop new regulations and procedures in connection with the America Invents Act. 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increase the uncertainties and costs surrounding the prosecution of our patent applications and have a material adverse effect on our existing patent portfolio and our ability to protect and enforce our intellectual property in the future.</w:t>
      </w:r>
    </w:p>
    <w:p>
      <w:pPr>
        <w:spacing w:after="0" w:line="77"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addition, the European Union opened a Unified Patent Court (UPC) in June 2023. The UPC is a common patent court that hears patent infringement and revocation proceedings effective for member states of the European Union. This could enable third parties to seek revocation of any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our European patents. We have opted out of the UPC for our European patents and applications and may decide to opt out of any future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even if we elected, or in the future elect, to opt out of the UPC.</w:t>
      </w:r>
    </w:p>
    <w:p>
      <w:pPr>
        <w:spacing w:after="0" w:line="7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cannot predict whether the patent applications we in-license currently being pursued will issue as patents, whether the claims of any patent that has or may issue will provide us with a competitive advantage or prevent competitors from designing around the claims to develop competing technologies in a non-infringing manner, or whether we or our licensors will be able to successfully pursue patent applications in the future relating to our current product candidates or future products and product candidates. Moreover, the patent application and approval process is expensive and time-consuming. We or our licensors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w:t>
      </w:r>
    </w:p>
    <w:p>
      <w:pPr>
        <w:spacing w:after="0" w:line="7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Even if the patent applications we in-license issue as patents, they may not issue in a form that will provide us with any meaningful protection, prevent competitors from competing with us or otherwise provide us with any competitive advantage. Our competitors may be able to circumvent our patent rights by developing similar or alternative technologies or products in a non-infringing manner. Our competitors may also seek approval to market their own products similar to or otherwise competitive with our product candidates. Alternatively, our competitors may seek to market generic versions of any approved products by submitting abbreviated BLAs to the FDA during which process they may claim that patents licensed by us are invalid, unenforceable or not infringed. In these circumstances, we may need to defend or assert our intellectual property rights, or both, including by filing lawsuits alleging patent infringement. In any of these types of proceedings, a court or other agency with jurisdiction may find the patents we in-license invalid or unenforceable, or that our competitors are competing in a non-infringing manner. Thus, even if we have in-licensed valid and enforceable patents, these patents still may not provide protection against competing products or processes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5" w:name="page86"/>
    <w:bookmarkEnd w:id="85"/>
    <w:p>
      <w:pPr>
        <w:ind w:right="600"/>
        <w:spacing w:after="0" w:line="267" w:lineRule="auto"/>
        <w:rPr>
          <w:sz w:val="20"/>
          <w:szCs w:val="20"/>
          <w:color w:val="auto"/>
        </w:rPr>
      </w:pPr>
      <w:r>
        <w:rPr>
          <w:rFonts w:ascii="Arial" w:cs="Arial" w:eastAsia="Arial" w:hAnsi="Arial"/>
          <w:sz w:val="17"/>
          <w:szCs w:val="17"/>
          <w:color w:val="auto"/>
        </w:rPr>
        <w:t>sufficient to achieve our business objectives. Any of the foregoing could have a material adverse effect on our competitive position, business, financial conditions, results of operations, and prospects.</w:t>
      </w:r>
    </w:p>
    <w:p>
      <w:pPr>
        <w:spacing w:after="0" w:line="51"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1" w:lineRule="exact"/>
        <w:rPr>
          <w:sz w:val="20"/>
          <w:szCs w:val="20"/>
          <w:color w:val="auto"/>
        </w:rPr>
      </w:pPr>
    </w:p>
    <w:p>
      <w:pPr>
        <w:ind w:left="1020" w:right="14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be able to make or use compounds that are similar to the compositions of our product candidates but that are not covered by the claims of our patents or those of our licensors;</w:t>
      </w:r>
    </w:p>
    <w:p>
      <w:pPr>
        <w:spacing w:after="0" w:line="51"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independently develop similar or alternative technologies or duplicate any of our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our pending patent applications will not result in issued patents;</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others may circumvent our owned or in-licensed patents;</w:t>
      </w:r>
    </w:p>
    <w:p>
      <w:pPr>
        <w:spacing w:after="0" w:line="114" w:lineRule="exact"/>
        <w:rPr>
          <w:rFonts w:ascii="Times New Roman" w:cs="Times New Roman" w:eastAsia="Times New Roman" w:hAnsi="Times New Roman"/>
          <w:sz w:val="17"/>
          <w:szCs w:val="17"/>
          <w:color w:val="auto"/>
        </w:rPr>
      </w:pPr>
    </w:p>
    <w:p>
      <w:pPr>
        <w:ind w:left="1020" w:right="52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spacing w:after="0" w:line="5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14" w:lineRule="exact"/>
        <w:rPr>
          <w:rFonts w:ascii="Times New Roman" w:cs="Times New Roman" w:eastAsia="Times New Roman" w:hAnsi="Times New Roman"/>
          <w:sz w:val="17"/>
          <w:szCs w:val="17"/>
          <w:color w:val="auto"/>
        </w:rPr>
      </w:pPr>
    </w:p>
    <w:p>
      <w:pPr>
        <w:ind w:left="1020" w:right="16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our owned, co-owned, or in-licensed issued patents may not provide us with any competitive advantages, may be narrowed in scope, or be held invalid or unenforceable as a result of legal challenges by third parties;</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 of our owned, co-owned,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65" w:lineRule="exact"/>
        <w:rPr>
          <w:rFonts w:ascii="Times New Roman" w:cs="Times New Roman" w:eastAsia="Times New Roman" w:hAnsi="Times New Roman"/>
          <w:sz w:val="17"/>
          <w:szCs w:val="17"/>
          <w:color w:val="auto"/>
        </w:rPr>
      </w:pPr>
    </w:p>
    <w:p>
      <w:pPr>
        <w:ind w:left="1020" w:right="60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the co-owners of certain of our patent applications may become involved with, or license or assign the co-owned applications to competitors, or become hostile to us or the patents or patent applications on which they are named as co-owners;</w:t>
      </w:r>
    </w:p>
    <w:p>
      <w:pPr>
        <w:spacing w:after="0" w:line="51" w:lineRule="exact"/>
        <w:rPr>
          <w:rFonts w:ascii="Times New Roman" w:cs="Times New Roman" w:eastAsia="Times New Roman" w:hAnsi="Times New Roman"/>
          <w:sz w:val="17"/>
          <w:szCs w:val="17"/>
          <w:color w:val="auto"/>
        </w:rPr>
      </w:pPr>
    </w:p>
    <w:p>
      <w:pPr>
        <w:jc w:val="both"/>
        <w:ind w:left="1020" w:right="540" w:hanging="503"/>
        <w:spacing w:after="0" w:line="249"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65"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we have engaged in scientific collaborations in the past, and will continue to do so in the future. Such collaborators may develop adjacent or competing products to ours that are outside the scope of our patents;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develop additional proprietary technologies for which we can obtain patent protection;</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the patents of others may have an adverse effect on our business.</w:t>
      </w:r>
    </w:p>
    <w:p>
      <w:pPr>
        <w:spacing w:after="0" w:line="114"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b w:val="1"/>
          <w:bCs w:val="1"/>
          <w:i w:val="1"/>
          <w:iCs w:val="1"/>
          <w:color w:val="auto"/>
        </w:rPr>
        <w:t xml:space="preserve">We may enter into license or other collaboration agreements in the future that may impose certain obligations on </w:t>
      </w:r>
      <w:r>
        <w:rPr>
          <w:rFonts w:ascii="Arial" w:cs="Arial" w:eastAsia="Arial" w:hAnsi="Arial"/>
          <w:sz w:val="17"/>
          <w:szCs w:val="17"/>
          <w:b w:val="1"/>
          <w:bCs w:val="1"/>
          <w:color w:val="auto"/>
        </w:rPr>
        <w:t>us. If we fail to comply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with our obligations under such future agreements with third parties, we could lose license rights that may be important to our future business.</w:t>
      </w:r>
    </w:p>
    <w:p>
      <w:pPr>
        <w:spacing w:after="0" w:line="4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Moreover, disputes may arise regarding intellectual property subject to a licensing agreement, including:</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6" w:name="page87"/>
    <w:bookmarkEnd w:id="86"/>
    <w:p>
      <w:pPr>
        <w:ind w:left="1020" w:hanging="503"/>
        <w:spacing w:after="0"/>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4" w:lineRule="exact"/>
        <w:rPr>
          <w:rFonts w:ascii="Times New Roman" w:cs="Times New Roman" w:eastAsia="Times New Roman" w:hAnsi="Times New Roman"/>
          <w:sz w:val="17"/>
          <w:szCs w:val="17"/>
          <w:color w:val="auto"/>
        </w:rPr>
      </w:pPr>
    </w:p>
    <w:p>
      <w:pPr>
        <w:ind w:left="1020" w:right="40" w:hanging="503"/>
        <w:spacing w:after="0" w:line="266" w:lineRule="auto"/>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our product candidates, technology and processes infringe on intellectual property of the licensor that is not subject to the licensing agreement;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14" w:lineRule="exact"/>
        <w:rPr>
          <w:rFonts w:ascii="Times New Roman" w:cs="Times New Roman" w:eastAsia="Times New Roman" w:hAnsi="Times New Roman"/>
          <w:sz w:val="17"/>
          <w:szCs w:val="17"/>
          <w:color w:val="auto"/>
        </w:rPr>
      </w:pPr>
    </w:p>
    <w:p>
      <w:pPr>
        <w:ind w:left="1020" w:right="520" w:hanging="503"/>
        <w:spacing w:after="0" w:line="266" w:lineRule="auto"/>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the priority of invention of patented technology.</w:t>
      </w:r>
    </w:p>
    <w:p>
      <w:pPr>
        <w:spacing w:after="0" w:line="11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7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research development strategy includes the establishment of coculture of cancer cells, immune cells and viruses. Our techniques for establishing these cocultures and testing our experimental agents in these assays are proprietary and confidential. If one or more third parties obtain or are otherwise able to replicate these techniques, an important feature and differentiator of our research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7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7" w:name="page88"/>
    <w:bookmarkEnd w:id="87"/>
    <w:p>
      <w:pPr>
        <w:ind w:right="20"/>
        <w:spacing w:after="0" w:line="241" w:lineRule="auto"/>
        <w:rPr>
          <w:sz w:val="20"/>
          <w:szCs w:val="20"/>
          <w:color w:val="auto"/>
        </w:rPr>
      </w:pPr>
      <w:r>
        <w:rPr>
          <w:rFonts w:ascii="Arial" w:cs="Arial" w:eastAsia="Arial" w:hAnsi="Arial"/>
          <w:sz w:val="17"/>
          <w:szCs w:val="17"/>
          <w:color w:val="auto"/>
        </w:rPr>
        <w:t>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If a third-party claims that we infringe its intellectual property rights, we may face a number of issues, including, but not limited to:</w:t>
      </w:r>
    </w:p>
    <w:p>
      <w:pPr>
        <w:spacing w:after="0" w:line="102" w:lineRule="exact"/>
        <w:rPr>
          <w:sz w:val="20"/>
          <w:szCs w:val="20"/>
          <w:color w:val="auto"/>
        </w:rPr>
      </w:pPr>
    </w:p>
    <w:p>
      <w:pPr>
        <w:ind w:left="1020" w:right="300" w:hanging="503"/>
        <w:spacing w:after="0" w:line="266" w:lineRule="auto"/>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51" w:lineRule="exact"/>
        <w:rPr>
          <w:rFonts w:ascii="Times New Roman" w:cs="Times New Roman" w:eastAsia="Times New Roman" w:hAnsi="Times New Roman"/>
          <w:sz w:val="17"/>
          <w:szCs w:val="17"/>
          <w:color w:val="auto"/>
        </w:rPr>
      </w:pPr>
    </w:p>
    <w:p>
      <w:pPr>
        <w:ind w:left="1020" w:right="60" w:hanging="503"/>
        <w:spacing w:after="0" w:line="249" w:lineRule="auto"/>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65"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65" w:lineRule="exact"/>
        <w:rPr>
          <w:rFonts w:ascii="Times New Roman" w:cs="Times New Roman" w:eastAsia="Times New Roman" w:hAnsi="Times New Roman"/>
          <w:sz w:val="17"/>
          <w:szCs w:val="17"/>
          <w:color w:val="auto"/>
        </w:rPr>
      </w:pPr>
    </w:p>
    <w:p>
      <w:pPr>
        <w:ind w:left="1020" w:right="660" w:hanging="503"/>
        <w:spacing w:after="0" w:line="266" w:lineRule="auto"/>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redesigning our product candidates or processes so they do not infringe, which may not be possible or may require substantial monetary expenditures and time.</w:t>
      </w:r>
    </w:p>
    <w:p>
      <w:pPr>
        <w:spacing w:after="0" w:line="5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72" w:lineRule="exact"/>
        <w:rPr>
          <w:sz w:val="20"/>
          <w:szCs w:val="20"/>
          <w:color w:val="auto"/>
        </w:rPr>
      </w:pPr>
    </w:p>
    <w:p>
      <w:pPr>
        <w:jc w:val="both"/>
        <w:ind w:right="300"/>
        <w:spacing w:after="0" w:line="280" w:lineRule="auto"/>
        <w:rPr>
          <w:sz w:val="20"/>
          <w:szCs w:val="20"/>
          <w:color w:val="auto"/>
        </w:rPr>
      </w:pPr>
      <w:r>
        <w:rPr>
          <w:rFonts w:ascii="Arial" w:cs="Arial" w:eastAsia="Arial" w:hAnsi="Arial"/>
          <w:sz w:val="17"/>
          <w:szCs w:val="17"/>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30"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8" w:name="page89"/>
    <w:bookmarkEnd w:id="88"/>
    <w:p>
      <w:pPr>
        <w:ind w:right="200"/>
        <w:spacing w:after="0" w:line="267" w:lineRule="auto"/>
        <w:rPr>
          <w:sz w:val="20"/>
          <w:szCs w:val="20"/>
          <w:color w:val="auto"/>
        </w:rPr>
      </w:pPr>
      <w:r>
        <w:rPr>
          <w:rFonts w:ascii="Arial" w:cs="Arial" w:eastAsia="Arial" w:hAnsi="Arial"/>
          <w:sz w:val="17"/>
          <w:szCs w:val="17"/>
          <w:color w:val="auto"/>
        </w:rPr>
        <w:t>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parties may assert that we are employing their proprietary technology without authorization.</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79"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b w:val="1"/>
          <w:bCs w:val="1"/>
          <w:i w:val="1"/>
          <w:iCs w:val="1"/>
          <w:color w:val="auto"/>
        </w:rPr>
        <w:t>Third parties may assert that our employees or consultants have wrongfully used or disclosed confidential information, misappropriated trade secrets, or are in breach of non-competition or non-solicitation agreements with our competitors.</w:t>
      </w:r>
    </w:p>
    <w:p>
      <w:pPr>
        <w:spacing w:after="0" w:line="30"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We may also be subject to claims that we caused an employee to breach the terms of their non-competition or non-solicitation agreement, or that we or these individuals have, inadvertently or otherwise, used or disclosed the alleged trade secrets or other proprietary information of a former employer or competitor or other party.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8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Uncertainties resulting from the initiation and continuation of patent litigation or other intellectual property related proceedings could adversely affect our ability to compete in the marketplace.</w:t>
      </w:r>
    </w:p>
    <w:p>
      <w:pPr>
        <w:spacing w:after="0" w:line="51" w:lineRule="exact"/>
        <w:rPr>
          <w:sz w:val="20"/>
          <w:szCs w:val="20"/>
          <w:color w:val="auto"/>
        </w:rPr>
      </w:pPr>
    </w:p>
    <w:p>
      <w:pPr>
        <w:jc w:val="center"/>
        <w:ind w:right="28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9" w:name="page90"/>
    <w:bookmarkEnd w:id="89"/>
    <w:p>
      <w:pPr>
        <w:ind w:right="260"/>
        <w:spacing w:after="0" w:line="267"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5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79"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7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74" w:lineRule="exact"/>
        <w:rPr>
          <w:sz w:val="20"/>
          <w:szCs w:val="20"/>
          <w:color w:val="auto"/>
        </w:rPr>
      </w:pPr>
    </w:p>
    <w:p>
      <w:pPr>
        <w:ind w:right="780"/>
        <w:spacing w:after="0" w:line="280"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time-consuming and unsuccessful.</w:t>
      </w:r>
    </w:p>
    <w:p>
      <w:pPr>
        <w:spacing w:after="0" w:line="3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We may choose to challenge the patentability of claims in a third-party’s U.S. patent by requesting that the USPTO review the patent claims in an </w:t>
      </w:r>
      <w:r>
        <w:rPr>
          <w:rFonts w:ascii="Arial" w:cs="Arial" w:eastAsia="Arial" w:hAnsi="Arial"/>
          <w:sz w:val="17"/>
          <w:szCs w:val="17"/>
          <w:i w:val="1"/>
          <w:iCs w:val="1"/>
          <w:color w:val="auto"/>
        </w:rPr>
        <w:t xml:space="preserve">ex-parte </w:t>
      </w:r>
      <w:r>
        <w:rPr>
          <w:rFonts w:ascii="Arial" w:cs="Arial" w:eastAsia="Arial" w:hAnsi="Arial"/>
          <w:sz w:val="17"/>
          <w:szCs w:val="17"/>
          <w:color w:val="auto"/>
        </w:rPr>
        <w:t>re-examination,</w:t>
      </w:r>
      <w:r>
        <w:rPr>
          <w:rFonts w:ascii="Arial" w:cs="Arial" w:eastAsia="Arial" w:hAnsi="Arial"/>
          <w:sz w:val="17"/>
          <w:szCs w:val="17"/>
          <w:i w:val="1"/>
          <w:iCs w:val="1"/>
          <w:color w:val="auto"/>
        </w:rPr>
        <w:t xml:space="preserve"> inter partes </w:t>
      </w:r>
      <w:r>
        <w:rPr>
          <w:rFonts w:ascii="Arial" w:cs="Arial" w:eastAsia="Arial" w:hAnsi="Arial"/>
          <w:sz w:val="17"/>
          <w:szCs w:val="17"/>
          <w:color w:val="auto"/>
        </w:rPr>
        <w:t>review or post-grant review proceeding. These proceedings are expensive and may consume our time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We may choose to challenge a third-party’s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7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0" w:name="page91"/>
    <w:bookmarkEnd w:id="90"/>
    <w:p>
      <w:pPr>
        <w:ind w:right="740"/>
        <w:spacing w:after="0" w:line="267" w:lineRule="auto"/>
        <w:rPr>
          <w:sz w:val="20"/>
          <w:szCs w:val="20"/>
          <w:color w:val="auto"/>
        </w:rPr>
      </w:pPr>
      <w:r>
        <w:rPr>
          <w:rFonts w:ascii="Arial" w:cs="Arial" w:eastAsia="Arial" w:hAnsi="Arial"/>
          <w:sz w:val="17"/>
          <w:szCs w:val="17"/>
          <w:color w:val="auto"/>
        </w:rPr>
        <w:t>patent application on inventions owned by or in-licensed to us, we may incur substantial costs, divert management’s time and expend other resources, even if we are successful.</w:t>
      </w:r>
    </w:p>
    <w:p>
      <w:pPr>
        <w:spacing w:after="0" w:line="5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7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69" w:lineRule="exact"/>
        <w:rPr>
          <w:sz w:val="20"/>
          <w:szCs w:val="20"/>
          <w:color w:val="auto"/>
        </w:rPr>
      </w:pPr>
    </w:p>
    <w:p>
      <w:pPr>
        <w:jc w:val="both"/>
        <w:ind w:right="340"/>
        <w:spacing w:after="0" w:line="25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79"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b w:val="1"/>
          <w:bCs w:val="1"/>
          <w:i w:val="1"/>
          <w:iCs w:val="1"/>
          <w:color w:val="auto"/>
        </w:rPr>
        <w:t>Issued patents covering our product candidates could be found invalid or unenforceable if challenged in court or the USPTO or could expire before the first product achieves marketing approval.</w:t>
      </w: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79"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Likewise, we own a U.S. patent relating to our CAN-2409 product candidate that expires in 2034, and our in-licensed U.S. and non-U.S. patents relating to our HSV-based product candidates, licensed from MGB and from Periphagen are expected to expire in 2036 and in 2037, respectively, without taking into account any possible patent term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and in-license pending patent applications relating to our proprietary technologies or our product candidates that if issued as patents are expected to expire from 2034 through 2044, without taking into account any possible patent term adjustments or extensions. However, we cannot be assured that the USPTO or relevant foreign patent offices will grant any of these patent applications or that the term of the patent will be sufficient to protect the proprietary technologies or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0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7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74" w:lineRule="exact"/>
        <w:rPr>
          <w:sz w:val="20"/>
          <w:szCs w:val="20"/>
          <w:color w:val="auto"/>
        </w:rPr>
      </w:pPr>
    </w:p>
    <w:p>
      <w:pPr>
        <w:ind w:right="840"/>
        <w:spacing w:after="0" w:line="280" w:lineRule="auto"/>
        <w:rPr>
          <w:sz w:val="20"/>
          <w:szCs w:val="20"/>
          <w:color w:val="auto"/>
        </w:rPr>
      </w:pPr>
      <w:r>
        <w:rPr>
          <w:rFonts w:ascii="Arial" w:cs="Arial" w:eastAsia="Arial" w:hAnsi="Arial"/>
          <w:sz w:val="17"/>
          <w:szCs w:val="17"/>
          <w:b w:val="1"/>
          <w:bCs w:val="1"/>
          <w:i w:val="1"/>
          <w:iCs w:val="1"/>
          <w:color w:val="auto"/>
        </w:rPr>
        <w:t>If we do not obtain patent term extension and data exclusivity for any product candidates we may develop, our business may be materially harmed.</w:t>
      </w:r>
    </w:p>
    <w:p>
      <w:pPr>
        <w:spacing w:after="0" w:line="3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73"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0"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2" w:name="page93"/>
    <w:bookmarkEnd w:id="92"/>
    <w:p>
      <w:pPr>
        <w:ind w:right="460"/>
        <w:spacing w:after="0" w:line="267" w:lineRule="auto"/>
        <w:rPr>
          <w:sz w:val="20"/>
          <w:szCs w:val="20"/>
          <w:color w:val="auto"/>
        </w:rPr>
      </w:pPr>
      <w:r>
        <w:rPr>
          <w:rFonts w:ascii="Arial" w:cs="Arial" w:eastAsia="Arial" w:hAnsi="Arial"/>
          <w:sz w:val="17"/>
          <w:szCs w:val="17"/>
          <w:color w:val="auto"/>
        </w:rPr>
        <w:t>markets of interest. If we are unable to establish name recognition based on our trademarks and trade names, we may not be able to compete effectively and our business may be adversely affected.</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to stockholders.</w:t>
      </w:r>
    </w:p>
    <w:p>
      <w:pPr>
        <w:spacing w:after="0" w:line="102"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Our stock price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price at which it was purchased. The market price for our common stock may be influenced by many factors, including:</w:t>
      </w:r>
    </w:p>
    <w:p>
      <w:pPr>
        <w:spacing w:after="0" w:line="69"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the success of competitive products or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results of clinical trials of our product candidates or those of our competitors;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commencement or termination of collaboration, licensing or similar arrangements for our development programs;</w:t>
      </w:r>
    </w:p>
    <w:p>
      <w:pPr>
        <w:spacing w:after="0" w:line="114" w:lineRule="exact"/>
        <w:rPr>
          <w:rFonts w:ascii="Times New Roman" w:cs="Times New Roman" w:eastAsia="Times New Roman" w:hAnsi="Times New Roman"/>
          <w:sz w:val="17"/>
          <w:szCs w:val="17"/>
          <w:color w:val="auto"/>
        </w:rPr>
      </w:pPr>
    </w:p>
    <w:p>
      <w:pPr>
        <w:ind w:left="1020" w:right="840" w:hanging="503"/>
        <w:spacing w:after="0" w:line="266" w:lineRule="auto"/>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announcements by our competitors of significant acquisitions, strategic partnerships, joint ventures, collaborations or capital commitments;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or legal developments in the United States and other countries;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the recruitment or departure of key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expenses related to any of our product candidates or clinical development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the results of our efforts to discover, develop, acquire or in-license additional product candidates or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or setbacks related to drugs that are co-administered with any of our product candidates, such as checkpoint inhibitors;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expiration of market stand-off or lock-up agreements;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the structure of healthcare payment systems;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market conditions in the pharmaceutical and biotechnology sectors;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general economic, industry and market conditions and overall fluctuations in the financial markets in the United States and abroad;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the other factors described in this “Risk Factors” section.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maintain compliance with Nasdaq’s continued listing requirements could result in the delisting of our common stock.</w:t>
      </w:r>
    </w:p>
    <w:p>
      <w:pPr>
        <w:spacing w:after="0" w:line="102"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Our common stock is currently listed for trading on The Nasdaq Global Market (Nasdaq). We must satisfy the continued listing requirements of Nasdaq to maintain the listing of our common stock on Nasdaq. On November 15, 2023, we received a letter from the Listing Qualifications Department (the Staff) of The Nasdaq Stock Market LLC notifying us that, for the previous 30 consecutive business days, the closing bid price for our common stock had been below the minimum $1.00 per share required for continued listing on Nasdaq under Nasdaq Listing Rule 5450(a)(1) (the Bid Price Requirement). On December 28, 2023, the Staff notified us that, as of December 28, 2023, we had regained compliance with the Bid Price Requirement and that the matter was closed.</w:t>
      </w:r>
    </w:p>
    <w:p>
      <w:pPr>
        <w:spacing w:after="0" w:line="7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If we are deficient in maintaining the necessary listing requirements, our common stock may be delisted. If our common stock is delisted, an active trading market for our common stock may not be sustained and the market price of our common stock could decline. Delisting of our common stock could adversely affect our ability to raise additional capital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93" w:name="page94"/>
    <w:bookmarkEnd w:id="93"/>
    <w:p>
      <w:pPr>
        <w:ind w:right="180"/>
        <w:spacing w:after="0" w:line="256" w:lineRule="auto"/>
        <w:rPr>
          <w:sz w:val="20"/>
          <w:szCs w:val="20"/>
          <w:color w:val="auto"/>
        </w:rPr>
      </w:pPr>
      <w:r>
        <w:rPr>
          <w:rFonts w:ascii="Arial" w:cs="Arial" w:eastAsia="Arial" w:hAnsi="Arial"/>
          <w:sz w:val="17"/>
          <w:szCs w:val="17"/>
          <w:b w:val="1"/>
          <w:bCs w:val="1"/>
          <w:i w:val="1"/>
          <w:iCs w:val="1"/>
          <w:color w:val="auto"/>
        </w:rPr>
        <w:t>Raising additional capital through the sale of a substantial number of shares of our common stock, or the perception that sales of a substantial number of shares of our common stock might occur, may cause dilution to our stockholders, could cause our stock price to decline and could restrict our operations or require us to relinquish rights to our technologies or current or future product candidates.</w:t>
      </w:r>
    </w:p>
    <w:p>
      <w:pPr>
        <w:spacing w:after="0" w:line="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may materially adversely affect your rights as a common stockholder. In August 2022, we filed a registration statement on Form S-3 (as amended, the Shelf) pursuant to which we may issue up to $75.0 million in shares of common stock in sales deemed to be “at-the-market offerings” (the ATM Program) as defined by the Securities Act of 1933, as amended (Securities Act), and up to $200.0 million in shares of our common stock, preferred stock, debt securities, warrants and/or units. As of March 21, 2024, we have sold and issued 109,485 shares of common stock under the ATM Program, with total net proceeds of $0.2 million. Any sale or issuance of securities pursuant to this registration statement or otherwise may result in dilution to our stockholders and may cause our stock price to decline. Due to the SEC’s “baby shelf rules,” which prohibit companies with a public float of less than $75.0 million from issuing securities under a shelf registration statement in excess of one third of such company’s public float in a 12-month period, we are currently only able to issue a limited number of shares which aggregate to no more than one-third of our public float using our Shelf. Although alternative public and private transaction structures may be available, these may require additional time and cost, may impose operational restrictions on us, and may not be available on attractive terms.</w:t>
      </w:r>
    </w:p>
    <w:p>
      <w:pPr>
        <w:spacing w:after="0" w:line="74"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Debt financing, if available, would increase our fixed payment obligations and may involve agreements that include covenants limiting or restricting our ability to take specific actions, such as incurring additional debt, acquiring, selling or licensing intellectual property rights,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spacing w:after="0" w:line="74"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b w:val="1"/>
          <w:bCs w:val="1"/>
          <w:i w:val="1"/>
          <w:iCs w:val="1"/>
          <w:color w:val="auto"/>
        </w:rPr>
        <w:t>We are an “emerging growth company” as defined in the JOBS Act and a “smaller reporting company” as defined in the Securities Exchange Act of 1934, as amended (the Exchange Act), and will be able to avail ourselves of reduced disclosure requirements applicable to emerging growth companies and smaller reporting companies, which could make our common stock less attractive to investors and adversely affect the market price of our common stock.</w:t>
      </w:r>
    </w:p>
    <w:p>
      <w:pPr>
        <w:spacing w:after="0" w:line="56"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We will remain an emerging growth company until the earlier of (i) the last day of the fiscal year in which we have total annual gross revenues of $1.235 billion or more; (ii) December 26, 2026;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4"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the auditor attestation requirements of Section 404 of the SOX Act (Section 404);</w:t>
      </w:r>
    </w:p>
    <w:p>
      <w:pPr>
        <w:spacing w:after="0" w:line="114" w:lineRule="exact"/>
        <w:rPr>
          <w:rFonts w:ascii="Times New Roman" w:cs="Times New Roman" w:eastAsia="Times New Roman" w:hAnsi="Times New Roman"/>
          <w:sz w:val="17"/>
          <w:szCs w:val="17"/>
          <w:color w:val="auto"/>
        </w:rPr>
      </w:pPr>
    </w:p>
    <w:p>
      <w:pPr>
        <w:ind w:left="1020" w:right="60" w:hanging="503"/>
        <w:spacing w:after="0" w:line="249" w:lineRule="auto"/>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5" w:lineRule="exact"/>
        <w:rPr>
          <w:rFonts w:ascii="Times New Roman" w:cs="Times New Roman" w:eastAsia="Times New Roman" w:hAnsi="Times New Roman"/>
          <w:sz w:val="17"/>
          <w:szCs w:val="17"/>
          <w:color w:val="auto"/>
        </w:rPr>
      </w:pPr>
    </w:p>
    <w:p>
      <w:pPr>
        <w:jc w:val="both"/>
        <w:ind w:left="1020" w:right="580" w:hanging="503"/>
        <w:spacing w:after="0" w:line="266" w:lineRule="auto"/>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4" w:name="page95"/>
    <w:bookmarkEnd w:id="94"/>
    <w:p>
      <w:pPr>
        <w:ind w:left="1020" w:hanging="503"/>
        <w:spacing w:after="0"/>
        <w:tabs>
          <w:tab w:leader="none" w:pos="102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reduced disclosure obligations regarding executive compensation; and</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5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may choose to take advantage of some, but not all, of the available exemptions. We have taken advantage of reduced reporting burdens in this Annual Report on Form 10-K. In particular, we have provided only two years of audited financial statements and a correspondingly reduced “Management’s Discussion and Analysis of Financial Condition and Results of Operations” disclosure, and we have not included all of the executive compensation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7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69"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no longer qualify an emerging growth company.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w:t>
      </w:r>
    </w:p>
    <w:p>
      <w:pPr>
        <w:spacing w:after="0" w:line="7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Although we are still evaluating the JOBS Act, we currently intend to take advantage of some, but not all, of the reduced regulatory and reporting requirements that will be available to us so long as we qualify as an “emerging growth company” and “smaller reporting company.” We have elected to avail ourselves of this exemption and, therefore, we are not subject to the same new or revised accounting standards as other public companies that are not emerging growth companies or smaller reporting company. As a result, changes in rules of U.S. GAAP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 “smaller reporting company” or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77"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As a public company, and particularly after we are no longer an “emerging growth company,” we incur significant legal, accounting and other expenses that we did not incur as a private company. We are subject to the reporting requirements of the Exchange Act, which will require, among other things, that we file with the SEC annual, quarterly and current reports with respect to our business and financial condition. In addition, the SOX Act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may implement many of these requirements over a longer period and up to five years from the pricing of an initial public offering. We intend to take advantage of these extended transition periods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5" w:name="page96"/>
    <w:bookmarkEnd w:id="95"/>
    <w:p>
      <w:pPr>
        <w:spacing w:after="0"/>
        <w:rPr>
          <w:sz w:val="20"/>
          <w:szCs w:val="20"/>
          <w:color w:val="auto"/>
        </w:rPr>
      </w:pPr>
      <w:r>
        <w:rPr>
          <w:rFonts w:ascii="Arial" w:cs="Arial" w:eastAsia="Arial" w:hAnsi="Arial"/>
          <w:sz w:val="17"/>
          <w:szCs w:val="17"/>
          <w:color w:val="auto"/>
        </w:rPr>
        <w:t>which may lead to additional compliance costs and impact the manner in which we operate our business in ways we cannot currently anticipate.</w:t>
      </w:r>
    </w:p>
    <w:p>
      <w:pPr>
        <w:spacing w:after="0" w:line="10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maintain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79" w:lineRule="exact"/>
        <w:rPr>
          <w:sz w:val="20"/>
          <w:szCs w:val="20"/>
          <w:color w:val="auto"/>
        </w:rPr>
      </w:pPr>
    </w:p>
    <w:p>
      <w:pPr>
        <w:ind w:right="340"/>
        <w:spacing w:after="0" w:line="280" w:lineRule="auto"/>
        <w:rPr>
          <w:sz w:val="20"/>
          <w:szCs w:val="20"/>
          <w:color w:val="auto"/>
        </w:rPr>
      </w:pPr>
      <w:r>
        <w:rPr>
          <w:rFonts w:ascii="Arial" w:cs="Arial" w:eastAsia="Arial" w:hAnsi="Arial"/>
          <w:sz w:val="17"/>
          <w:szCs w:val="17"/>
          <w:b w:val="1"/>
          <w:bCs w:val="1"/>
          <w:i w:val="1"/>
          <w:iCs w:val="1"/>
          <w:color w:val="auto"/>
        </w:rPr>
        <w:t>Sales of a substantial number of shares of our common stock by our existing stockholders in the public market could cause our stock price to fall.</w:t>
      </w:r>
    </w:p>
    <w:p>
      <w:pPr>
        <w:spacing w:after="0" w:line="3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the trading price of our common stock could decline. As of March 21, 2024, we had a total of 29,347,468 shares of common stock outstanding.</w:t>
      </w:r>
    </w:p>
    <w:p>
      <w:pPr>
        <w:spacing w:after="0" w:line="5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addition, shares of common stock that are reserved for future issuance under our 2021 Plan and our 2021 Employee Stock Purchase Plan will become eligible for sale in the public market to the extent permitted by the provisions of various vesting schedules, Rule 144 and Rule 701 under the Securities Act. If these additional shares of common stock are sold, or if it is perceived that they will be sold, in the public market, the trading price of our common stock could decline.</w:t>
      </w:r>
    </w:p>
    <w:p>
      <w:pPr>
        <w:spacing w:after="0" w:line="69"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The holders of 8,884,661 shares of our common stock are entitled to rights with respect to the registration of their shares under the Securities Act. Registration of these shares under the Securities Act would result in such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69"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30"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67" w:lineRule="exact"/>
        <w:rPr>
          <w:sz w:val="20"/>
          <w:szCs w:val="20"/>
          <w:color w:val="auto"/>
        </w:rPr>
      </w:pPr>
    </w:p>
    <w:p>
      <w:pPr>
        <w:ind w:right="340"/>
        <w:spacing w:after="0" w:line="280"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30"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The existing holdings of our executive officers, directors, principal stockholders and their affiliates represent beneficial ownership, in the aggregate, of approximately 60.6% of our outstanding common stock with Estuardo Aguilar-Cordova and Laura Aguilar (together, both directly and indirectly) beneficially owning approximately 21.1% of our outstanding common stock, and with entities and persons affiliated with PBM Capital Group, LLC (PBM Capital), beneficially owning approximately 29.1% of our outstanding common stock. As a result, these stockholders, if they act together, will be able to influence our management and affairs and the outcome of matters submitted to our stockholders for approval,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6" w:name="page97"/>
    <w:bookmarkEnd w:id="96"/>
    <w:p>
      <w:pPr>
        <w:ind w:right="340"/>
        <w:spacing w:after="0" w:line="249" w:lineRule="auto"/>
        <w:rPr>
          <w:sz w:val="20"/>
          <w:szCs w:val="20"/>
          <w:color w:val="auto"/>
        </w:rPr>
      </w:pPr>
      <w:r>
        <w:rPr>
          <w:rFonts w:ascii="Arial" w:cs="Arial" w:eastAsia="Arial" w:hAnsi="Arial"/>
          <w:sz w:val="17"/>
          <w:szCs w:val="17"/>
          <w:color w:val="auto"/>
        </w:rPr>
        <w:t>including the election of directors and any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67"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color w:val="auto"/>
        </w:rPr>
        <w:t>delaying, deferring or preventing a change of control of us;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color w:val="auto"/>
        </w:rPr>
        <w:t>impeding a merger, consolidation, takeover or other business combination involving us; or</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1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4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1" w:lineRule="exact"/>
        <w:rPr>
          <w:sz w:val="20"/>
          <w:szCs w:val="20"/>
          <w:color w:val="auto"/>
        </w:rPr>
      </w:pPr>
    </w:p>
    <w:p>
      <w:pPr>
        <w:ind w:left="1020" w:right="540" w:hanging="503"/>
        <w:spacing w:after="0" w:line="266" w:lineRule="auto"/>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51" w:lineRule="exact"/>
        <w:rPr>
          <w:rFonts w:ascii="Times New Roman" w:cs="Times New Roman" w:eastAsia="Times New Roman" w:hAnsi="Times New Roman"/>
          <w:sz w:val="17"/>
          <w:szCs w:val="17"/>
          <w:color w:val="auto"/>
        </w:rPr>
      </w:pPr>
    </w:p>
    <w:p>
      <w:pPr>
        <w:ind w:left="1020" w:right="360" w:hanging="503"/>
        <w:spacing w:after="0" w:line="266" w:lineRule="auto"/>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a prohibition on stockholder action through written consent, which requires that all stockholder actions be taken at a meeting of our stockholders;</w:t>
      </w:r>
    </w:p>
    <w:p>
      <w:pPr>
        <w:spacing w:after="0" w:line="5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114" w:lineRule="exact"/>
        <w:rPr>
          <w:rFonts w:ascii="Times New Roman" w:cs="Times New Roman" w:eastAsia="Times New Roman" w:hAnsi="Times New Roman"/>
          <w:sz w:val="17"/>
          <w:szCs w:val="17"/>
          <w:color w:val="auto"/>
        </w:rPr>
      </w:pPr>
    </w:p>
    <w:p>
      <w:pPr>
        <w:ind w:left="1020" w:right="300" w:hanging="503"/>
        <w:spacing w:after="0" w:line="249" w:lineRule="auto"/>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5"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51" w:lineRule="exact"/>
        <w:rPr>
          <w:rFonts w:ascii="Times New Roman" w:cs="Times New Roman" w:eastAsia="Times New Roman" w:hAnsi="Times New Roman"/>
          <w:sz w:val="17"/>
          <w:szCs w:val="17"/>
          <w:color w:val="auto"/>
        </w:rPr>
      </w:pPr>
    </w:p>
    <w:p>
      <w:pPr>
        <w:ind w:left="1020" w:right="580" w:hanging="503"/>
        <w:spacing w:after="0" w:line="266" w:lineRule="auto"/>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2"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76"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4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bylaws provide that, unless we consent in writing to an alternative forum, the Court of Chancery of the State of Delaware will be the sole and exclusive forum for any state law claim for (i) any derivative action or proceeding brought on our behalf, (ii) any action asserting a claim of breach of fiduciary duty owed by any of our directors, officers, and employees to us or our stockholders, (iii) any action asserting a claim arising pursuant to any provision of the Delaware General Corporation Law, our amended and restated certificate of incorporation or our amended and restated bylaws or (iv) any action asserting a claim that is governed by the internal affairs doctrine, in each case subject to the Court of Chancery having personal jurisdiction over the indispensable parties named as defendants therein, or the Delaware Forum Provision. The Delaware Forum Provision does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as our principal office is located in Needham, Massachusetts. In addition, our amended and restated bylaws provide that any person or entity purchasing or otherwise acquiring any interest in shares of our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7" w:name="page98"/>
    <w:bookmarkEnd w:id="97"/>
    <w:p>
      <w:pPr>
        <w:ind w:right="80"/>
        <w:spacing w:after="0" w:line="267" w:lineRule="auto"/>
        <w:rPr>
          <w:sz w:val="20"/>
          <w:szCs w:val="20"/>
          <w:color w:val="auto"/>
        </w:rPr>
      </w:pPr>
      <w:r>
        <w:rPr>
          <w:rFonts w:ascii="Arial" w:cs="Arial" w:eastAsia="Arial" w:hAnsi="Arial"/>
          <w:sz w:val="17"/>
          <w:szCs w:val="17"/>
          <w:color w:val="auto"/>
        </w:rPr>
        <w:t>is deemed to have notice of and consented to the foregoing provisions; provided, however, that stockholders cannot and will not be deemed to have waived our compliance with the federal securities laws and the rules and regulations thereunder.</w:t>
      </w:r>
    </w:p>
    <w:p>
      <w:pPr>
        <w:spacing w:after="0" w:line="5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79"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3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management's attention.</w:t>
      </w:r>
    </w:p>
    <w:p>
      <w:pPr>
        <w:spacing w:after="0" w:line="102"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were highly volatile as a result of the COVID-19 pandemic and may be volatile as a result of a similar public health crisis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74" w:lineRule="exact"/>
        <w:rPr>
          <w:sz w:val="20"/>
          <w:szCs w:val="20"/>
          <w:color w:val="auto"/>
        </w:rPr>
      </w:pPr>
    </w:p>
    <w:p>
      <w:pPr>
        <w:ind w:right="700"/>
        <w:spacing w:after="0" w:line="280" w:lineRule="auto"/>
        <w:rPr>
          <w:sz w:val="20"/>
          <w:szCs w:val="20"/>
          <w:color w:val="auto"/>
        </w:rPr>
      </w:pPr>
      <w:r>
        <w:rPr>
          <w:rFonts w:ascii="Arial" w:cs="Arial" w:eastAsia="Arial" w:hAnsi="Arial"/>
          <w:sz w:val="17"/>
          <w:szCs w:val="17"/>
          <w:b w:val="1"/>
          <w:bCs w:val="1"/>
          <w:i w:val="1"/>
          <w:iCs w:val="1"/>
          <w:color w:val="auto"/>
        </w:rPr>
        <w:t>The number of shares of our common stock outstanding may increase substantially as a result of our November 2018 issuance of warrants to purchase up to an aggregate of 7,344,968 shares of common stock.</w:t>
      </w:r>
    </w:p>
    <w:p>
      <w:pPr>
        <w:spacing w:after="0" w:line="3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connection with the November 13, 2018 issuance of Series B convertible preferred stock (the Series B Preferred), we issued to the purchaser of the Series B Preferred, warrants to purchase 3,672,484 shares of common stock for $6.81 per share (the Series B Warrants) which were and remain fully exercisable upon issuance. The Series B Warrants contain provisions allowing cashless exercise.</w:t>
      </w:r>
    </w:p>
    <w:p>
      <w:pPr>
        <w:spacing w:after="0" w:line="67" w:lineRule="exact"/>
        <w:rPr>
          <w:sz w:val="20"/>
          <w:szCs w:val="20"/>
          <w:color w:val="auto"/>
        </w:rPr>
      </w:pPr>
    </w:p>
    <w:p>
      <w:pPr>
        <w:jc w:val="both"/>
        <w:ind w:right="260"/>
        <w:spacing w:after="0" w:line="249" w:lineRule="auto"/>
        <w:rPr>
          <w:sz w:val="20"/>
          <w:szCs w:val="20"/>
          <w:color w:val="auto"/>
        </w:rPr>
      </w:pPr>
      <w:r>
        <w:rPr>
          <w:rFonts w:ascii="Arial" w:cs="Arial" w:eastAsia="Arial" w:hAnsi="Arial"/>
          <w:sz w:val="17"/>
          <w:szCs w:val="17"/>
          <w:color w:val="auto"/>
        </w:rPr>
        <w:t>In addition, we issued to the same stockholder additional five-year warrants for the purchase of 3,672,484 shares of common stock for $6.81 per share (the Conditional Series B Warrants), which become exercisable in the event that we complete a future financing that meets certain financial milestones or achieves certain share prices as follows:</w:t>
      </w:r>
    </w:p>
    <w:p>
      <w:pPr>
        <w:spacing w:after="0" w:line="67"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w:t>
      </w:r>
    </w:p>
    <w:p>
      <w:pPr>
        <w:spacing w:after="0" w:line="8" w:lineRule="exact"/>
        <w:rPr>
          <w:rFonts w:ascii="Times New Roman" w:cs="Times New Roman" w:eastAsia="Times New Roman" w:hAnsi="Times New Roman"/>
          <w:sz w:val="17"/>
          <w:szCs w:val="17"/>
          <w:color w:val="auto"/>
        </w:rPr>
      </w:pPr>
    </w:p>
    <w:p>
      <w:pPr>
        <w:ind w:left="1020" w:right="40"/>
        <w:spacing w:after="0" w:line="248" w:lineRule="auto"/>
        <w:rPr>
          <w:rFonts w:ascii="Times New Roman" w:cs="Times New Roman" w:eastAsia="Times New Roman" w:hAnsi="Times New Roman"/>
          <w:sz w:val="17"/>
          <w:szCs w:val="17"/>
          <w:color w:val="auto"/>
        </w:rPr>
      </w:pPr>
      <w:r>
        <w:rPr>
          <w:rFonts w:ascii="Arial" w:cs="Arial" w:eastAsia="Arial" w:hAnsi="Arial"/>
          <w:sz w:val="17"/>
          <w:szCs w:val="17"/>
          <w:color w:val="auto"/>
        </w:rPr>
        <w:t>$20,000,000 in gross proceeds with a per share price of $12.47, or (2) an average market price (determined over a consecutive 10-day period) of $12.47 per share;</w:t>
      </w:r>
    </w:p>
    <w:p>
      <w:pPr>
        <w:spacing w:after="0" w:line="66"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8" w:name="page99"/>
    <w:bookmarkEnd w:id="98"/>
    <w:p>
      <w:pPr>
        <w:ind w:right="60"/>
        <w:spacing w:after="0" w:line="241" w:lineRule="auto"/>
        <w:rPr>
          <w:sz w:val="20"/>
          <w:szCs w:val="20"/>
          <w:color w:val="auto"/>
        </w:rPr>
      </w:pPr>
      <w:r>
        <w:rPr>
          <w:rFonts w:ascii="Arial" w:cs="Arial" w:eastAsia="Arial" w:hAnsi="Arial"/>
          <w:sz w:val="17"/>
          <w:szCs w:val="17"/>
          <w:color w:val="auto"/>
        </w:rPr>
        <w:t>On June 24, 2021, our board of directors approved, and on July 14, 2021, our stockholders approved, effective upon the closing of the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w:t>
      </w:r>
    </w:p>
    <w:p>
      <w:pPr>
        <w:spacing w:after="0" w:line="7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recorded the Series B Warrants as a component of stockholder’s equity at the time of issuance at their estimated fair value of $2.1 million and recorded the Conditional Series B Warrants as a liability on the consolidated balance sheet because the number of shares used to calculate the settlement is not a fixed number of shares. The Conditional Series B Warrants are remeasured to their fair value at each reporting date with changes in the fair value recognized as a component of other income (expense), net in the consolidated statements of operations. We will continue to recognize changes in the fair value of the Conditional Series B Warrants until each Conditional Series B Warrant is exercised, expires or qualifies for equity classification.</w:t>
      </w:r>
    </w:p>
    <w:p>
      <w:pPr>
        <w:spacing w:after="0" w:line="7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exercise of these warrants in full, assuming vesting in full of the Conditional Series B Warrants and no net exercise, would result in an additional 7,344,968 shares of common stock outstanding, resulting in substantial dilution to stockholders who hold our common stock. In addition, if the holders of these warrants, including PBM Capital, were to exercise such warrants in full, these holders could then have significant influence over the outcome of any stockholder vote, including the election of directors and the approval of mergers or other business combination transactions.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1C. Cybersecurity.</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Cybersecurity Risk Management and Strategy</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Candel has implemented cybersecurity risk management processes that are informed by industry standards in accordance with the scale of our business. Our cybersecurity risk management processes are designed to assess, identify and mitigate risks from current and emerging cybersecurity threats.</w:t>
      </w:r>
    </w:p>
    <w:p>
      <w:pPr>
        <w:spacing w:after="0" w:line="14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use various tools and processes to accomplish these objectives, including policies and procedures, risk assessments, and testing. Further, we require our employees to participate in cybersecurity risk awareness trainings and phishing exercises.</w:t>
      </w:r>
    </w:p>
    <w:p>
      <w:pPr>
        <w:spacing w:after="0" w:line="13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Our cybersecurity risk management processes are supported by third-party service providers, including a managed services provider that assists the Company with, among other things, threat monitoring and cybersecurity incident response and escalation services. We rely on a third-party service provider to assist us with our cybersecurity practices, including for vulnerability assessments, penetration testing, and managing IT environments. Our process for onboarding new vendors with access to critical systems or data includes vendor questionnaires, contractual obligations, and if deemed appropriate, review of vendor audit reports.</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Our incident management processes include reporting to senior management, including the Chief Financial Officer (CFO), Vice President of Regulatory and Quality Assurance, Chief Executive Officer, and GxP Systems Director, and, where appropriate, to the board of directors. To date, 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have from time-to-time experienced threats that could affect our information or systems. For more information, please refer to Item 1A, “Risk Factors,” in this annual report on Form 10-K.</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Cybersecurity Governance</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board of directors has delegated oversight of the Company’s cybersecurity risk management program to the Audit Committee, including responsibilities for reviewing and discussing cybersecurity risks, implementing risk management programs, controls and procedures, and performing high level reviews of the threat landscape.</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Our Senior Director, Information Technology (Senior Director, IT) is responsible for the strategic leadership and day-to-day management of our cybersecurity risk management program. The individual occupying this role has over thirty years of experience with information technology management and over five years of cybersecurity risk management.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9" w:name="page100"/>
    <w:bookmarkEnd w:id="99"/>
    <w:p>
      <w:pPr>
        <w:jc w:val="both"/>
        <w:spacing w:after="0" w:line="244" w:lineRule="auto"/>
        <w:rPr>
          <w:sz w:val="20"/>
          <w:szCs w:val="20"/>
          <w:color w:val="auto"/>
        </w:rPr>
      </w:pPr>
      <w:r>
        <w:rPr>
          <w:rFonts w:ascii="Arial" w:cs="Arial" w:eastAsia="Arial" w:hAnsi="Arial"/>
          <w:sz w:val="17"/>
          <w:szCs w:val="17"/>
          <w:color w:val="auto"/>
        </w:rPr>
        <w:t>Our Senior Director, IT engages in regular meetings with our third-party managed IT service provider and the Director, IT to review and assess our cybersecurity risk management processes. The Senior Director, IT reports such findings to our CFO who annually presents updates on cybersecurity risks, mitigation strategies, and, if necessary, incident response activities to our Audit Committee. Further, our Audit Committee updates the full board on matters relating to cybersecurity risk management, as necessary.</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02"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Our principal office is located at 117 Kendrick St, Suite 450, Needham, Massachusetts 02494, where we lease approximately 15,000 square feet of office and laboratory space. We lease this space under a lease that terminates on August 31, 2026.</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we may become involved in litigation or other legal proceedings.</w:t>
      </w:r>
    </w:p>
    <w:p>
      <w:pPr>
        <w:spacing w:after="0" w:line="96"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0" w:name="page101"/>
    <w:bookmarkEnd w:id="100"/>
    <w:p>
      <w:pPr>
        <w:jc w:val="center"/>
        <w:ind w:right="-139"/>
        <w:spacing w:after="0"/>
        <w:rPr>
          <w:sz w:val="20"/>
          <w:szCs w:val="20"/>
          <w:color w:val="auto"/>
        </w:rPr>
      </w:pPr>
      <w:r>
        <w:rPr>
          <w:rFonts w:ascii="Arial" w:cs="Arial" w:eastAsia="Arial" w:hAnsi="Arial"/>
          <w:sz w:val="17"/>
          <w:szCs w:val="17"/>
          <w:b w:val="1"/>
          <w:bCs w:val="1"/>
          <w:color w:val="auto"/>
        </w:rPr>
        <w:t>PART II</w:t>
      </w:r>
    </w:p>
    <w:p>
      <w:pPr>
        <w:spacing w:after="0" w:line="102" w:lineRule="exact"/>
        <w:rPr>
          <w:sz w:val="20"/>
          <w:szCs w:val="20"/>
          <w:color w:val="auto"/>
        </w:rPr>
      </w:pPr>
    </w:p>
    <w:p>
      <w:pPr>
        <w:ind w:right="1400"/>
        <w:spacing w:after="0" w:line="364"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common stock is traded under the symbol “CADL” on the Nasdaq Global Market and has been publicly traded since July 27, 2021. Prior to this time, there was no public market for our common stock.</w:t>
      </w:r>
    </w:p>
    <w:p>
      <w:pPr>
        <w:spacing w:after="0" w:line="5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On March 21, 2024, there were approximately 118 registered holders of record of our common stock. The actual number of stockholders is greater than this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0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We have never declared or paid any dividends on our capital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 Investors should not purchase our common stock with the expectation of receiving cash dividends.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 and Use of Proceeds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Sales of Unregistered Equity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Proceeds</w:t>
      </w:r>
    </w:p>
    <w:p>
      <w:pPr>
        <w:spacing w:after="0" w:line="10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offer and sale of all the shares of our common stock in our initial public offering were registered under the Securities Act pursuant to a registration statement on Form S-1 (Reg. No. 333-257444), as amended, which was declared effective by the SEC on July 26, 2021. There has been no material change in the expected use of the net proceeds from our Annual Report on Form 10-K for the year ended December 31, 2022 as filed with the SEC on March 30, 2023.</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Purchases of Equity Securities by the Issuer and Affiliated Purchasers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9" w:right="47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02"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together with our consolidated financial statements and the related notes and other financial information included elsewhere in this Annual Report on Form 10-K. Some of the information contained in this discussion and analysis contains forward-looking statements that involve risks and uncertainties. You should review the section titled “Risk factors” in this Annual Report on Form 10-K for a discussion of important factors that could cause actual results to differ materially from the results described below.</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a clinical stage biopharmaceutical company focused on developing off-the-shelf viral immunotherapies that elicit an individualized, systemic anti-tumor immune response to help patients fight cancer. Our engineered viruses are designed to induce a systemic anti-tumor response due to immunogenic cell death through direct viral-mediated cytotoxicity in cancer cells, thus releasing tumor neo-antigens and creating a pro-inflammatory microenvironment at the site of injection. This is intended to lead to in-situ vaccination against the injected tumor and uninjected distant metastases. Our viral immunotherapy approach utilizes intratumoral administration of genetically engineered viruses to induce tumor cell death and elicit a systemic anti-tumor response. Local delivery enables us to achieve these effects while aiming to minimize systemic toxicity. The immune cells induced by these viral immunotherapies are believed to target patients’ specific tumor antigens, potentially improving responses in immunologically “hot” tumors while at the same time infiltrating the tumor microenvironment, transforming non-inflamed “cold” tumors with limited immune response into “hot” tumors. While our product candidates are administered directly into the tumor, we have observed systemic immune response in our preclinical studies and clinical trials that may indicate the potential of our product candidates to induce systemic immune response against distal, uninjected tumors, also known as an “abscopal” effect.</w:t>
      </w:r>
    </w:p>
    <w:p>
      <w:pPr>
        <w:spacing w:after="0" w:line="194"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We believe viral immunotherapy is among the most promising cancer treatment modalities today. Our goal is to further improve patient outcomes through viral immunotherapies by selecting the optimal vector, specific transgenes and clinical indications for each tumor type while optimizing product candidate attributes, such as high-titer formulation, intratumoral administration to induce systemic anti-tumor immunity, and storage conditions that could potentially lower logistical barriers for patients and clinicians.</w:t>
      </w:r>
    </w:p>
    <w:p>
      <w:pPr>
        <w:spacing w:after="0" w:line="69"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We have established two clinical off-the-shelf viral immunotherapy platforms based on novel, genetically modified adenovirus and herpes simplex virus (HSV) constructs, respectively.</w:t>
      </w:r>
    </w:p>
    <w:p>
      <w:pPr>
        <w:spacing w:after="0" w:line="13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Our most advanced product candidate, CAN-2409, is an off-the-shelf adenovirus product candidate which is administered in conjunction with the prodrug valacyclovir, that has generated promising clinical activity across a range of solid tumor indications. CAN-2409 is currently being studied in the following ongoing clinical trials:</w:t>
      </w:r>
    </w:p>
    <w:p>
      <w:pPr>
        <w:spacing w:after="0" w:line="150" w:lineRule="exact"/>
        <w:rPr>
          <w:sz w:val="20"/>
          <w:szCs w:val="20"/>
          <w:color w:val="auto"/>
        </w:rPr>
      </w:pPr>
    </w:p>
    <w:p>
      <w:pPr>
        <w:ind w:left="660" w:hanging="278"/>
        <w:spacing w:after="0"/>
        <w:tabs>
          <w:tab w:leader="none" w:pos="66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Prostate Cancer</w:t>
      </w:r>
    </w:p>
    <w:p>
      <w:pPr>
        <w:spacing w:after="0" w:line="58" w:lineRule="exact"/>
        <w:rPr>
          <w:sz w:val="20"/>
          <w:szCs w:val="20"/>
          <w:color w:val="auto"/>
        </w:rPr>
      </w:pPr>
    </w:p>
    <w:p>
      <w:pPr>
        <w:ind w:left="1240" w:right="40" w:hanging="289"/>
        <w:spacing w:after="0" w:line="243" w:lineRule="auto"/>
        <w:tabs>
          <w:tab w:leader="none" w:pos="1240" w:val="left"/>
        </w:tabs>
        <w:numPr>
          <w:ilvl w:val="1"/>
          <w:numId w:val="65"/>
        </w:numPr>
        <w:rPr>
          <w:rFonts w:ascii="Times New Roman" w:cs="Times New Roman" w:eastAsia="Times New Roman" w:hAnsi="Times New Roman"/>
          <w:sz w:val="17"/>
          <w:szCs w:val="17"/>
          <w:color w:val="auto"/>
        </w:rPr>
      </w:pPr>
      <w:r>
        <w:rPr>
          <w:rFonts w:ascii="Arial" w:cs="Arial" w:eastAsia="Arial" w:hAnsi="Arial"/>
          <w:sz w:val="17"/>
          <w:szCs w:val="17"/>
          <w:color w:val="auto"/>
        </w:rPr>
        <w:t>A pivotal phase 3 randomized, triple-blinded and placebo-controlled clinical trial in the United States under a Special Protocol Assessment (SPA), with the U.S. Food and Drug Administration (FDA) evaluating 711 evaluable patients with newly diagnosed, localized prostate cancer who have an intermediate or high-risk for progression. We completed enrollment of this trial in September 2021, and we expect to report topline data in the fourth quarter of 2024.</w:t>
      </w:r>
    </w:p>
    <w:p>
      <w:pPr>
        <w:spacing w:after="0" w:line="71" w:lineRule="exact"/>
        <w:rPr>
          <w:rFonts w:ascii="Times New Roman" w:cs="Times New Roman" w:eastAsia="Times New Roman" w:hAnsi="Times New Roman"/>
          <w:sz w:val="17"/>
          <w:szCs w:val="17"/>
          <w:color w:val="auto"/>
        </w:rPr>
      </w:pPr>
    </w:p>
    <w:p>
      <w:pPr>
        <w:ind w:left="1240" w:right="120" w:hanging="289"/>
        <w:spacing w:after="0" w:line="249" w:lineRule="auto"/>
        <w:tabs>
          <w:tab w:leader="none" w:pos="1240" w:val="left"/>
        </w:tabs>
        <w:numPr>
          <w:ilvl w:val="1"/>
          <w:numId w:val="65"/>
        </w:numPr>
        <w:rPr>
          <w:rFonts w:ascii="Times New Roman" w:cs="Times New Roman" w:eastAsia="Times New Roman" w:hAnsi="Times New Roman"/>
          <w:sz w:val="17"/>
          <w:szCs w:val="17"/>
          <w:color w:val="auto"/>
        </w:rPr>
      </w:pPr>
      <w:r>
        <w:rPr>
          <w:rFonts w:ascii="Arial" w:cs="Arial" w:eastAsia="Arial" w:hAnsi="Arial"/>
          <w:sz w:val="17"/>
          <w:szCs w:val="17"/>
          <w:color w:val="auto"/>
        </w:rPr>
        <w:t>A phase 2 randomized, double blind, placebo-controlled clinical trial in the United States evaluating 187 patients with low-to-intermediate risk, localized prostate cancer undergoing active surveillance. We completed enrollment of this trial in May 2019, and we expect to report topline data in the fourth quarter of 2024.</w:t>
      </w:r>
    </w:p>
    <w:p>
      <w:pPr>
        <w:spacing w:after="0" w:line="67" w:lineRule="exact"/>
        <w:rPr>
          <w:rFonts w:ascii="Times New Roman" w:cs="Times New Roman" w:eastAsia="Times New Roman" w:hAnsi="Times New Roman"/>
          <w:sz w:val="17"/>
          <w:szCs w:val="17"/>
          <w:color w:val="auto"/>
        </w:rPr>
      </w:pPr>
    </w:p>
    <w:p>
      <w:pPr>
        <w:ind w:left="660" w:hanging="278"/>
        <w:spacing w:after="0"/>
        <w:tabs>
          <w:tab w:leader="none" w:pos="660" w:val="left"/>
        </w:tabs>
        <w:numPr>
          <w:ilvl w:val="0"/>
          <w:numId w:val="6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Non-Small Cell Lung Cancer (NSCLC)</w:t>
      </w:r>
    </w:p>
    <w:p>
      <w:pPr>
        <w:spacing w:after="0" w:line="112" w:lineRule="exact"/>
        <w:rPr>
          <w:rFonts w:ascii="Times New Roman" w:cs="Times New Roman" w:eastAsia="Times New Roman" w:hAnsi="Times New Roman"/>
          <w:sz w:val="17"/>
          <w:szCs w:val="17"/>
          <w:color w:val="auto"/>
        </w:rPr>
      </w:pPr>
    </w:p>
    <w:p>
      <w:pPr>
        <w:ind w:left="1240" w:right="40" w:hanging="289"/>
        <w:spacing w:after="0" w:line="236" w:lineRule="auto"/>
        <w:tabs>
          <w:tab w:leader="none" w:pos="1240" w:val="left"/>
        </w:tabs>
        <w:numPr>
          <w:ilvl w:val="1"/>
          <w:numId w:val="65"/>
        </w:numPr>
        <w:rPr>
          <w:rFonts w:ascii="Times New Roman" w:cs="Times New Roman" w:eastAsia="Times New Roman" w:hAnsi="Times New Roman"/>
          <w:sz w:val="17"/>
          <w:szCs w:val="17"/>
          <w:color w:val="auto"/>
        </w:rPr>
      </w:pPr>
      <w:r>
        <w:rPr>
          <w:rFonts w:ascii="Arial" w:cs="Arial" w:eastAsia="Arial" w:hAnsi="Arial"/>
          <w:sz w:val="17"/>
          <w:szCs w:val="17"/>
          <w:color w:val="auto"/>
        </w:rPr>
        <w:t>An open-label phase 2 clinical trial in the United States evaluating CAN-2409 plus valacyclovir in combination with continued PD-(L)1 checkpoint inhibitors in approximately 80 patients with stage III/IV NSCLC who have inadequate response to front line PD-(L)1 checkpoint inhibitor treatments. In April 2023, we announced that the FDA granted fast track designation for CAN-2409 plus valacyclovir in combination with pembrolizumab in order to improve survival or delay progression in patients with stage III (not candidates for curative intent) or stage IV NSCLC, who are resistant to first line PD-(L)1 inhibitor therapy and who do not have activating molecular driver mutations or have progressed on directed molecular therapy. These patients historically have had an expected median overall survival (mOS) of 10-14 months (Reckamp K et al. J Clin Onc 2022;40:2295-2306). The aim of the CAN-2409 immunotherapy antitumor strategy is to raise the tail on the survival curve by increasing the number of long survivors beyond 10-14 months.</w:t>
      </w: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7" w:right="419" w:bottom="1440" w:gutter="0" w:footer="0" w:header="0"/>
        </w:sectPr>
      </w:pPr>
    </w:p>
    <w:bookmarkStart w:id="102" w:name="page103"/>
    <w:bookmarkEnd w:id="102"/>
    <w:p>
      <w:pPr>
        <w:ind w:left="860" w:hanging="289"/>
        <w:spacing w:after="0" w:line="238" w:lineRule="auto"/>
        <w:tabs>
          <w:tab w:leader="none" w:pos="86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In 2022, we presented data from this phase 2 clinical trial where patients who received two administrations of CAN-2409 plus prodrug and completed the 12-week treatment window that demonstrated: 1) increased infiltration of CD8+ cytotoxic tumor infiltrating lymphocytes in the tumor microenvironment, systemic expansion of effector T cells and increased soluble granzyme B levels in peripheral blood, 2) favorable changes in the trajectory of tumor progression, 3) decreased tumor size of target lesions in most patients, and 4) reduced size of uninjected tumor lesions (Aggarwal C et al. Abstract #9037 ASCO June 2022 and Aggarwal C et al. Candel Virtual R&amp;D Day, December 2022). These data were further supported in an update released September 2023, based on a data cutoff of August 1, 2023:</w:t>
      </w:r>
    </w:p>
    <w:p>
      <w:pPr>
        <w:spacing w:after="0" w:line="167" w:lineRule="exact"/>
        <w:rPr>
          <w:rFonts w:ascii="Times New Roman" w:cs="Times New Roman" w:eastAsia="Times New Roman" w:hAnsi="Times New Roman"/>
          <w:sz w:val="17"/>
          <w:szCs w:val="17"/>
          <w:color w:val="auto"/>
        </w:rPr>
      </w:pPr>
    </w:p>
    <w:p>
      <w:pPr>
        <w:ind w:left="1880" w:right="420" w:hanging="380"/>
        <w:spacing w:after="0" w:line="242" w:lineRule="auto"/>
        <w:tabs>
          <w:tab w:leader="none" w:pos="1880" w:val="left"/>
        </w:tabs>
        <w:numPr>
          <w:ilvl w:val="1"/>
          <w:numId w:val="66"/>
        </w:numPr>
        <w:rPr>
          <w:rFonts w:ascii="Times New Roman" w:cs="Times New Roman" w:eastAsia="Times New Roman" w:hAnsi="Times New Roman"/>
          <w:sz w:val="18"/>
          <w:szCs w:val="18"/>
          <w:color w:val="auto"/>
        </w:rPr>
      </w:pPr>
      <w:r>
        <w:rPr>
          <w:rFonts w:ascii="Arial" w:cs="Arial" w:eastAsia="Arial" w:hAnsi="Arial"/>
          <w:sz w:val="17"/>
          <w:szCs w:val="17"/>
          <w:color w:val="auto"/>
        </w:rPr>
        <w:t>40 patients across Cohort 1 (stable disease at enrollment; n=5) and Cohort 2 (progressive disease at enrollment; n=35) were evaluable, as they received two courses of CAN-2409 plus valacyclovir and completed the 12-week treatment window.</w:t>
      </w:r>
    </w:p>
    <w:p>
      <w:pPr>
        <w:spacing w:after="0" w:line="166" w:lineRule="exact"/>
        <w:rPr>
          <w:rFonts w:ascii="Times New Roman" w:cs="Times New Roman" w:eastAsia="Times New Roman" w:hAnsi="Times New Roman"/>
          <w:sz w:val="18"/>
          <w:szCs w:val="18"/>
          <w:color w:val="auto"/>
        </w:rPr>
      </w:pPr>
    </w:p>
    <w:p>
      <w:pPr>
        <w:ind w:left="1880" w:right="260" w:hanging="380"/>
        <w:spacing w:after="0" w:line="242" w:lineRule="auto"/>
        <w:tabs>
          <w:tab w:leader="none" w:pos="1880" w:val="left"/>
        </w:tabs>
        <w:numPr>
          <w:ilvl w:val="1"/>
          <w:numId w:val="66"/>
        </w:numPr>
        <w:rPr>
          <w:rFonts w:ascii="Times New Roman" w:cs="Times New Roman" w:eastAsia="Times New Roman" w:hAnsi="Times New Roman"/>
          <w:sz w:val="18"/>
          <w:szCs w:val="18"/>
          <w:color w:val="auto"/>
        </w:rPr>
      </w:pPr>
      <w:r>
        <w:rPr>
          <w:rFonts w:ascii="Arial" w:cs="Arial" w:eastAsia="Arial" w:hAnsi="Arial"/>
          <w:sz w:val="17"/>
          <w:szCs w:val="17"/>
          <w:color w:val="auto"/>
        </w:rPr>
        <w:t>While overall survival was not yet mature, we observed an encouraging number of long survivors. We believe that CAN-2409 may induce a new state of functional immunosurveillance and durable disease control in a subset of the patients.</w:t>
      </w:r>
    </w:p>
    <w:p>
      <w:pPr>
        <w:spacing w:after="0" w:line="166" w:lineRule="exact"/>
        <w:rPr>
          <w:rFonts w:ascii="Times New Roman" w:cs="Times New Roman" w:eastAsia="Times New Roman" w:hAnsi="Times New Roman"/>
          <w:sz w:val="18"/>
          <w:szCs w:val="18"/>
          <w:color w:val="auto"/>
        </w:rPr>
      </w:pPr>
    </w:p>
    <w:p>
      <w:pPr>
        <w:ind w:left="1880" w:right="60" w:hanging="380"/>
        <w:spacing w:after="0" w:line="242" w:lineRule="auto"/>
        <w:tabs>
          <w:tab w:leader="none" w:pos="1880" w:val="left"/>
        </w:tabs>
        <w:numPr>
          <w:ilvl w:val="1"/>
          <w:numId w:val="66"/>
        </w:numPr>
        <w:rPr>
          <w:rFonts w:ascii="Times New Roman" w:cs="Times New Roman" w:eastAsia="Times New Roman" w:hAnsi="Times New Roman"/>
          <w:sz w:val="18"/>
          <w:szCs w:val="18"/>
          <w:color w:val="auto"/>
        </w:rPr>
      </w:pPr>
      <w:r>
        <w:rPr>
          <w:rFonts w:ascii="Arial" w:cs="Arial" w:eastAsia="Arial" w:hAnsi="Arial"/>
          <w:sz w:val="17"/>
          <w:szCs w:val="17"/>
          <w:color w:val="auto"/>
        </w:rPr>
        <w:t>Of the 40 evaluable patients, 15 patients had lived ≥ 12 months; of these, 10 patients had lived &gt; 18 months, of whom 70% (7/10) were alive as of last follow up. All 4 patients (100%) with overall survival &gt; 24 months were alive at last follow up, with the longest reaching 31.7 months.</w:t>
      </w:r>
    </w:p>
    <w:p>
      <w:pPr>
        <w:spacing w:after="0" w:line="166" w:lineRule="exact"/>
        <w:rPr>
          <w:rFonts w:ascii="Times New Roman" w:cs="Times New Roman" w:eastAsia="Times New Roman" w:hAnsi="Times New Roman"/>
          <w:sz w:val="18"/>
          <w:szCs w:val="18"/>
          <w:color w:val="auto"/>
        </w:rPr>
      </w:pPr>
    </w:p>
    <w:p>
      <w:pPr>
        <w:ind w:left="1880" w:hanging="380"/>
        <w:spacing w:after="0"/>
        <w:tabs>
          <w:tab w:leader="none" w:pos="1880" w:val="left"/>
        </w:tabs>
        <w:numPr>
          <w:ilvl w:val="1"/>
          <w:numId w:val="66"/>
        </w:numPr>
        <w:rPr>
          <w:rFonts w:ascii="Times New Roman" w:cs="Times New Roman" w:eastAsia="Times New Roman" w:hAnsi="Times New Roman"/>
          <w:sz w:val="18"/>
          <w:szCs w:val="18"/>
          <w:color w:val="auto"/>
        </w:rPr>
      </w:pPr>
      <w:r>
        <w:rPr>
          <w:rFonts w:ascii="Arial" w:cs="Arial" w:eastAsia="Arial" w:hAnsi="Arial"/>
          <w:sz w:val="17"/>
          <w:szCs w:val="17"/>
          <w:color w:val="auto"/>
        </w:rPr>
        <w:t>An additional 18 out of the 40 evaluable patients were also alive but had not yet reached 12 months of follow up.</w:t>
      </w:r>
    </w:p>
    <w:p>
      <w:pPr>
        <w:spacing w:after="0" w:line="198" w:lineRule="exact"/>
        <w:rPr>
          <w:rFonts w:ascii="Times New Roman" w:cs="Times New Roman" w:eastAsia="Times New Roman" w:hAnsi="Times New Roman"/>
          <w:sz w:val="18"/>
          <w:szCs w:val="18"/>
          <w:color w:val="auto"/>
        </w:rPr>
      </w:pPr>
    </w:p>
    <w:p>
      <w:pPr>
        <w:jc w:val="both"/>
        <w:ind w:left="1880" w:right="520" w:hanging="380"/>
        <w:spacing w:after="0" w:line="242" w:lineRule="auto"/>
        <w:tabs>
          <w:tab w:leader="none" w:pos="1880" w:val="left"/>
        </w:tabs>
        <w:numPr>
          <w:ilvl w:val="1"/>
          <w:numId w:val="66"/>
        </w:numPr>
        <w:rPr>
          <w:rFonts w:ascii="Times New Roman" w:cs="Times New Roman" w:eastAsia="Times New Roman" w:hAnsi="Times New Roman"/>
          <w:sz w:val="18"/>
          <w:szCs w:val="18"/>
          <w:color w:val="auto"/>
        </w:rPr>
      </w:pPr>
      <w:r>
        <w:rPr>
          <w:rFonts w:ascii="Arial" w:cs="Arial" w:eastAsia="Arial" w:hAnsi="Arial"/>
          <w:sz w:val="17"/>
          <w:szCs w:val="17"/>
          <w:color w:val="auto"/>
        </w:rPr>
        <w:t>Notably, many patients treated with CAN-2409 had long survival (≥ 12 months) despite having disease features generally associated with advanced disease and reduced likelihood to benefit from immune checkpoint inhibitor therapy, such as low or negative PD-(L)1 expression, including:</w:t>
      </w:r>
    </w:p>
    <w:p>
      <w:pPr>
        <w:spacing w:after="0" w:line="166" w:lineRule="exact"/>
        <w:rPr>
          <w:rFonts w:ascii="Times New Roman" w:cs="Times New Roman" w:eastAsia="Times New Roman" w:hAnsi="Times New Roman"/>
          <w:sz w:val="18"/>
          <w:szCs w:val="18"/>
          <w:color w:val="auto"/>
        </w:rPr>
      </w:pPr>
    </w:p>
    <w:p>
      <w:pPr>
        <w:ind w:left="2620" w:right="220" w:hanging="371"/>
        <w:spacing w:after="0" w:line="243" w:lineRule="auto"/>
        <w:tabs>
          <w:tab w:leader="none" w:pos="2620" w:val="left"/>
        </w:tabs>
        <w:numPr>
          <w:ilvl w:val="2"/>
          <w:numId w:val="66"/>
        </w:numPr>
        <w:rPr>
          <w:rFonts w:ascii="Times New Roman" w:cs="Times New Roman" w:eastAsia="Times New Roman" w:hAnsi="Times New Roman"/>
          <w:sz w:val="18"/>
          <w:szCs w:val="18"/>
          <w:color w:val="auto"/>
        </w:rPr>
      </w:pPr>
      <w:r>
        <w:rPr>
          <w:rFonts w:ascii="Arial" w:cs="Arial" w:eastAsia="Arial" w:hAnsi="Arial"/>
          <w:sz w:val="17"/>
          <w:szCs w:val="17"/>
          <w:color w:val="auto"/>
        </w:rPr>
        <w:t>Amongst patients alive ≥ 12 months with known PD-(L)1 status (14/15), 93% had negative or low PD-(L)1 score (&lt;1 or between 1-49).</w:t>
      </w:r>
    </w:p>
    <w:p>
      <w:pPr>
        <w:ind w:left="2620" w:right="100" w:hanging="371"/>
        <w:spacing w:after="0" w:line="234" w:lineRule="auto"/>
        <w:tabs>
          <w:tab w:leader="none" w:pos="2620" w:val="left"/>
        </w:tabs>
        <w:numPr>
          <w:ilvl w:val="2"/>
          <w:numId w:val="66"/>
        </w:numPr>
        <w:rPr>
          <w:rFonts w:ascii="Times New Roman" w:cs="Times New Roman" w:eastAsia="Times New Roman" w:hAnsi="Times New Roman"/>
          <w:sz w:val="18"/>
          <w:szCs w:val="18"/>
          <w:color w:val="auto"/>
        </w:rPr>
      </w:pPr>
      <w:r>
        <w:rPr>
          <w:rFonts w:ascii="Arial" w:cs="Arial" w:eastAsia="Arial" w:hAnsi="Arial"/>
          <w:sz w:val="17"/>
          <w:szCs w:val="17"/>
          <w:color w:val="auto"/>
        </w:rPr>
        <w:t>Advanced disease with stage IV in 73% (11/15), lymph node involvement in 73% (11/15), pleural effusion in 40% (6/15), bone metastases in 27% (4/15), adrenal metastases in 20% (3/15), brain metastases in 13% (2/15), liver metastases in 7% (1/15), involvement of 3 or more organs in 13% (2/15), and Eastern Cooperative Oncology Group performance status 1 in 40% (6/15).</w:t>
      </w:r>
    </w:p>
    <w:p>
      <w:pPr>
        <w:spacing w:after="0" w:line="168" w:lineRule="exact"/>
        <w:rPr>
          <w:rFonts w:ascii="Times New Roman" w:cs="Times New Roman" w:eastAsia="Times New Roman" w:hAnsi="Times New Roman"/>
          <w:sz w:val="18"/>
          <w:szCs w:val="18"/>
          <w:color w:val="auto"/>
        </w:rPr>
      </w:pPr>
    </w:p>
    <w:p>
      <w:pPr>
        <w:ind w:left="1880" w:right="40" w:hanging="380"/>
        <w:spacing w:after="0" w:line="244" w:lineRule="auto"/>
        <w:tabs>
          <w:tab w:leader="none" w:pos="1880" w:val="left"/>
        </w:tabs>
        <w:numPr>
          <w:ilvl w:val="1"/>
          <w:numId w:val="66"/>
        </w:numPr>
        <w:rPr>
          <w:rFonts w:ascii="Times New Roman" w:cs="Times New Roman" w:eastAsia="Times New Roman" w:hAnsi="Times New Roman"/>
          <w:sz w:val="18"/>
          <w:szCs w:val="18"/>
          <w:color w:val="auto"/>
        </w:rPr>
      </w:pPr>
      <w:r>
        <w:rPr>
          <w:rFonts w:ascii="Arial" w:cs="Arial" w:eastAsia="Arial" w:hAnsi="Arial"/>
          <w:sz w:val="17"/>
          <w:szCs w:val="17"/>
          <w:color w:val="auto"/>
        </w:rPr>
        <w:t>There was a significant increase observed in activated central memory, effector-memory, effector T cells, and natural killer (NK) cells after CAN-2409 treatment. These include CD8+Ki67+IFN</w:t>
      </w:r>
      <w:r>
        <w:rPr>
          <w:rFonts w:ascii="Times New Roman" w:cs="Times New Roman" w:eastAsia="Times New Roman" w:hAnsi="Times New Roman"/>
          <w:sz w:val="21"/>
          <w:szCs w:val="21"/>
          <w:color w:val="auto"/>
        </w:rPr>
        <w:t>g</w:t>
      </w:r>
      <w:r>
        <w:rPr>
          <w:rFonts w:ascii="Arial" w:cs="Arial" w:eastAsia="Arial" w:hAnsi="Arial"/>
          <w:sz w:val="17"/>
          <w:szCs w:val="17"/>
          <w:color w:val="auto"/>
        </w:rPr>
        <w:t xml:space="preserve">+ T cells, CD8+ granzyme B+Ki67+ T cells, CD56+CD16+granzyme B+ NK cells, and </w:t>
      </w:r>
      <w:r>
        <w:rPr>
          <w:rFonts w:ascii="Times New Roman" w:cs="Times New Roman" w:eastAsia="Times New Roman" w:hAnsi="Times New Roman"/>
          <w:sz w:val="21"/>
          <w:szCs w:val="21"/>
          <w:color w:val="auto"/>
        </w:rPr>
        <w:t>gd</w:t>
      </w:r>
      <w:r>
        <w:rPr>
          <w:rFonts w:ascii="Arial" w:cs="Arial" w:eastAsia="Arial" w:hAnsi="Arial"/>
          <w:sz w:val="17"/>
          <w:szCs w:val="17"/>
          <w:color w:val="auto"/>
        </w:rPr>
        <w:t>+ T cells. We also observed an increase in memory B cells after CAN-2409 treatment</w:t>
      </w:r>
    </w:p>
    <w:p>
      <w:pPr>
        <w:spacing w:after="0" w:line="164" w:lineRule="exact"/>
        <w:rPr>
          <w:rFonts w:ascii="Times New Roman" w:cs="Times New Roman" w:eastAsia="Times New Roman" w:hAnsi="Times New Roman"/>
          <w:sz w:val="18"/>
          <w:szCs w:val="18"/>
          <w:color w:val="auto"/>
        </w:rPr>
      </w:pPr>
    </w:p>
    <w:p>
      <w:pPr>
        <w:ind w:left="1880" w:right="360" w:hanging="380"/>
        <w:spacing w:after="0" w:line="253" w:lineRule="auto"/>
        <w:tabs>
          <w:tab w:leader="none" w:pos="1880" w:val="left"/>
        </w:tabs>
        <w:numPr>
          <w:ilvl w:val="1"/>
          <w:numId w:val="66"/>
        </w:numPr>
        <w:rPr>
          <w:rFonts w:ascii="Times New Roman" w:cs="Times New Roman" w:eastAsia="Times New Roman" w:hAnsi="Times New Roman"/>
          <w:sz w:val="18"/>
          <w:szCs w:val="18"/>
          <w:color w:val="auto"/>
        </w:rPr>
      </w:pPr>
      <w:r>
        <w:rPr>
          <w:rFonts w:ascii="Arial" w:cs="Arial" w:eastAsia="Arial" w:hAnsi="Arial"/>
          <w:sz w:val="17"/>
          <w:szCs w:val="17"/>
          <w:color w:val="auto"/>
        </w:rPr>
        <w:t>We observed an increase in effector/cytotoxic T cells and NK cells in peripheral blood after the second CAN-2409 administration associated with subsequent improved survival (≥ 12 months).</w:t>
      </w:r>
    </w:p>
    <w:p>
      <w:pPr>
        <w:spacing w:after="0" w:line="156" w:lineRule="exact"/>
        <w:rPr>
          <w:rFonts w:ascii="Times New Roman" w:cs="Times New Roman" w:eastAsia="Times New Roman" w:hAnsi="Times New Roman"/>
          <w:sz w:val="18"/>
          <w:szCs w:val="18"/>
          <w:color w:val="auto"/>
        </w:rPr>
      </w:pPr>
    </w:p>
    <w:p>
      <w:pPr>
        <w:ind w:left="1880" w:right="300" w:hanging="380"/>
        <w:spacing w:after="0" w:line="239" w:lineRule="auto"/>
        <w:tabs>
          <w:tab w:leader="none" w:pos="1880" w:val="left"/>
        </w:tabs>
        <w:numPr>
          <w:ilvl w:val="1"/>
          <w:numId w:val="66"/>
        </w:numPr>
        <w:rPr>
          <w:rFonts w:ascii="Times New Roman" w:cs="Times New Roman" w:eastAsia="Times New Roman" w:hAnsi="Times New Roman"/>
          <w:sz w:val="18"/>
          <w:szCs w:val="18"/>
          <w:color w:val="auto"/>
        </w:rPr>
      </w:pPr>
      <w:r>
        <w:rPr>
          <w:rFonts w:ascii="Arial" w:cs="Arial" w:eastAsia="Arial" w:hAnsi="Arial"/>
          <w:sz w:val="17"/>
          <w:szCs w:val="17"/>
          <w:color w:val="auto"/>
        </w:rPr>
        <w:t>We continued to observe a favorable safety/tolerability profile after CAN-2409 treatment in NSCLC. There were no dose limiting toxicities or grade 4 or greater treatment related adverse events. Grade 3 treatment related adverse events were reported in &lt; 10% of patients receiving at least one dose of CAN-2409 (safety population), which we believe compares favorably to current standard of care (SoC) options.</w:t>
      </w:r>
    </w:p>
    <w:p>
      <w:pPr>
        <w:spacing w:after="0" w:line="155" w:lineRule="exact"/>
        <w:rPr>
          <w:sz w:val="20"/>
          <w:szCs w:val="20"/>
          <w:color w:val="auto"/>
        </w:rPr>
      </w:pPr>
    </w:p>
    <w:p>
      <w:pPr>
        <w:ind w:left="1120" w:right="240" w:hanging="369"/>
        <w:spacing w:after="0" w:line="266" w:lineRule="auto"/>
        <w:tabs>
          <w:tab w:leader="none" w:pos="1120" w:val="left"/>
        </w:tabs>
        <w:numPr>
          <w:ilvl w:val="1"/>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Candel expects to share topline overall survival data for Cohort 2 in the second quarter of 2024, assuming data are mature at that time.</w:t>
      </w:r>
    </w:p>
    <w:p>
      <w:pPr>
        <w:spacing w:after="0" w:line="323" w:lineRule="exact"/>
        <w:rPr>
          <w:rFonts w:ascii="Times New Roman" w:cs="Times New Roman" w:eastAsia="Times New Roman" w:hAnsi="Times New Roman"/>
          <w:sz w:val="17"/>
          <w:szCs w:val="17"/>
          <w:color w:val="auto"/>
        </w:rPr>
      </w:pPr>
    </w:p>
    <w:p>
      <w:pPr>
        <w:ind w:left="280" w:hanging="278"/>
        <w:spacing w:after="0"/>
        <w:tabs>
          <w:tab w:leader="none" w:pos="28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Pancreatic Cancer</w:t>
      </w:r>
    </w:p>
    <w:p>
      <w:pPr>
        <w:spacing w:after="0" w:line="200" w:lineRule="exact"/>
        <w:rPr>
          <w:sz w:val="20"/>
          <w:szCs w:val="20"/>
          <w:color w:val="auto"/>
        </w:rPr>
      </w:pPr>
    </w:p>
    <w:p>
      <w:pPr>
        <w:spacing w:after="0" w:line="236"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477520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00" w:top="1089" w:right="399" w:bottom="1440" w:gutter="0" w:footer="0" w:header="0"/>
        </w:sectPr>
      </w:pPr>
    </w:p>
    <w:bookmarkStart w:id="103" w:name="page104"/>
    <w:bookmarkEnd w:id="103"/>
    <w:p>
      <w:pPr>
        <w:ind w:left="1500" w:right="80" w:hanging="369"/>
        <w:spacing w:after="0" w:line="238" w:lineRule="auto"/>
        <w:tabs>
          <w:tab w:leader="none" w:pos="150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color w:val="auto"/>
        </w:rPr>
        <w:t>We have initiated a randomized phase 2 clinical trial in the United States evaluating CAN-2409 in borderline resectable and locally advanced pancreatic adenocarcinoma. In December 2023, we announced that the FDA granted fast track designation for CAN-2409 plus valacyclovir for the treatment of patients with pancreatic ductal adenocarcinoma (PDAC) to improve overall survival. In March 2023, in connection with our cost management and dynamic portfolio management initiatives, we elected to pause new enrollment in this randomized phase 2 clinical trial, subject to additional funding. Despite the pause in new patient enrollment, we presented initial positive interim overall survival and immunological biomarker clinical data at the Society for Immunotherapy of Cancer (SITC) Annual Meeting in the fourth quarter of 2023.</w:t>
      </w:r>
    </w:p>
    <w:p>
      <w:pPr>
        <w:spacing w:after="0" w:line="154" w:lineRule="exact"/>
        <w:rPr>
          <w:rFonts w:ascii="Times New Roman" w:cs="Times New Roman" w:eastAsia="Times New Roman" w:hAnsi="Times New Roman"/>
          <w:sz w:val="17"/>
          <w:szCs w:val="17"/>
          <w:color w:val="auto"/>
        </w:rPr>
      </w:pPr>
    </w:p>
    <w:p>
      <w:pPr>
        <w:ind w:left="1500" w:hanging="369"/>
        <w:spacing w:after="0" w:line="243" w:lineRule="auto"/>
        <w:tabs>
          <w:tab w:leader="none" w:pos="150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color w:val="auto"/>
        </w:rPr>
        <w:t>In a previous phase 1b trial, a statistically significant increase in the number of CD8+ tumor infiltrating lymphocytes was observed. Initial positive phase 2 data revealed notable improvements in patients with borderline resectable pancreatic ductal adenorcarcinoma (PDAC) following CAN-2409 plus prodrug together with SoC chemoradiation; the following data were disclosed as of the August 21, 2023 data cutoff</w:t>
      </w:r>
    </w:p>
    <w:p>
      <w:pPr>
        <w:spacing w:after="0" w:line="166" w:lineRule="exact"/>
        <w:rPr>
          <w:rFonts w:ascii="Times New Roman" w:cs="Times New Roman" w:eastAsia="Times New Roman" w:hAnsi="Times New Roman"/>
          <w:sz w:val="17"/>
          <w:szCs w:val="17"/>
          <w:color w:val="auto"/>
        </w:rPr>
      </w:pPr>
    </w:p>
    <w:p>
      <w:pPr>
        <w:ind w:left="2260" w:hanging="380"/>
        <w:spacing w:after="0"/>
        <w:tabs>
          <w:tab w:leader="none" w:pos="2260" w:val="left"/>
        </w:tabs>
        <w:numPr>
          <w:ilvl w:val="1"/>
          <w:numId w:val="68"/>
        </w:numPr>
        <w:rPr>
          <w:rFonts w:ascii="Times New Roman" w:cs="Times New Roman" w:eastAsia="Times New Roman" w:hAnsi="Times New Roman"/>
          <w:sz w:val="18"/>
          <w:szCs w:val="18"/>
          <w:color w:val="auto"/>
        </w:rPr>
      </w:pPr>
      <w:r>
        <w:rPr>
          <w:rFonts w:ascii="Arial" w:cs="Arial" w:eastAsia="Arial" w:hAnsi="Arial"/>
          <w:sz w:val="17"/>
          <w:szCs w:val="17"/>
          <w:color w:val="auto"/>
        </w:rPr>
        <w:t>Clinical data highlights:</w:t>
      </w:r>
    </w:p>
    <w:p>
      <w:pPr>
        <w:spacing w:after="0" w:line="198" w:lineRule="exact"/>
        <w:rPr>
          <w:rFonts w:ascii="Times New Roman" w:cs="Times New Roman" w:eastAsia="Times New Roman" w:hAnsi="Times New Roman"/>
          <w:sz w:val="18"/>
          <w:szCs w:val="18"/>
          <w:color w:val="auto"/>
        </w:rPr>
      </w:pPr>
    </w:p>
    <w:p>
      <w:pPr>
        <w:ind w:left="3000" w:right="60" w:hanging="371"/>
        <w:spacing w:after="0" w:line="253" w:lineRule="auto"/>
        <w:tabs>
          <w:tab w:leader="none" w:pos="3000" w:val="left"/>
        </w:tabs>
        <w:numPr>
          <w:ilvl w:val="2"/>
          <w:numId w:val="68"/>
        </w:numPr>
        <w:rPr>
          <w:rFonts w:ascii="Times New Roman" w:cs="Times New Roman" w:eastAsia="Times New Roman" w:hAnsi="Times New Roman"/>
          <w:sz w:val="18"/>
          <w:szCs w:val="18"/>
          <w:color w:val="auto"/>
        </w:rPr>
      </w:pPr>
      <w:r>
        <w:rPr>
          <w:rFonts w:ascii="Arial" w:cs="Arial" w:eastAsia="Arial" w:hAnsi="Arial"/>
          <w:sz w:val="17"/>
          <w:szCs w:val="17"/>
          <w:color w:val="auto"/>
        </w:rPr>
        <w:t>Prolonged and sustained survival was observed after experimental treatment with CAN-2409 in patients with borderline resectable PDAC.</w:t>
      </w:r>
    </w:p>
    <w:p>
      <w:pPr>
        <w:spacing w:after="0" w:line="156" w:lineRule="exact"/>
        <w:rPr>
          <w:rFonts w:ascii="Times New Roman" w:cs="Times New Roman" w:eastAsia="Times New Roman" w:hAnsi="Times New Roman"/>
          <w:sz w:val="18"/>
          <w:szCs w:val="18"/>
          <w:color w:val="auto"/>
        </w:rPr>
      </w:pPr>
    </w:p>
    <w:p>
      <w:pPr>
        <w:ind w:left="3000" w:right="60" w:hanging="371"/>
        <w:spacing w:after="0" w:line="242" w:lineRule="auto"/>
        <w:tabs>
          <w:tab w:leader="none" w:pos="3000" w:val="left"/>
        </w:tabs>
        <w:numPr>
          <w:ilvl w:val="2"/>
          <w:numId w:val="68"/>
        </w:numPr>
        <w:rPr>
          <w:rFonts w:ascii="Times New Roman" w:cs="Times New Roman" w:eastAsia="Times New Roman" w:hAnsi="Times New Roman"/>
          <w:sz w:val="18"/>
          <w:szCs w:val="18"/>
          <w:color w:val="auto"/>
        </w:rPr>
      </w:pPr>
      <w:r>
        <w:rPr>
          <w:rFonts w:ascii="Arial" w:cs="Arial" w:eastAsia="Arial" w:hAnsi="Arial"/>
          <w:sz w:val="17"/>
          <w:szCs w:val="17"/>
          <w:color w:val="auto"/>
        </w:rPr>
        <w:t>An estimated survival rate of 71.4% at both 24 and 36 months was observed in patients who received CAN-2409 regimen together with SoC chemoradiation prior to surgery, versus only 16.7% estimated survival at 24 and 36 months with SoC chemoradiation prior to surgery</w:t>
      </w:r>
    </w:p>
    <w:p>
      <w:pPr>
        <w:spacing w:after="0" w:line="166" w:lineRule="exact"/>
        <w:rPr>
          <w:rFonts w:ascii="Times New Roman" w:cs="Times New Roman" w:eastAsia="Times New Roman" w:hAnsi="Times New Roman"/>
          <w:sz w:val="18"/>
          <w:szCs w:val="18"/>
          <w:color w:val="auto"/>
        </w:rPr>
      </w:pPr>
    </w:p>
    <w:p>
      <w:pPr>
        <w:ind w:left="3000" w:right="360" w:hanging="371"/>
        <w:spacing w:after="0" w:line="242" w:lineRule="auto"/>
        <w:tabs>
          <w:tab w:leader="none" w:pos="3000" w:val="left"/>
        </w:tabs>
        <w:numPr>
          <w:ilvl w:val="2"/>
          <w:numId w:val="68"/>
        </w:numPr>
        <w:rPr>
          <w:rFonts w:ascii="Times New Roman" w:cs="Times New Roman" w:eastAsia="Times New Roman" w:hAnsi="Times New Roman"/>
          <w:sz w:val="18"/>
          <w:szCs w:val="18"/>
          <w:color w:val="auto"/>
        </w:rPr>
      </w:pPr>
      <w:r>
        <w:rPr>
          <w:rFonts w:ascii="Arial" w:cs="Arial" w:eastAsia="Arial" w:hAnsi="Arial"/>
          <w:sz w:val="17"/>
          <w:szCs w:val="17"/>
          <w:color w:val="auto"/>
        </w:rPr>
        <w:t>Importantly, 5 out of 7 patients who received CAN-2409 were still alive at the time of data cutoff, with two patients surviving more than 45 months from enrollment. Only one patient randomized to control SoC chemotherapy remained alive at data cutoff (alive at 43 months).</w:t>
      </w:r>
    </w:p>
    <w:p>
      <w:pPr>
        <w:spacing w:after="0" w:line="166" w:lineRule="exact"/>
        <w:rPr>
          <w:rFonts w:ascii="Times New Roman" w:cs="Times New Roman" w:eastAsia="Times New Roman" w:hAnsi="Times New Roman"/>
          <w:sz w:val="18"/>
          <w:szCs w:val="18"/>
          <w:color w:val="auto"/>
        </w:rPr>
      </w:pPr>
    </w:p>
    <w:p>
      <w:pPr>
        <w:ind w:left="3000" w:right="440" w:hanging="371"/>
        <w:spacing w:after="0" w:line="253" w:lineRule="auto"/>
        <w:tabs>
          <w:tab w:leader="none" w:pos="3000" w:val="left"/>
        </w:tabs>
        <w:numPr>
          <w:ilvl w:val="2"/>
          <w:numId w:val="68"/>
        </w:numPr>
        <w:rPr>
          <w:rFonts w:ascii="Times New Roman" w:cs="Times New Roman" w:eastAsia="Times New Roman" w:hAnsi="Times New Roman"/>
          <w:sz w:val="18"/>
          <w:szCs w:val="18"/>
          <w:color w:val="auto"/>
        </w:rPr>
      </w:pPr>
      <w:r>
        <w:rPr>
          <w:rFonts w:ascii="Arial" w:cs="Arial" w:eastAsia="Arial" w:hAnsi="Arial"/>
          <w:sz w:val="17"/>
          <w:szCs w:val="17"/>
          <w:color w:val="auto"/>
        </w:rPr>
        <w:t>mOS has not been reached yet in patients who received CAN-2409 because most of the patients in the CAN-2409 group were still alive at data cut-off; mOS was 12.5 months in the control arm.</w:t>
      </w:r>
    </w:p>
    <w:p>
      <w:pPr>
        <w:spacing w:after="0" w:line="75" w:lineRule="exact"/>
        <w:rPr>
          <w:rFonts w:ascii="Times New Roman" w:cs="Times New Roman" w:eastAsia="Times New Roman" w:hAnsi="Times New Roman"/>
          <w:sz w:val="18"/>
          <w:szCs w:val="18"/>
          <w:color w:val="auto"/>
        </w:rPr>
      </w:pPr>
    </w:p>
    <w:p>
      <w:pPr>
        <w:ind w:left="3000" w:right="160" w:hanging="371"/>
        <w:spacing w:after="0" w:line="253" w:lineRule="auto"/>
        <w:tabs>
          <w:tab w:leader="none" w:pos="3000" w:val="left"/>
        </w:tabs>
        <w:numPr>
          <w:ilvl w:val="2"/>
          <w:numId w:val="68"/>
        </w:numPr>
        <w:rPr>
          <w:rFonts w:ascii="Times New Roman" w:cs="Times New Roman" w:eastAsia="Times New Roman" w:hAnsi="Times New Roman"/>
          <w:sz w:val="18"/>
          <w:szCs w:val="18"/>
          <w:color w:val="auto"/>
        </w:rPr>
      </w:pPr>
      <w:r>
        <w:rPr>
          <w:rFonts w:ascii="Arial" w:cs="Arial" w:eastAsia="Arial" w:hAnsi="Arial"/>
          <w:sz w:val="17"/>
          <w:szCs w:val="17"/>
          <w:color w:val="auto"/>
        </w:rPr>
        <w:t>Disease course was altered after salvage chemotherapy with improved CA19-9 levels and ongoing survival in CAN-2409 arm, but not in control arm.</w:t>
      </w:r>
    </w:p>
    <w:p>
      <w:pPr>
        <w:spacing w:after="0" w:line="156"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1"/>
          <w:numId w:val="68"/>
        </w:numPr>
        <w:rPr>
          <w:rFonts w:ascii="Times New Roman" w:cs="Times New Roman" w:eastAsia="Times New Roman" w:hAnsi="Times New Roman"/>
          <w:sz w:val="18"/>
          <w:szCs w:val="18"/>
          <w:color w:val="auto"/>
        </w:rPr>
      </w:pPr>
      <w:r>
        <w:rPr>
          <w:rFonts w:ascii="Arial" w:cs="Arial" w:eastAsia="Arial" w:hAnsi="Arial"/>
          <w:sz w:val="17"/>
          <w:szCs w:val="17"/>
          <w:color w:val="auto"/>
        </w:rPr>
        <w:t>Biomarker data analysis demonstrated:</w:t>
      </w:r>
    </w:p>
    <w:p>
      <w:pPr>
        <w:spacing w:after="0" w:line="198" w:lineRule="exact"/>
        <w:rPr>
          <w:rFonts w:ascii="Times New Roman" w:cs="Times New Roman" w:eastAsia="Times New Roman" w:hAnsi="Times New Roman"/>
          <w:sz w:val="18"/>
          <w:szCs w:val="18"/>
          <w:color w:val="auto"/>
        </w:rPr>
      </w:pPr>
    </w:p>
    <w:p>
      <w:pPr>
        <w:ind w:left="3000" w:hanging="371"/>
        <w:spacing w:after="0"/>
        <w:tabs>
          <w:tab w:leader="none" w:pos="3000" w:val="left"/>
        </w:tabs>
        <w:numPr>
          <w:ilvl w:val="2"/>
          <w:numId w:val="68"/>
        </w:numPr>
        <w:rPr>
          <w:rFonts w:ascii="Times New Roman" w:cs="Times New Roman" w:eastAsia="Times New Roman" w:hAnsi="Times New Roman"/>
          <w:sz w:val="18"/>
          <w:szCs w:val="18"/>
          <w:color w:val="auto"/>
        </w:rPr>
      </w:pPr>
      <w:r>
        <w:rPr>
          <w:rFonts w:ascii="Arial" w:cs="Arial" w:eastAsia="Arial" w:hAnsi="Arial"/>
          <w:sz w:val="17"/>
          <w:szCs w:val="17"/>
          <w:color w:val="auto"/>
        </w:rPr>
        <w:t>Consistent and robust activation of immune response after dosing with CAN-2409.</w:t>
      </w:r>
    </w:p>
    <w:p>
      <w:pPr>
        <w:spacing w:after="0" w:line="198" w:lineRule="exact"/>
        <w:rPr>
          <w:rFonts w:ascii="Times New Roman" w:cs="Times New Roman" w:eastAsia="Times New Roman" w:hAnsi="Times New Roman"/>
          <w:sz w:val="18"/>
          <w:szCs w:val="18"/>
          <w:color w:val="auto"/>
        </w:rPr>
      </w:pPr>
    </w:p>
    <w:p>
      <w:pPr>
        <w:jc w:val="both"/>
        <w:ind w:left="3000" w:right="120" w:hanging="371"/>
        <w:spacing w:after="0" w:line="242" w:lineRule="auto"/>
        <w:tabs>
          <w:tab w:leader="none" w:pos="3000" w:val="left"/>
        </w:tabs>
        <w:numPr>
          <w:ilvl w:val="2"/>
          <w:numId w:val="68"/>
        </w:numPr>
        <w:rPr>
          <w:rFonts w:ascii="Times New Roman" w:cs="Times New Roman" w:eastAsia="Times New Roman" w:hAnsi="Times New Roman"/>
          <w:sz w:val="18"/>
          <w:szCs w:val="18"/>
          <w:color w:val="auto"/>
        </w:rPr>
      </w:pPr>
      <w:r>
        <w:rPr>
          <w:rFonts w:ascii="Arial" w:cs="Arial" w:eastAsia="Arial" w:hAnsi="Arial"/>
          <w:sz w:val="17"/>
          <w:szCs w:val="17"/>
          <w:color w:val="auto"/>
        </w:rPr>
        <w:t>In pancreatic tissue of patients treated with CAN-2409 plus prodrug together with SoC (but not SoC alone), dense aggregates of CD8+ granzyme B positive cytotoxic T cells, dendritic cells, and B cells were observed in the tumor microenvironment.</w:t>
      </w:r>
    </w:p>
    <w:p>
      <w:pPr>
        <w:spacing w:after="0" w:line="166" w:lineRule="exact"/>
        <w:rPr>
          <w:rFonts w:ascii="Times New Roman" w:cs="Times New Roman" w:eastAsia="Times New Roman" w:hAnsi="Times New Roman"/>
          <w:sz w:val="18"/>
          <w:szCs w:val="18"/>
          <w:color w:val="auto"/>
        </w:rPr>
      </w:pPr>
    </w:p>
    <w:p>
      <w:pPr>
        <w:ind w:left="3000" w:right="80" w:hanging="371"/>
        <w:spacing w:after="0" w:line="253" w:lineRule="auto"/>
        <w:tabs>
          <w:tab w:leader="none" w:pos="3000" w:val="left"/>
        </w:tabs>
        <w:numPr>
          <w:ilvl w:val="2"/>
          <w:numId w:val="68"/>
        </w:numPr>
        <w:rPr>
          <w:rFonts w:ascii="Times New Roman" w:cs="Times New Roman" w:eastAsia="Times New Roman" w:hAnsi="Times New Roman"/>
          <w:sz w:val="18"/>
          <w:szCs w:val="18"/>
          <w:color w:val="auto"/>
        </w:rPr>
      </w:pPr>
      <w:r>
        <w:rPr>
          <w:rFonts w:ascii="Arial" w:cs="Arial" w:eastAsia="Arial" w:hAnsi="Arial"/>
          <w:sz w:val="17"/>
          <w:szCs w:val="17"/>
          <w:color w:val="auto"/>
        </w:rPr>
        <w:t>Increased levels of soluble granzymes B and H as well as pro-inflammatory cytokines, including IFN-γ, were observed in peripheral blood after CAN-2409 treatment, but not with control treatment.</w:t>
      </w:r>
    </w:p>
    <w:p>
      <w:pPr>
        <w:spacing w:after="0" w:line="156"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1"/>
          <w:numId w:val="68"/>
        </w:numPr>
        <w:rPr>
          <w:rFonts w:ascii="Times New Roman" w:cs="Times New Roman" w:eastAsia="Times New Roman" w:hAnsi="Times New Roman"/>
          <w:sz w:val="18"/>
          <w:szCs w:val="18"/>
          <w:color w:val="auto"/>
        </w:rPr>
      </w:pPr>
      <w:r>
        <w:rPr>
          <w:rFonts w:ascii="Arial" w:cs="Arial" w:eastAsia="Arial" w:hAnsi="Arial"/>
          <w:sz w:val="17"/>
          <w:szCs w:val="17"/>
          <w:color w:val="auto"/>
        </w:rPr>
        <w:t>Safety analysis:</w:t>
      </w:r>
    </w:p>
    <w:p>
      <w:pPr>
        <w:spacing w:after="0" w:line="198" w:lineRule="exact"/>
        <w:rPr>
          <w:rFonts w:ascii="Times New Roman" w:cs="Times New Roman" w:eastAsia="Times New Roman" w:hAnsi="Times New Roman"/>
          <w:sz w:val="18"/>
          <w:szCs w:val="18"/>
          <w:color w:val="auto"/>
        </w:rPr>
      </w:pPr>
    </w:p>
    <w:p>
      <w:pPr>
        <w:ind w:left="3000" w:hanging="371"/>
        <w:spacing w:after="0"/>
        <w:tabs>
          <w:tab w:leader="none" w:pos="3000" w:val="left"/>
        </w:tabs>
        <w:numPr>
          <w:ilvl w:val="2"/>
          <w:numId w:val="68"/>
        </w:numPr>
        <w:rPr>
          <w:rFonts w:ascii="Times New Roman" w:cs="Times New Roman" w:eastAsia="Times New Roman" w:hAnsi="Times New Roman"/>
          <w:sz w:val="18"/>
          <w:szCs w:val="18"/>
          <w:color w:val="auto"/>
        </w:rPr>
      </w:pPr>
      <w:r>
        <w:rPr>
          <w:rFonts w:ascii="Arial" w:cs="Arial" w:eastAsia="Arial" w:hAnsi="Arial"/>
          <w:sz w:val="17"/>
          <w:szCs w:val="17"/>
          <w:color w:val="auto"/>
        </w:rPr>
        <w:t>CAN-2409 was associated with a favorable tolerability profile.</w:t>
      </w:r>
    </w:p>
    <w:p>
      <w:pPr>
        <w:spacing w:after="0" w:line="198" w:lineRule="exact"/>
        <w:rPr>
          <w:rFonts w:ascii="Times New Roman" w:cs="Times New Roman" w:eastAsia="Times New Roman" w:hAnsi="Times New Roman"/>
          <w:sz w:val="18"/>
          <w:szCs w:val="18"/>
          <w:color w:val="auto"/>
        </w:rPr>
      </w:pPr>
    </w:p>
    <w:p>
      <w:pPr>
        <w:ind w:left="3000" w:right="120" w:hanging="371"/>
        <w:spacing w:after="0" w:line="253" w:lineRule="auto"/>
        <w:tabs>
          <w:tab w:leader="none" w:pos="3000" w:val="left"/>
        </w:tabs>
        <w:numPr>
          <w:ilvl w:val="2"/>
          <w:numId w:val="68"/>
        </w:numPr>
        <w:rPr>
          <w:rFonts w:ascii="Times New Roman" w:cs="Times New Roman" w:eastAsia="Times New Roman" w:hAnsi="Times New Roman"/>
          <w:sz w:val="18"/>
          <w:szCs w:val="18"/>
          <w:color w:val="auto"/>
        </w:rPr>
      </w:pPr>
      <w:r>
        <w:rPr>
          <w:rFonts w:ascii="Arial" w:cs="Arial" w:eastAsia="Arial" w:hAnsi="Arial"/>
          <w:sz w:val="17"/>
          <w:szCs w:val="17"/>
          <w:color w:val="auto"/>
        </w:rPr>
        <w:t>Addition of CAN-2409 regimen to SoC was generally well tolerated, with no reported dose-limiting toxicities, including no cases of pancreatitis.</w:t>
      </w:r>
    </w:p>
    <w:p>
      <w:pPr>
        <w:spacing w:after="0" w:line="200" w:lineRule="exact"/>
        <w:rPr>
          <w:sz w:val="20"/>
          <w:szCs w:val="20"/>
          <w:color w:val="auto"/>
        </w:rPr>
      </w:pPr>
    </w:p>
    <w:p>
      <w:pPr>
        <w:spacing w:after="0" w:line="226"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Our lead HSV-based product candidate, CAN-3110, is currently in an ongoing investigator-sponsored phase 1 clinical trial in our initial target indication of recurrent high-grade glioma (HGG). In February 2024, we announced that the FDA granted fast track designation for CAN-3110 for the treatment of patients with recurrent HGG to improve overall survival.</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4" w:name="page105"/>
    <w:bookmarkEnd w:id="104"/>
    <w:p>
      <w:pPr>
        <w:ind w:firstLine="47"/>
        <w:spacing w:after="0" w:line="236" w:lineRule="auto"/>
        <w:rPr>
          <w:sz w:val="20"/>
          <w:szCs w:val="20"/>
          <w:color w:val="auto"/>
        </w:rPr>
      </w:pPr>
      <w:r>
        <w:rPr>
          <w:rFonts w:ascii="Arial" w:cs="Arial" w:eastAsia="Arial" w:hAnsi="Arial"/>
          <w:sz w:val="17"/>
          <w:szCs w:val="17"/>
          <w:color w:val="auto"/>
        </w:rPr>
        <w:t>These patients have failed SoC treatment and have a poor prognosis (expected overall survival &lt; 6-9 months). Initial overall survival data from this clinical trial was presented in an oral presentation at the ASCO Annual Meeting in June 2021, and additional biomarker data was reported in an oral presentation at the Society for Neuro-Oncology Annual Meeting in November 2021. During our Research and Development Day in December 2022, we presented updated data demonstrating that CAN-3110 was well tolerated with no observed dose-limiting toxicity; achieved 11.6 months mOS with a single dose; and showed evidence of persistent herpes simplex virus 1 (HSV-1) antigen and HSV-1 replication consistent with mechanism of action​ as well as robust evidence of immune activation​. In May 2023, we presented clinical and biomarker data from this ongoing clinical trial in an oral presentation at the American Society of Gene &amp; Cell Therapy (ASGCT) Annual Meeting where we reported mOS in arm A (n=41) ongoing at 11.8 months and mOS in arm B (n=9) ongoing at 12.0 months as of the April 20, 2023 data cutoff. Safety and tolerability data reported no dose-limiting toxicities in both arm A and arm B.</w:t>
      </w:r>
    </w:p>
    <w:p>
      <w:pPr>
        <w:spacing w:after="0" w:line="106"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 xml:space="preserve">In October 2023, we jointly published an article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that reported extended survival associated with immune activation in patients with recurrent HGG treated with CAN-3110. Notably, new data reported an increased survival in 66% of patients with positivity for anti-HSV1 antibodies (mOS of</w:t>
      </w:r>
    </w:p>
    <w:p>
      <w:pPr>
        <w:spacing w:after="0" w:line="1"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14.2 months). Immune status was positively associated with survival both in patients with pre-existing HSV1 antibodies (pre-treatment) and in 33% of patients that, while negative at baseline, developed anti-HSV1 antibodies after a single injection of CAN-3110. Clinical responses were observed in both injected and uninjected lesions in patients with multifocal disease. Significant tumor responses in both arm A and arm B were observed, with continued reduction in tumor volume in a patient in arm B approximately one year after CAN-3110 treatment. Clinical response for this patient, in follow-up as of data cutoff, continued without additional treatment. Analysis of post-treatment samples demonstrated evidence of persistent HSV antigen expression and replication in both injected and uninjected tumor tissue associated with CD8+ T cell infiltration. The extent of immune activation, measured by gene profiling and quantification of immune cells in post-treatment specimens, was associated with the presence of anti-HSV1 antibodies and survival. Survival was also associated with the diversity of the T cell repertoire in circulating T cells, suggesting that patients treated with CAN-3110 were able to mount a diverse immune response against the virus and tumor antigens released during the oncolytic process had improved survival.</w:t>
      </w:r>
    </w:p>
    <w:p>
      <w:pPr>
        <w:spacing w:after="0" w:line="76" w:lineRule="exact"/>
        <w:rPr>
          <w:sz w:val="20"/>
          <w:szCs w:val="20"/>
          <w:color w:val="auto"/>
        </w:rPr>
      </w:pPr>
    </w:p>
    <w:p>
      <w:pPr>
        <w:jc w:val="both"/>
        <w:ind w:right="360"/>
        <w:spacing w:after="0" w:line="249" w:lineRule="auto"/>
        <w:rPr>
          <w:sz w:val="20"/>
          <w:szCs w:val="20"/>
          <w:color w:val="auto"/>
        </w:rPr>
      </w:pPr>
      <w:r>
        <w:rPr>
          <w:rFonts w:ascii="Arial" w:cs="Arial" w:eastAsia="Arial" w:hAnsi="Arial"/>
          <w:sz w:val="17"/>
          <w:szCs w:val="17"/>
          <w:color w:val="auto"/>
        </w:rPr>
        <w:t>We are conducting an extension of the clinical trial known as arm C, in which patients with recurrent HGG will receive a repeat dosing regimen of CAN-3110 (up to six injections over four months). Clinical data from arm C will help evaluate whether multiple injections can increase mOS. This clinical trial extension is supported by the Break Through Cancer foundation.</w:t>
      </w:r>
    </w:p>
    <w:p>
      <w:pPr>
        <w:spacing w:after="0" w:line="188"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are also designing other novel viral immunotherapy candidates using our proprietary enLIGHTEN™ Discovery Platform, a systematic, iterative HSV-based discovery platform leveraging human biology and advanced analytics to create new viral immunotherapy candidates for solid tumors. In October 2022, we entered into a collaboration with the University of Pennsylvania (UPenn) Center for Cellular Immunotherapies to study the impact of novel viral immunotherapy candidates based on our enLIGHTEN™ Discovery Platform to strengthen the activity of UPenn’s investigational CAR-T cell therapies in difficult to treat solid tumors.</w:t>
      </w:r>
    </w:p>
    <w:p>
      <w:pPr>
        <w:spacing w:after="0" w:line="72"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In November 2023, during the SITC 2023 Annual Meeting, we presented two posters describing the key elements of the platform and the development of the first experimental agent from the enLIGHTEN Discovery Platform. The new agent, Alpha-201 Macro1, is an investigational viral immunotherapy designed to interfere with the CD47/SIRPα pathway and activate innate immune surveillance. Results demonstrated monotherapy activity following local administration in a preclinical model of lung and breast cancer. Additional preclinical data presented at SITC confirmed the capability of the enLIGHTEN™ Advanced Analytics suite to predict optimal gene payload combinations to arm viral vectors, that enable the design of potential combination therapeutics to overcome tumor resistance especially in cancers resistant to ICI treatment.</w:t>
      </w:r>
    </w:p>
    <w:p>
      <w:pPr>
        <w:spacing w:after="0" w:line="7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In March 2024, we announced the acceptance of an abstract at the American Association for Cancer Research's 2024 Annual Meeting related to the second candidate from our enLIGHTEN™ Discovery Platform, a first-in-class multimodal immunotherapy for induction of tertiary lymphoid structures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as a novel therapeutic strategy for solid tumors.</w:t>
      </w:r>
    </w:p>
    <w:p>
      <w:pPr>
        <w:spacing w:after="0" w:line="93" w:lineRule="exact"/>
        <w:rPr>
          <w:sz w:val="20"/>
          <w:szCs w:val="20"/>
          <w:color w:val="auto"/>
        </w:rPr>
      </w:pPr>
    </w:p>
    <w:p>
      <w:pPr>
        <w:ind w:right="560"/>
        <w:spacing w:after="0" w:line="267" w:lineRule="auto"/>
        <w:rPr>
          <w:sz w:val="20"/>
          <w:szCs w:val="20"/>
          <w:color w:val="auto"/>
        </w:rPr>
      </w:pPr>
      <w:r>
        <w:rPr>
          <w:rFonts w:ascii="Arial" w:cs="Arial" w:eastAsia="Arial" w:hAnsi="Arial"/>
          <w:sz w:val="17"/>
          <w:szCs w:val="17"/>
          <w:color w:val="auto"/>
        </w:rPr>
        <w:t>We currently own development and commercialization rights for our programs in major markets, including the United States, Europe and Asia, allowing us to control development and seek approval in those areas as we prepare our commercialization efforts.</w:t>
      </w:r>
    </w:p>
    <w:p>
      <w:pPr>
        <w:spacing w:after="0" w:line="51"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We were incorporated in Delaware in June 2003 as Advantagene, Inc. (Advantagene). In December 2019, Advantagene licensed substantially all the assets of Periphagen, a company focused on engineering HSV as a gene therapy vector, and in September 2020, licensed CAN-3110 from Mass General Brigham (MGB). In December 2020, we formally changed our name from Advantagene to Candel Therapeutics, Inc. We completed our initial public offering in July 2021.</w:t>
      </w:r>
    </w:p>
    <w:p>
      <w:pPr>
        <w:spacing w:after="0" w:line="69"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Our cash and cash equivalents were $35.4 million as of December 31, 2023. In accordance with the Financial Accounting Standards Board (FASB) Accounting Standards Codification, 205-40, Presentation of Financial Statements -</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38" w:right="299" w:bottom="1440" w:gutter="0" w:footer="0" w:header="0"/>
        </w:sectPr>
      </w:pPr>
    </w:p>
    <w:bookmarkStart w:id="105" w:name="page106"/>
    <w:bookmarkEnd w:id="105"/>
    <w:p>
      <w:pPr>
        <w:ind w:right="100"/>
        <w:spacing w:after="0" w:line="236" w:lineRule="auto"/>
        <w:rPr>
          <w:sz w:val="20"/>
          <w:szCs w:val="20"/>
          <w:color w:val="auto"/>
        </w:rPr>
      </w:pPr>
      <w:r>
        <w:rPr>
          <w:rFonts w:ascii="Arial" w:cs="Arial" w:eastAsia="Arial" w:hAnsi="Arial"/>
          <w:sz w:val="17"/>
          <w:szCs w:val="17"/>
          <w:color w:val="auto"/>
        </w:rPr>
        <w:t>Going Concern, we are required to assess our ability to continue as a going concern for the one-year look forward period following the date that the consolidated financial statements are issued. Based on our current operating plan and existing cash and cash equivalents, we determined that substantial doubt exists regarding our ability to continue as a going concern for the one-year period following the date these consolidated financial statements are issued. To sustain its future operations beyond such one-year period, we will require additional funding. We expect to finance our cash needs through a combination of public or private equity or debt financings, government grants, and other sources, which may include collaborations, strategic alliances and licensing arrangements with third parties. There is no assurance that we will be successful in obtaining sufficient funding on acceptable terms, if at all, and could be forced to delay, reduce, or eliminate some or all of its research, clinical trials, product development or future commercialization efforts, which could materially adversely affect our business prospects or our ability to continue as a going concern.</w:t>
      </w:r>
    </w:p>
    <w:p>
      <w:pPr>
        <w:spacing w:after="0" w:line="79" w:lineRule="exact"/>
        <w:rPr>
          <w:sz w:val="20"/>
          <w:szCs w:val="20"/>
          <w:color w:val="auto"/>
        </w:rPr>
      </w:pPr>
    </w:p>
    <w:p>
      <w:pPr>
        <w:ind w:right="580"/>
        <w:spacing w:after="0" w:line="249" w:lineRule="auto"/>
        <w:rPr>
          <w:sz w:val="20"/>
          <w:szCs w:val="20"/>
          <w:color w:val="auto"/>
        </w:rPr>
      </w:pPr>
      <w:r>
        <w:rPr>
          <w:rFonts w:ascii="Arial" w:cs="Arial" w:eastAsia="Arial" w:hAnsi="Arial"/>
          <w:sz w:val="17"/>
          <w:szCs w:val="17"/>
          <w:color w:val="auto"/>
        </w:rPr>
        <w:t>The accompanying consolidated financial statements do not include any adjustments that might result from the outcome of this uncertainty. Accordingly, the consolidated financial statements have been prepared on a basis that assumes we will continue as a going concern and that contemplates the realization of assets and satisfaction of liabilities and commitments in the ordinary course of business.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Collaborations</w:t>
      </w:r>
    </w:p>
    <w:p>
      <w:pPr>
        <w:spacing w:after="0" w:line="129"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color w:val="auto"/>
        </w:rPr>
        <w:t>We are a party to a number of license and collaboration agreements under which we license patents, patent applications and other intellectual property to and from third parties.</w:t>
      </w:r>
    </w:p>
    <w:p>
      <w:pPr>
        <w:spacing w:after="0" w:line="9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b w:val="1"/>
          <w:bCs w:val="1"/>
          <w:i w:val="1"/>
          <w:iCs w:val="1"/>
          <w:color w:val="auto"/>
        </w:rPr>
        <w:t xml:space="preserve">Periphagen. </w:t>
      </w:r>
      <w:r>
        <w:rPr>
          <w:rFonts w:ascii="Arial" w:cs="Arial" w:eastAsia="Arial" w:hAnsi="Arial"/>
          <w:sz w:val="17"/>
          <w:szCs w:val="17"/>
          <w:color w:val="auto"/>
        </w:rPr>
        <w:t>On December 9, 2019, we entered into a series of agreements, including an exclusive license agreement, a novation agreement,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purchase agreement and an intellectual property assignment agreement, collectively the Periphagen Agreements, with Periphagen, whereby we acquired certain assets and licensed certain rights (including specified patent rights and know-how, or the Licensed IP Rights) of Periphagen, primarily consisting of exclusive rights to their technology platform and a portfolio of pre-clinical, development stage virus vectors. The primary classes of assets are HSV-derived assets expressing neurotrophin-3 (or NT-3 Assets) and other HSV-derived assets (Gene Transfer Neuro-Assets). Under the license agreement, Periphagen granted us a worldwide exclusive license with the right to grant sublicenses through multiple tiers under the Licensed IP Rights to conduct research and to develop, make, have made, use, have used, offer for sale, have sold, export and import products incorporating the Licensed IP Rights in all fields of use except the treatment, diagnosis, and prevention of nononcologic skin diseases and conditions (including use as an aesthetic).</w:t>
      </w:r>
    </w:p>
    <w:p>
      <w:pPr>
        <w:spacing w:after="0" w:line="12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On June 7, 2023, we entered into an amendment to the exclusive license agreement. Under the amendment, our rights to the NT-3 Assets and Gene Transfer Neuro-Assets reverted to Periphagen, and we no longer have any obligations (including without limitation diligence obligations and payment obligations) with respect to the NT-3 Assets or Gene Transfer Neuro-Assets. With respect to the remaining Licensed IP Rights, we retained a worldwide exclusive license with the right to grant sublicenses through multiple tiers under the Licensed IP Rights to conduct research and to develop, make, have made, use, have used, offer for sale, have sold, export and import products incorporating the Licensed IP Rights in field of the treatment, diagnosis, and prevention of oncologic diseases and conditions.</w:t>
      </w:r>
    </w:p>
    <w:p>
      <w:pPr>
        <w:spacing w:after="0" w:line="101" w:lineRule="exact"/>
        <w:rPr>
          <w:sz w:val="20"/>
          <w:szCs w:val="20"/>
          <w:color w:val="auto"/>
        </w:rPr>
      </w:pPr>
    </w:p>
    <w:p>
      <w:pPr>
        <w:spacing w:after="0" w:line="241" w:lineRule="auto"/>
        <w:rPr>
          <w:sz w:val="20"/>
          <w:szCs w:val="20"/>
          <w:color w:val="auto"/>
        </w:rPr>
      </w:pPr>
      <w:r>
        <w:rPr>
          <w:rFonts w:ascii="Arial" w:cs="Arial" w:eastAsia="Arial" w:hAnsi="Arial"/>
          <w:sz w:val="17"/>
          <w:szCs w:val="17"/>
          <w:b w:val="1"/>
          <w:bCs w:val="1"/>
          <w:i w:val="1"/>
          <w:iCs w:val="1"/>
          <w:color w:val="auto"/>
        </w:rPr>
        <w:t xml:space="preserve">Mass General Brigham (MGB). </w:t>
      </w:r>
      <w:r>
        <w:rPr>
          <w:rFonts w:ascii="Arial" w:cs="Arial" w:eastAsia="Arial" w:hAnsi="Arial"/>
          <w:sz w:val="17"/>
          <w:szCs w:val="17"/>
          <w:color w:val="auto"/>
        </w:rPr>
        <w:t>On January 20, 2018, we entered into an exclusive option agreement (the Option Agreement) with MGB. Pursuant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Option Agreement, we obtained the exclusive right from MGB to negotiate a world-wide, royalty-bearing license to develop and commercialize products covered by certain MGB patents, including those patents covering CAN-3110, in the field of gene therapy and oncolytic vector therapy for the treatment or prevention of cancerous tumors in humans or animals, as such field is further detailed in the Option Agreement (the Licensed Field). In consideration for MGB’s granting of the exclusive option, we paid MGB a non-refundable fee of $40,000.</w:t>
      </w:r>
    </w:p>
    <w:p>
      <w:pPr>
        <w:spacing w:after="0" w:line="11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Under the Option Agreement, we were required to use reasonable efforts to enter into a clinical trial agreement with MGB. We entered into such clinical trial agreement with MGB (MGB Clinical Trial Agreement) on June 19, 2018. Under the MGB Clinical Trial Agreement, we have committed to remitting financial support for the performance of a specified phase 1 clinical trial by MGB pursuant to a protocol summary contained in the Option Agreement.</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On September 15, 2020, we exercised our option and entered into an exclusive patent license agreement with MGB (the MGB License Agreement). Under the MGB License Agreement, MGB granted to us (a) an exclusive, royalty-bearing license under certain of MGB’s patents to make, have made, use, have used, sell and have sold certain products covered by such licensed patents (Licensed Products) and otherwise practice processes covered by such licensed patents (Licensed Processes); and (b) a non-exclusive, royalty-bearing license under certain other of MGB’s patents to make, have made, use, have used, sell and have sold Licensed Products, but not to sell or have sold Licensed Processes. The foregoing rights are sublicensable, subject to sublicensing terms set forth in the MGB License Agreement. In connection with executing the MGB License Agreement, we paid a license issue fee and also agreed to reimburse MGB for all reasonable fees and expenses MGB had incurred and will incur for the preparation, filing, prosecution and maintenance of the licensed patent rights.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6" w:name="page107"/>
    <w:bookmarkEnd w:id="106"/>
    <w:p>
      <w:pPr>
        <w:spacing w:after="0" w:line="237" w:lineRule="auto"/>
        <w:rPr>
          <w:sz w:val="20"/>
          <w:szCs w:val="20"/>
          <w:color w:val="auto"/>
        </w:rPr>
      </w:pPr>
      <w:r>
        <w:rPr>
          <w:rFonts w:ascii="Arial" w:cs="Arial" w:eastAsia="Arial" w:hAnsi="Arial"/>
          <w:sz w:val="17"/>
          <w:szCs w:val="17"/>
          <w:b w:val="1"/>
          <w:bCs w:val="1"/>
          <w:i w:val="1"/>
          <w:iCs w:val="1"/>
          <w:color w:val="auto"/>
        </w:rPr>
        <w:t xml:space="preserve">Ventagen. </w:t>
      </w:r>
      <w:r>
        <w:rPr>
          <w:rFonts w:ascii="Arial" w:cs="Arial" w:eastAsia="Arial" w:hAnsi="Arial"/>
          <w:sz w:val="17"/>
          <w:szCs w:val="17"/>
          <w:color w:val="auto"/>
        </w:rPr>
        <w:t>On March 1, 2014, we entered into an exclusive license agreement ( the Ventagen Agreement) with Ventagen, a related party.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Ventagen Agreement provides Ventagen an exclusive license, with rights to grant sublicense (subject to certain terms and conditions) under any worldwide patent rights and know-how owned or controlled by us during the term of the Ventagen Agreement which cover applicable technology utilizing the delivery method of the herpes derived TK protein to tumors or other tissues via a viral vector (as further specified therein), to research, use, have used, import, have imported, export, have exported, offer for sale, have sold, sell, distribute and market certain products for the prevention or treatment of cancer in humans and any use in animals (or the Field of Use), or the Licensed Products, for commercial sale and distribution within Mexico, Belize, Guatemala, Honduras, El Salvador, Costa Rica, Nicaragua, Panama, Colombia and Bolivia. Ventagen is 49.5% owned by certain of our stockholders.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Restructuring</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In November 2023, our Board of Directors authorized a restructuring plan to focus on continuation and expansion of development of CAN-3110 as</w:t>
      </w:r>
    </w:p>
    <w:p>
      <w:pPr>
        <w:spacing w:after="0" w:line="20" w:lineRule="exact"/>
        <w:rPr>
          <w:sz w:val="20"/>
          <w:szCs w:val="20"/>
          <w:color w:val="auto"/>
        </w:rPr>
      </w:pPr>
    </w:p>
    <w:p>
      <w:pPr>
        <w:ind w:right="100"/>
        <w:spacing w:after="0" w:line="226" w:lineRule="auto"/>
        <w:rPr>
          <w:sz w:val="20"/>
          <w:szCs w:val="20"/>
          <w:color w:val="auto"/>
        </w:rPr>
      </w:pPr>
      <w:r>
        <w:rPr>
          <w:rFonts w:ascii="Arial" w:cs="Arial" w:eastAsia="Arial" w:hAnsi="Arial"/>
          <w:sz w:val="17"/>
          <w:szCs w:val="17"/>
          <w:color w:val="auto"/>
        </w:rPr>
        <w:t>well as the enLIGHTEN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Discovery Platform, which resulted in a reduction of our workforce by approximately 45%. Each affected employee’s separation from the Company occurred in December 2023. As a result, the Company incurred costs of $0.7 million related to severance benefits for the affected employees, including severance payments and limited reimbursement of medical insurance premiums. The restructuring plan is expected to be completed in the first quarter of 2024 once the remaining unpaid severance payments of $46,000 are made.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4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sales of products in the foreseeable future. We recognized as research and development service revenue $1.0 million that we received in 2014 and 2015 from Ventagen for an exclusive license to develop products for commercial sale and development within certain countries. We recognized revenue over the period during which we provided services under the license agreement, and the revenue was fully recognized as of December 31, 2022.</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since inception have consisted solely of research and development costs and general and administrative costs.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consist primarily of costs incurred for our product development activities for our two primary drug candidates,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CAN-2409 and CAN-3110. We expense research and development costs as incurred. These include the following:</w:t>
      </w:r>
    </w:p>
    <w:p>
      <w:pPr>
        <w:spacing w:after="0" w:line="113" w:lineRule="exact"/>
        <w:rPr>
          <w:sz w:val="20"/>
          <w:szCs w:val="20"/>
          <w:color w:val="auto"/>
        </w:rPr>
      </w:pPr>
    </w:p>
    <w:p>
      <w:pPr>
        <w:ind w:left="760" w:right="740" w:hanging="378"/>
        <w:spacing w:after="0" w:line="266" w:lineRule="auto"/>
        <w:tabs>
          <w:tab w:leader="none" w:pos="76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employee-related costs, including salaries, benefits and stock-based compensation expense, for personnel engaged in research, development and clinical management functions;</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expenses incurred under agreements with third party clinical sites for the treatment and follow-up for patients enrolled in our clinical trials;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acquiring and manufacturing preclinical study materials, including manufacturing registration and validation batches;</w:t>
      </w:r>
    </w:p>
    <w:p>
      <w:pPr>
        <w:spacing w:after="0" w:line="14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payments made under third-party licensing agreements;</w:t>
      </w:r>
    </w:p>
    <w:p>
      <w:pPr>
        <w:spacing w:after="0" w:line="154" w:lineRule="exact"/>
        <w:rPr>
          <w:rFonts w:ascii="Times New Roman" w:cs="Times New Roman" w:eastAsia="Times New Roman" w:hAnsi="Times New Roman"/>
          <w:sz w:val="17"/>
          <w:szCs w:val="17"/>
          <w:color w:val="auto"/>
        </w:rPr>
      </w:pPr>
    </w:p>
    <w:p>
      <w:pPr>
        <w:ind w:left="760" w:right="560" w:hanging="378"/>
        <w:spacing w:after="0" w:line="266" w:lineRule="auto"/>
        <w:tabs>
          <w:tab w:leader="none" w:pos="76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costs incurred to develop the manufacturing process and capabilities for future clinical trials and commercialization. Our clinical trial material for use in our existing clinical trials was manufactured in prior years;</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costs related to compliance with quality and regulatory requirements;</w:t>
      </w:r>
    </w:p>
    <w:p>
      <w:pPr>
        <w:spacing w:after="0" w:line="14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costs of outside consultants, primarily related to regulatory; and</w:t>
      </w:r>
    </w:p>
    <w:p>
      <w:pPr>
        <w:spacing w:after="0" w:line="154" w:lineRule="exact"/>
        <w:rPr>
          <w:rFonts w:ascii="Times New Roman" w:cs="Times New Roman" w:eastAsia="Times New Roman" w:hAnsi="Times New Roman"/>
          <w:sz w:val="17"/>
          <w:szCs w:val="17"/>
          <w:color w:val="auto"/>
        </w:rPr>
      </w:pPr>
    </w:p>
    <w:p>
      <w:pPr>
        <w:ind w:left="760" w:right="220" w:hanging="378"/>
        <w:spacing w:after="0" w:line="266" w:lineRule="auto"/>
        <w:tabs>
          <w:tab w:leader="none" w:pos="76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facility-related expenses, which include direct depreciation costs and expenses for rent and maintenance of facilities and insurance, and other operating costs if specifically identifiable to research and development activities.</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107" w:name="page108"/>
    <w:bookmarkEnd w:id="107"/>
    <w:p>
      <w:pPr>
        <w:ind w:right="120"/>
        <w:spacing w:after="0" w:line="241" w:lineRule="auto"/>
        <w:rPr>
          <w:sz w:val="20"/>
          <w:szCs w:val="20"/>
          <w:color w:val="auto"/>
        </w:rPr>
      </w:pPr>
      <w:r>
        <w:rPr>
          <w:rFonts w:ascii="Arial" w:cs="Arial" w:eastAsia="Arial" w:hAnsi="Arial"/>
          <w:sz w:val="17"/>
          <w:szCs w:val="17"/>
          <w:color w:val="auto"/>
        </w:rPr>
        <w:t>We expect that our research and development expenses will continue to increase substantially for the foreseeable future and will comprise a larger percentage of our total expenses as we complete our clinical trials and commence additional clinical trials, continue to discover and develop additional product candidates and develop and scale our manufacturing capabilities. Product candidates in later stages of clinical development generally have higher development costs than those in earlier stages of clinical development, primarily due to increased scale and duration of later stage clinical trials.</w:t>
      </w:r>
    </w:p>
    <w:p>
      <w:pPr>
        <w:spacing w:after="0" w:line="99"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We cannot determine with certainty the duration and costs of future clinical trials of CAN-2409 and CAN-3110 or any other product candidate we may develop or if, when, or to what extent we will generate revenue from the commercialization and sale of any product candidate for which we obtain marketing approval. At this time, we cannot accurately estimate or know the nature, timing and costs of the efforts that will be necessary to complete the clinical development of, or obtain regulatory approval for, any of our current or future product candidates. The duration, costs, and timing of clinical trials and development of CAN-2409 and CAN-3110 and any other product candidate we may develop will depend on a variety of factors, including:</w:t>
      </w:r>
    </w:p>
    <w:p>
      <w:pPr>
        <w:spacing w:after="0" w:line="115" w:lineRule="exact"/>
        <w:rPr>
          <w:sz w:val="20"/>
          <w:szCs w:val="20"/>
          <w:color w:val="auto"/>
        </w:rPr>
      </w:pPr>
    </w:p>
    <w:p>
      <w:pPr>
        <w:ind w:left="760" w:hanging="378"/>
        <w:spacing w:after="0"/>
        <w:tabs>
          <w:tab w:leader="none" w:pos="7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rate of progress, expense and results of clinical trials;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our successful enrollment in and completion of clinical trials, including our ability to generate positive data from any such trials;</w:t>
      </w:r>
    </w:p>
    <w:p>
      <w:pPr>
        <w:spacing w:after="0" w:line="14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add and retain key research and development personnel;</w:t>
      </w:r>
    </w:p>
    <w:p>
      <w:pPr>
        <w:spacing w:after="0" w:line="154" w:lineRule="exact"/>
        <w:rPr>
          <w:rFonts w:ascii="Times New Roman" w:cs="Times New Roman" w:eastAsia="Times New Roman" w:hAnsi="Times New Roman"/>
          <w:sz w:val="17"/>
          <w:szCs w:val="17"/>
          <w:color w:val="auto"/>
        </w:rPr>
      </w:pPr>
    </w:p>
    <w:p>
      <w:pPr>
        <w:ind w:left="760" w:right="980" w:hanging="378"/>
        <w:spacing w:after="0" w:line="266" w:lineRule="auto"/>
        <w:tabs>
          <w:tab w:leader="none" w:pos="7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the actual probability of success for our product candidates, including their safety and efficacy, early clinical data, competition, manufacturing capability, and commercial viability;</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and changing government regulation and regulatory guidance;</w:t>
      </w:r>
    </w:p>
    <w:p>
      <w:pPr>
        <w:spacing w:after="0" w:line="14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receipt of any marketing approvals;</w:t>
      </w:r>
    </w:p>
    <w:p>
      <w:pPr>
        <w:spacing w:after="0" w:line="154" w:lineRule="exact"/>
        <w:rPr>
          <w:rFonts w:ascii="Times New Roman" w:cs="Times New Roman" w:eastAsia="Times New Roman" w:hAnsi="Times New Roman"/>
          <w:sz w:val="17"/>
          <w:szCs w:val="17"/>
          <w:color w:val="auto"/>
        </w:rPr>
      </w:pPr>
    </w:p>
    <w:p>
      <w:pPr>
        <w:ind w:left="760" w:right="20" w:hanging="378"/>
        <w:spacing w:after="0" w:line="266" w:lineRule="auto"/>
        <w:tabs>
          <w:tab w:leader="none" w:pos="7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of the development efforts of parties with whom we may enter into collaboration agreements, and the terms and timing of any additional collaboration agreements, license or other arrangement, including the timing of any payments thereunder;</w:t>
      </w:r>
    </w:p>
    <w:p>
      <w:pPr>
        <w:spacing w:after="0" w:line="92" w:lineRule="exact"/>
        <w:rPr>
          <w:rFonts w:ascii="Times New Roman" w:cs="Times New Roman" w:eastAsia="Times New Roman" w:hAnsi="Times New Roman"/>
          <w:sz w:val="17"/>
          <w:szCs w:val="17"/>
          <w:color w:val="auto"/>
        </w:rPr>
      </w:pPr>
    </w:p>
    <w:p>
      <w:pPr>
        <w:ind w:left="760" w:right="300" w:hanging="378"/>
        <w:spacing w:after="0" w:line="266" w:lineRule="auto"/>
        <w:tabs>
          <w:tab w:leader="none" w:pos="7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enter into agreements with CDMOs for the development, clinical manufacture and commercial manufacture of our product candidate CAN-2409 and CAN-3110</w:t>
      </w:r>
    </w:p>
    <w:p>
      <w:pPr>
        <w:spacing w:after="0" w:line="78"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costs related to manufacturing of our product candidates or to account for any future changes in our manufacturing plans;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commercialize our product candidates, if and when approved;</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raising additional funds necessary to complete clinical development of our product candidates;</w:t>
      </w:r>
    </w:p>
    <w:p>
      <w:pPr>
        <w:spacing w:after="0" w:line="141" w:lineRule="exact"/>
        <w:rPr>
          <w:rFonts w:ascii="Times New Roman" w:cs="Times New Roman" w:eastAsia="Times New Roman" w:hAnsi="Times New Roman"/>
          <w:sz w:val="17"/>
          <w:szCs w:val="17"/>
          <w:color w:val="auto"/>
        </w:rPr>
      </w:pPr>
    </w:p>
    <w:p>
      <w:pPr>
        <w:ind w:left="760" w:right="340" w:hanging="378"/>
        <w:spacing w:after="0" w:line="266" w:lineRule="auto"/>
        <w:tabs>
          <w:tab w:leader="none" w:pos="7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third-party insurance coverage and adequate reimbursement for our product candidates, if and when approved;</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the acceptance of our product candidates, if approved, by patients, the medical community and third-party payors;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effectively competing with other products if our product candidates are approved;</w:t>
      </w:r>
    </w:p>
    <w:p>
      <w:pPr>
        <w:spacing w:after="0" w:line="141" w:lineRule="exact"/>
        <w:rPr>
          <w:rFonts w:ascii="Times New Roman" w:cs="Times New Roman" w:eastAsia="Times New Roman" w:hAnsi="Times New Roman"/>
          <w:sz w:val="17"/>
          <w:szCs w:val="17"/>
          <w:color w:val="auto"/>
        </w:rPr>
      </w:pPr>
    </w:p>
    <w:p>
      <w:pPr>
        <w:ind w:left="760" w:hanging="378"/>
        <w:spacing w:after="0" w:line="249" w:lineRule="auto"/>
        <w:tabs>
          <w:tab w:leader="none" w:pos="7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any business interruptions to our operations, including the timing and enrollment of patients in our planned clinical trials, or to those of our manufacturers, suppliers, or other vendors resulting from any future public health crisis or ongoing geopolitical conflicts and related global economic sanctions;</w:t>
      </w:r>
    </w:p>
    <w:p>
      <w:pPr>
        <w:spacing w:after="0" w:line="106"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maintain a continued acceptable safety profile for our therapies following approval;</w:t>
      </w:r>
    </w:p>
    <w:p>
      <w:pPr>
        <w:spacing w:after="0" w:line="141" w:lineRule="exact"/>
        <w:rPr>
          <w:rFonts w:ascii="Times New Roman" w:cs="Times New Roman" w:eastAsia="Times New Roman" w:hAnsi="Times New Roman"/>
          <w:sz w:val="17"/>
          <w:szCs w:val="17"/>
          <w:color w:val="auto"/>
        </w:rPr>
      </w:pPr>
    </w:p>
    <w:p>
      <w:pPr>
        <w:ind w:left="760" w:right="160" w:hanging="378"/>
        <w:spacing w:after="0" w:line="266" w:lineRule="auto"/>
        <w:tabs>
          <w:tab w:leader="none" w:pos="7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patents, trade secret and other intellectual property protection and regulatory exclusivity for our product candidates, both in the United States and internationally; and</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the expense of filing, prosecuting, defending and enforcing any patent claims and other intellectual property rights.</w:t>
      </w:r>
    </w:p>
    <w:p>
      <w:pPr>
        <w:spacing w:after="0" w:line="155"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significantly change the costs and timing associated with the development of that product candidate. We may never succeed in obtaining regulatory approval for any of our product candidates.</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29"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insurance costs including directors and officers insurance; travel expenses; and facility-related expenses, which include direct depreciation costs and expenses for rent and maintenance of facilities, and other operating costs that are not specifically attributable to research and development activities.</w:t>
      </w:r>
    </w:p>
    <w:p>
      <w:pPr>
        <w:spacing w:after="0" w:line="11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expect that our general and administrative expenses will increase in the future as we increase our personnel headcount to support our continued clinical development and manufacturing activities and to meet the requirements of a public company. We expect to incur increased expenses associated with being a public company, including costs of accounting, audit, legal, regulatory, and tax-related services associated with maintaining compliance with exchange listing and Securities and Exchange Commission (SEC) requirements; director and officer insurance costs; and investor and public relations costs.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 Income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Grant income consists of amounts received under a grant from the Massachusetts Life Sciences Center.</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consists of amounts earned on investment of cash equivalents.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consists of interest expense on our debt under our Loan Agreement with Silicon Valley Bank (SVB).</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Warrant Liability</w:t>
      </w:r>
    </w:p>
    <w:p>
      <w:pPr>
        <w:spacing w:after="0" w:line="12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connection with the November 13, 2018 issuance of Series B preferred stock we issued warrants to the purchasers of the Series B preferred stock, to purchase up to 7,344,968 shares of our common stock with an exercise price of $6.81 per share. We also issued a warrant to the NC Incorporated Ohio Trust, an irrevocable trust funded by us, to purchase 162,740 shares of our common stock, $0.01 par value, at an exercise price of $1.46 per share, subject to adjustments as specified in the warrant agreement (the NC Ohio Warrants). Certain of those warrants are recorded as a liability on our balance sheet. The warrants recorded as a liability are remeasured to their fair value at each reporting date with changes in the fair value recognized as a component of other income (expense), net in the consolidated statements of operations. We will continue to recognize changes in the fair value of the warrants until they are exercised, expire or qualify for equity classification. The fair value of the warrants is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and the remaining contractual term of the warrants. Therefore, the fair value may not be appropriately captured by simple models.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42"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Since our inception, we have generated cumulative federal and state net operating loss and research and development credit carryforwards for which we have not recorded any net tax benefit due to uncertainty around utilizing these tax attributes within their respective carryforward periods.</w:t>
      </w:r>
    </w:p>
    <w:p>
      <w:pPr>
        <w:spacing w:after="0" w:line="7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As of December 31, 2023, we had federal net operating loss carryforwards (NOLs) of approximately $86.2 million and state NOLs of approximately $79.6 million which may be available to offset future taxable income. Our federal NOLs include $8.8 million available to reduce future taxable income through 2037 and approximately $77.4 million of NOLs that do not expire and are available to reduce future taxable income indefinitely. The state NOLs are available to offset future taxable income through 2033. As of December 31, 2023, we also had federal and state research and development tax credit carryforwards of $4.5 million and $2.2 million, respectively, which are available to offset federal and state tax liabilities through 2043 and 2038, respectively.</w:t>
      </w:r>
    </w:p>
    <w:p>
      <w:pPr>
        <w:spacing w:after="0" w:line="115" w:lineRule="exact"/>
        <w:rPr>
          <w:sz w:val="20"/>
          <w:szCs w:val="20"/>
          <w:color w:val="auto"/>
        </w:rPr>
      </w:pPr>
    </w:p>
    <w:p>
      <w:pPr>
        <w:ind w:right="560"/>
        <w:spacing w:after="0" w:line="249" w:lineRule="auto"/>
        <w:rPr>
          <w:sz w:val="20"/>
          <w:szCs w:val="20"/>
          <w:color w:val="auto"/>
        </w:rPr>
      </w:pPr>
      <w:r>
        <w:rPr>
          <w:rFonts w:ascii="Arial" w:cs="Arial" w:eastAsia="Arial" w:hAnsi="Arial"/>
          <w:sz w:val="17"/>
          <w:szCs w:val="17"/>
          <w:color w:val="auto"/>
        </w:rPr>
        <w:t>Realization of future tax benefits is dependent on many factors, including our ability to generate taxable income within the NOL period. Our management has evaluated the positive and negative evidence bearing upon the realizability of our deferred tax assets, which are comprised principally of net operating loss carryforwards and certain tax credits.</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109" w:name="page110"/>
    <w:bookmarkEnd w:id="109"/>
    <w:p>
      <w:pPr>
        <w:ind w:right="100"/>
        <w:spacing w:after="0" w:line="249" w:lineRule="auto"/>
        <w:rPr>
          <w:sz w:val="20"/>
          <w:szCs w:val="20"/>
          <w:color w:val="auto"/>
        </w:rPr>
      </w:pPr>
      <w:r>
        <w:rPr>
          <w:rFonts w:ascii="Arial" w:cs="Arial" w:eastAsia="Arial" w:hAnsi="Arial"/>
          <w:sz w:val="17"/>
          <w:szCs w:val="17"/>
          <w:color w:val="auto"/>
        </w:rPr>
        <w:t>Management has considered our history of cumulative net losses incurred since inception, as well as our lack of product revenue since inception, and has determined that it is more likely than not that we will not realize the benefits of its deferred tax assets. As a result, a full valuation allowance has been established at December 31, 2023.</w:t>
      </w:r>
    </w:p>
    <w:p>
      <w:pPr>
        <w:spacing w:after="0" w:line="9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NOL and tax credit carryforwards may become subject to an annual limitation in the event of certain cumulative changes in the ownership interest of significant stockholders over a three-year period in excess of 50%, as provided under Sections 382 and 383 of the Internal Revenue Code of 1986, as amended (the Code), as well as under similar state provisions. These ownership changes may limit the amount of NOLs that can be utilized annually to offset future taxable income. In general, an ownership change, as defined under Section 382 of the Code (Section 382), results from transactions increasing the ownership of certain stockholders or public groups in the stock of a corporation by more than 50% over a three-year period. We have completed several financings and not yet determined if such a limitation would be placed against our NOL. We will make such a determination prior to the utilization of any NOL.</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years ended December 31, 2023 and 2022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6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5"/>
                <w:szCs w:val="15"/>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Research and development service revenue</w:t>
            </w:r>
          </w:p>
        </w:tc>
        <w:tc>
          <w:tcPr>
            <w:tcW w:w="28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(125 )</w:t>
            </w:r>
          </w:p>
        </w:tc>
      </w:tr>
      <w:tr>
        <w:trPr>
          <w:trHeight w:val="216"/>
        </w:trPr>
        <w:tc>
          <w:tcPr>
            <w:tcW w:w="660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Research and development</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24,506</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20,787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3,719</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80"/>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13,885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14,060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(175 )</w:t>
            </w:r>
          </w:p>
        </w:tc>
      </w:tr>
      <w:tr>
        <w:trPr>
          <w:trHeight w:val="210"/>
        </w:trPr>
        <w:tc>
          <w:tcPr>
            <w:tcW w:w="66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38,391</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34,847</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(38,391 )</w:t>
            </w: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(34,722 )</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(3,669 )</w:t>
            </w:r>
          </w:p>
        </w:tc>
      </w:tr>
      <w:tr>
        <w:trPr>
          <w:trHeight w:val="216"/>
        </w:trPr>
        <w:tc>
          <w:tcPr>
            <w:tcW w:w="6600" w:type="dxa"/>
            <w:vAlign w:val="bottom"/>
            <w:shd w:val="clear" w:color="auto" w:fill="CFF0FC"/>
          </w:tcPr>
          <w:p>
            <w:pPr>
              <w:ind w:left="20"/>
              <w:spacing w:after="0"/>
              <w:rPr>
                <w:sz w:val="20"/>
                <w:szCs w:val="20"/>
                <w:color w:val="auto"/>
              </w:rPr>
            </w:pPr>
            <w:r>
              <w:rPr>
                <w:rFonts w:ascii="Arial" w:cs="Arial" w:eastAsia="Arial" w:hAnsi="Arial"/>
                <w:sz w:val="17"/>
                <w:szCs w:val="17"/>
                <w:color w:val="auto"/>
              </w:rPr>
              <w:t>Grant income</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(48 )</w:t>
            </w:r>
          </w:p>
        </w:tc>
      </w:tr>
      <w:tr>
        <w:trPr>
          <w:trHeight w:val="216"/>
        </w:trPr>
        <w:tc>
          <w:tcPr>
            <w:tcW w:w="660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2,081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863</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Interest expense</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(2,595 )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(1,708 )</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(887 )</w:t>
            </w:r>
          </w:p>
        </w:tc>
      </w:tr>
      <w:tr>
        <w:trPr>
          <w:trHeight w:val="216"/>
        </w:trPr>
        <w:tc>
          <w:tcPr>
            <w:tcW w:w="6600" w:type="dxa"/>
            <w:vAlign w:val="bottom"/>
          </w:tcPr>
          <w:p>
            <w:pPr>
              <w:ind w:left="20"/>
              <w:spacing w:after="0"/>
              <w:rPr>
                <w:sz w:val="20"/>
                <w:szCs w:val="20"/>
                <w:color w:val="auto"/>
              </w:rPr>
            </w:pPr>
            <w:r>
              <w:rPr>
                <w:rFonts w:ascii="Arial" w:cs="Arial" w:eastAsia="Arial" w:hAnsi="Arial"/>
                <w:sz w:val="17"/>
                <w:szCs w:val="17"/>
                <w:color w:val="auto"/>
              </w:rPr>
              <w:t>Change in fair value of warrant liability</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966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16,370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(15,404 )</w:t>
            </w:r>
          </w:p>
        </w:tc>
      </w:tr>
      <w:tr>
        <w:trPr>
          <w:trHeight w:val="20"/>
        </w:trPr>
        <w:tc>
          <w:tcPr>
            <w:tcW w:w="6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6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Net loss</w:t>
            </w:r>
          </w:p>
        </w:tc>
        <w:tc>
          <w:tcPr>
            <w:tcW w:w="2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(37,939 )</w:t>
            </w:r>
          </w:p>
        </w:tc>
        <w:tc>
          <w:tcPr>
            <w:tcW w:w="30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(18,794 )</w:t>
            </w:r>
          </w:p>
        </w:tc>
        <w:tc>
          <w:tcPr>
            <w:tcW w:w="2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(19,145 )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-873760</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-873760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-33655</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-16510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-33655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-16510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Years Ended December 31, 2023 and 2022</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42"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We had research and development service revenue of zero and $0.1 million for the years ended December 31, 2023 and 2022, respectively. This represents the recognition as research and development service revenue of a portion of the $1.0 million that we received in 2014 and 2015 from Ventagen, a related party, which was recognized over the period during which we provided the services, and was fully recognized as of December 31, 2022.</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years ended December 31, 2023 and 2022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INCREASE</w:t>
            </w:r>
          </w:p>
        </w:tc>
      </w:tr>
      <w:tr>
        <w:trPr>
          <w:trHeight w:val="183"/>
        </w:trPr>
        <w:tc>
          <w:tcPr>
            <w:tcW w:w="66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(DECREASE)</w:t>
            </w:r>
          </w:p>
        </w:tc>
      </w:tr>
      <w:tr>
        <w:trPr>
          <w:trHeight w:val="209"/>
        </w:trPr>
        <w:tc>
          <w:tcPr>
            <w:tcW w:w="6600" w:type="dxa"/>
            <w:vAlign w:val="bottom"/>
            <w:shd w:val="clear" w:color="auto" w:fill="CFF0FC"/>
          </w:tcPr>
          <w:p>
            <w:pPr>
              <w:ind w:left="20"/>
              <w:spacing w:after="0"/>
              <w:rPr>
                <w:sz w:val="20"/>
                <w:szCs w:val="20"/>
                <w:color w:val="auto"/>
              </w:rPr>
            </w:pPr>
            <w:r>
              <w:rPr>
                <w:rFonts w:ascii="Arial" w:cs="Arial" w:eastAsia="Arial" w:hAnsi="Arial"/>
                <w:sz w:val="17"/>
                <w:szCs w:val="17"/>
                <w:color w:val="auto"/>
              </w:rPr>
              <w:t>Employee - related</w:t>
            </w:r>
          </w:p>
        </w:tc>
        <w:tc>
          <w:tcPr>
            <w:tcW w:w="28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13,362</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12,688</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674</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7"/>
                <w:szCs w:val="17"/>
                <w:color w:val="auto"/>
              </w:rPr>
              <w:t>Clinical development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7,940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5,608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2,332</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Arial" w:cs="Arial" w:eastAsia="Arial" w:hAnsi="Arial"/>
                <w:sz w:val="17"/>
                <w:szCs w:val="17"/>
                <w:color w:val="auto"/>
              </w:rPr>
              <w:t>Depreciation, impairment, and loss on the sale of fixed assets</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1,419</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642</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7"/>
                <w:szCs w:val="17"/>
                <w:color w:val="auto"/>
              </w:rPr>
              <w:t>Pre-clinical research</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660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Arial" w:cs="Arial" w:eastAsia="Arial" w:hAnsi="Arial"/>
                <w:sz w:val="17"/>
                <w:szCs w:val="17"/>
                <w:color w:val="auto"/>
              </w:rPr>
              <w:t>Occupancy</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526</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7"/>
                <w:szCs w:val="17"/>
                <w:color w:val="auto"/>
              </w:rPr>
              <w:t>Recruiting</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(85 )</w:t>
            </w: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313</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272</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spacing w:after="0"/>
              <w:rPr>
                <w:sz w:val="18"/>
                <w:szCs w:val="18"/>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24,506</w:t>
            </w: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20,787</w:t>
            </w: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3,719</w:t>
            </w:r>
          </w:p>
        </w:tc>
        <w:tc>
          <w:tcPr>
            <w:tcW w:w="100" w:type="dxa"/>
            <w:vAlign w:val="bottom"/>
          </w:tcPr>
          <w:p>
            <w:pPr>
              <w:spacing w:after="0"/>
              <w:rPr>
                <w:sz w:val="18"/>
                <w:szCs w:val="18"/>
                <w:color w:val="auto"/>
              </w:rPr>
            </w:pP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-179070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-179070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Research and development expenses increased $3.7 million from $20.8 million for the year ended December 31, 2022 to $24.5 million for the year ended December 31, 2023. The increase was primarily attributable to a $2.3 million increase in clinical development costs driven by increased manufacturing and regulatory costs in support of CAN-2409 programs, a $0.7 million increase in employee compensation costs driven by stock compensation expense, and a $0.6</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color w:val="auto"/>
        </w:rPr>
        <w:t>million increase in fixed asset-related expenses, including $0.4 million of impairment charges to manufacturing equipment.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general and administrative expenses for the years ended December 31, 2023 and 2022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INCREASE</w:t>
            </w:r>
          </w:p>
        </w:tc>
      </w:tr>
      <w:tr>
        <w:trPr>
          <w:trHeight w:val="183"/>
        </w:trPr>
        <w:tc>
          <w:tcPr>
            <w:tcW w:w="6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(DECREASE)</w:t>
            </w: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Employee-related</w:t>
            </w: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7,573</w:t>
            </w:r>
          </w:p>
        </w:tc>
        <w:tc>
          <w:tcPr>
            <w:tcW w:w="58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6,455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1,118</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7"/>
                <w:szCs w:val="17"/>
                <w:color w:val="auto"/>
              </w:rPr>
              <w:t>Professional and consulting fees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3,666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3,629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Insurance</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(787 )</w:t>
            </w:r>
          </w:p>
        </w:tc>
      </w:tr>
      <w:tr>
        <w:trPr>
          <w:trHeight w:val="216"/>
        </w:trPr>
        <w:tc>
          <w:tcPr>
            <w:tcW w:w="6640" w:type="dxa"/>
            <w:vAlign w:val="bottom"/>
          </w:tcPr>
          <w:p>
            <w:pPr>
              <w:ind w:left="20"/>
              <w:spacing w:after="0"/>
              <w:rPr>
                <w:sz w:val="20"/>
                <w:szCs w:val="20"/>
                <w:color w:val="auto"/>
              </w:rPr>
            </w:pPr>
            <w:r>
              <w:rPr>
                <w:rFonts w:ascii="Arial" w:cs="Arial" w:eastAsia="Arial" w:hAnsi="Arial"/>
                <w:sz w:val="17"/>
                <w:szCs w:val="17"/>
                <w:color w:val="auto"/>
              </w:rPr>
              <w:t>Information technology costs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Occupancy</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(23 )</w:t>
            </w:r>
          </w:p>
        </w:tc>
      </w:tr>
      <w:tr>
        <w:trPr>
          <w:trHeight w:val="216"/>
        </w:trPr>
        <w:tc>
          <w:tcPr>
            <w:tcW w:w="6640" w:type="dxa"/>
            <w:vAlign w:val="bottom"/>
          </w:tcPr>
          <w:p>
            <w:pPr>
              <w:ind w:left="20"/>
              <w:spacing w:after="0"/>
              <w:rPr>
                <w:sz w:val="20"/>
                <w:szCs w:val="20"/>
                <w:color w:val="auto"/>
              </w:rPr>
            </w:pPr>
            <w:r>
              <w:rPr>
                <w:rFonts w:ascii="Arial" w:cs="Arial" w:eastAsia="Arial" w:hAnsi="Arial"/>
                <w:sz w:val="17"/>
                <w:szCs w:val="17"/>
                <w:color w:val="auto"/>
              </w:rPr>
              <w:t>Recruiting</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775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(616 )</w:t>
            </w:r>
          </w:p>
        </w:tc>
      </w:tr>
      <w:tr>
        <w:trPr>
          <w:trHeight w:val="216"/>
        </w:trPr>
        <w:tc>
          <w:tcPr>
            <w:tcW w:w="6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(91 )</w:t>
            </w:r>
          </w:p>
        </w:tc>
      </w:tr>
      <w:tr>
        <w:trPr>
          <w:trHeight w:val="20"/>
        </w:trPr>
        <w:tc>
          <w:tcPr>
            <w:tcW w:w="66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13,885</w:t>
            </w:r>
          </w:p>
        </w:tc>
        <w:tc>
          <w:tcPr>
            <w:tcW w:w="28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14,060</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(175 )</w:t>
            </w: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-179070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-179070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General and administrative expenses decreased $0.2 million from $14.1 million for the year ended December 31, 2022 to $13.9 million for the year ended December 31, 2023. The decrease was primarily attributable to a $0.8 million decrease in insurance costs, which was driven by a lower cost for directors and officers insurance, and a $0.6 million decrease in recruiting costs. These decreases were offset by a $1.1 million increase in employee compensation due to increased general and administrative headcount throughout the year.</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 Income</w:t>
      </w:r>
    </w:p>
    <w:p>
      <w:pPr>
        <w:spacing w:after="0" w:line="129"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There was no grant income for the year ended December 31, 2023, compared to $48,000 for the year ended December 31, 2022. Grant income for the year ended December 31, 2022 relates to the recognition of income from a grant from the Massachusetts Life Sciences Center.</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42"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Interest income was $2.1 million for the year ended December 31, 2023, compared to $1.2 million for the year ended December 31, 2022, and represents earnings on our cash equivalents. The increase in interest income is the result of rising interest rates that have generated higher returns on our cash equivalents for the year ended December 31, 2023 compared to the year ended December 31, 2022.</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42" w:lineRule="exact"/>
        <w:rPr>
          <w:sz w:val="20"/>
          <w:szCs w:val="20"/>
          <w:color w:val="auto"/>
        </w:rPr>
      </w:pPr>
    </w:p>
    <w:p>
      <w:pPr>
        <w:ind w:right="400"/>
        <w:spacing w:after="0" w:line="249" w:lineRule="auto"/>
        <w:rPr>
          <w:sz w:val="20"/>
          <w:szCs w:val="20"/>
          <w:color w:val="auto"/>
        </w:rPr>
      </w:pPr>
      <w:r>
        <w:rPr>
          <w:rFonts w:ascii="Arial" w:cs="Arial" w:eastAsia="Arial" w:hAnsi="Arial"/>
          <w:sz w:val="17"/>
          <w:szCs w:val="17"/>
          <w:color w:val="auto"/>
        </w:rPr>
        <w:t>Interest expense was $2.6 million for the year ended December 31, 2023, compared to $1.7 million for the year ended December 31, 2022, and represents interest expense on our outstanding debt obligations. The increase in interest expense is the result of rising interest rates that are increasing the variable interest rate on our term loan for the year ended December 31, 2023 compared to the year ended December 31, 2022.</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Warrant Liability</w:t>
      </w:r>
    </w:p>
    <w:p>
      <w:pPr>
        <w:spacing w:after="0" w:line="129"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change in fair value of our warrant liability was a decrease in the fair value of $1.0 million for the year ended December 31, 2023, compared to a decrease in the fair value of $16.4 million for the year ended December 31, 2022. The change in the fair value of the warrant liability is primarily driven by changes in the underlying value of our stock price.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14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Since our inception, we have not generated any revenue from product sales and have incurred significant operating losses. We expect to continue to incur significant expenses and operating losses for the foreseeable future as we advance the clinical development of our product candidates. We expect that our research and development and general and administrative costs will continue to increase significantly, including in connection with conducting clinical trials for our product candidates, developing our manufacturing capabilities which may include the cost of establishing a relationship with contract manufacturers to support commercial launch of our product candidate CAN-2409 and costs associated with equipping our laboratory and manufacturing facility to support clinical trials and commercialization and providing general and administrative support for our operations, including the cost associated with operating as a public company. As a result, we will need additional capital to fund our operations, which we may obtain from additional equity or debt financings, collaborations, licensing arrangements or other sources. Based on current plans and assumptions,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color w:val="auto"/>
        </w:rPr>
        <w:t>we expect that our existing cash and cash equivalents will be sufficient to fund our current operating plan into the fourth quarter of 2024.</w:t>
      </w:r>
    </w:p>
    <w:p>
      <w:pPr>
        <w:spacing w:after="0" w:line="129"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do not currently have any approved products and have never generated any revenue from product sales. We have financed our operations primarily through proceeds from government grants and proceeds from the sale of convertible notes, common stock, and our convertible preferred stock. As of December 31, 2023, we have raised approximately $160.8 million, including $15.6 million of government grants, $66.1 million from the sale of convertible preferred stock, and $79.1 million from the sale of our common stock in our IPO. Our cash and cash equivalents totaled $35.4 million as of December 31, 2023. We had $21.3 million of debt as of December 31, 2023. Subsequent to December 31, 2023 and through March 21, 2024, we raised $0.2 million under our ATM Program (as defined below).</w:t>
      </w:r>
    </w:p>
    <w:p>
      <w:pPr>
        <w:spacing w:after="0" w:line="115" w:lineRule="exact"/>
        <w:rPr>
          <w:sz w:val="20"/>
          <w:szCs w:val="20"/>
          <w:color w:val="auto"/>
        </w:rPr>
      </w:pPr>
    </w:p>
    <w:p>
      <w:pPr>
        <w:ind w:right="320"/>
        <w:spacing w:after="0" w:line="237" w:lineRule="auto"/>
        <w:rPr>
          <w:sz w:val="20"/>
          <w:szCs w:val="20"/>
          <w:color w:val="auto"/>
        </w:rPr>
      </w:pPr>
      <w:r>
        <w:rPr>
          <w:rFonts w:ascii="Arial" w:cs="Arial" w:eastAsia="Arial" w:hAnsi="Arial"/>
          <w:sz w:val="17"/>
          <w:szCs w:val="17"/>
          <w:color w:val="auto"/>
        </w:rPr>
        <w:t>On February 24, 2022, we entered into a loan and security agreement Loan Agreement with SVB pursuant to which SVB agreed to provide term loans to us in an aggregate principal amount of $20.0 million. We borrowed $20.0 million upon entering into the Loan Agreement. We could have borrowed up to an additional aggregate principal amount not to exceed $5.0 million, at any time on or prior to December 31, 2022, upon the achievement of all of the following milestones, inclusively: (a) positive phase 2 clinical activity data from our CAN-2409 NSCLC clinical trial, (b) dosing of our first patient in our phase 3 CAN-2409 high-grade glioma clinical trial; and (c) receipt on or prior to December 31, 2022, of net cash proceeds in an amount equal to at least $75.0 million from the issuance and sale of equity securities to investors acceptable to SVB. We did not borrow any of the additional aggregate principal amount on or prior to December 31, 2022. The term loans are secured by substantially all of our properties, rights and assets, except for our intellectual property, which is subject to a negative pledge under the Loan Agreement.</w:t>
      </w:r>
    </w:p>
    <w:p>
      <w:pPr>
        <w:spacing w:after="0" w:line="11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term loans bear interest at a floating rate per annum equal to the greater of (A) 5.75% and (B) the prime rate (as published in the money rates section of The Wall Street Journal) plus 2.50%. We are required to make monthly interest payments, and commencing on February 1, 2024, 24 consecutive installments of principal plus monthly payments of accrued interest. The term loans mature on January 1, 2026. Upon repayment in full of the term loans, we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prepayment.</w:t>
      </w:r>
    </w:p>
    <w:p>
      <w:pPr>
        <w:spacing w:after="0" w:line="74"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On August 5, 2022, we filed a shelf registration statement on Form S-3 (as amended,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Subsequent to December 31, 2023 and through March 21, 2024, we have sold and issued 109,485 shares of common stock under the ATM Program, with total net proceeds of $0.2 million.</w:t>
      </w:r>
    </w:p>
    <w:p>
      <w:pPr>
        <w:spacing w:after="0" w:line="74"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As of December 31, 2023, we had an accumulated deficit of $137.0 million and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and contract manufacturing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will require substantial additional financing to fund our operations and to continue to execute our strategy, and we will pursue a range of options to secure additional capital.</w:t>
      </w:r>
    </w:p>
    <w:p>
      <w:pPr>
        <w:spacing w:after="0" w:line="79"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it would have a negative impact on our financial condition and we could be forced to delay, reduce or eliminate our research, clinical trials, product development or future commercialization efforts.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sources and uses of cash for the periods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720" w:type="dxa"/>
            <w:vAlign w:val="bottom"/>
          </w:tcPr>
          <w:p>
            <w:pPr>
              <w:spacing w:after="0"/>
              <w:rPr>
                <w:sz w:val="15"/>
                <w:szCs w:val="15"/>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w w:val="96"/>
              </w:rPr>
              <w:t>2023</w:t>
            </w: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cash used in operating activities</w:t>
            </w:r>
          </w:p>
        </w:tc>
        <w:tc>
          <w:tcPr>
            <w:tcW w:w="960" w:type="dxa"/>
            <w:vAlign w:val="bottom"/>
            <w:shd w:val="clear" w:color="auto" w:fill="CFF0FC"/>
          </w:tcPr>
          <w:p>
            <w:pPr>
              <w:jc w:val="right"/>
              <w:ind w:right="761"/>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6"/>
              </w:rPr>
              <w:t>(34,244 )</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w w:val="96"/>
              </w:rPr>
              <w:t>(31,419 )</w:t>
            </w:r>
          </w:p>
        </w:tc>
      </w:tr>
      <w:tr>
        <w:trPr>
          <w:trHeight w:val="216"/>
        </w:trPr>
        <w:tc>
          <w:tcPr>
            <w:tcW w:w="772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9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(280 )</w:t>
            </w: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(1,297 )</w:t>
            </w: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(121 )</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19,974</w:t>
            </w:r>
          </w:p>
        </w:tc>
        <w:tc>
          <w:tcPr>
            <w:tcW w:w="100" w:type="dxa"/>
            <w:vAlign w:val="bottom"/>
            <w:shd w:val="clear" w:color="auto" w:fill="CFF0FC"/>
          </w:tcPr>
          <w:p>
            <w:pPr>
              <w:spacing w:after="0"/>
              <w:rPr>
                <w:sz w:val="18"/>
                <w:szCs w:val="18"/>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960" w:type="dxa"/>
            <w:vAlign w:val="bottom"/>
          </w:tcPr>
          <w:p>
            <w:pPr>
              <w:jc w:val="right"/>
              <w:ind w:right="761"/>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w w:val="96"/>
              </w:rPr>
              <w:t>(34,645 )</w:t>
            </w:r>
          </w:p>
        </w:tc>
        <w:tc>
          <w:tcPr>
            <w:tcW w:w="940" w:type="dxa"/>
            <w:vAlign w:val="bottom"/>
          </w:tcPr>
          <w:p>
            <w:pPr>
              <w:jc w:val="right"/>
              <w:ind w:right="759"/>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(12,742 )</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-307975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for the Years Ended December 31, 2023 and 2022</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2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Net cash used in operating activities for the year ended December 31, 2023 was $34.2 million, primarily consisting of a net loss of $37.9 million as we incurred expenses associated with our clinical programs, increased our headcount prior to the restructuring in the fourth quarter of 2023 and incurred costs associated with operating as a public company. In addition, we had non-cash income of $1.0 million as a result of the change in the fair value of our warrant liability. Non-cash income was partially offset by $5.2 million in non-cash charges primarily related to non-cash stock-based compensation and depreciation expense. Net cash used in operating activities was also impacted by $0.5 million in changes in operating assets and liabilities, primarily driven by a decrease of $0.5 million in lease-related liabilities and a decrease of $0.3 million in accrued expenses. These changes were partially offset by a decrease of $0.5 million in prepaid expenses and other current assets.</w:t>
      </w:r>
    </w:p>
    <w:p>
      <w:pPr>
        <w:spacing w:after="0" w:line="115"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Net cash used in operating activities for the year ended December 31, 2022 was $31.4 million, primarily consisting of a net loss of $18.8 million as we incurred expenses associated with our clinical programs, increased our headcount and incurred costs associated with operating as a public company. In addition, we had non-cash income of $16.4 million as a result of the change in the fair value of our warrant liability, which was partially offset by $3.1 million of non-cash stock-based compensation and depreciation expense. Net cash used in operating activities was also impacted by $0.1 million in changes in operating assets and liabilities, primarily driven by an increase of $1.3 million in accrued expenses and a decrease in prepaid expenses and other current assets of $0.4 million. These changes were partially offset by a decrease of $1.2 million in accounts payable and a decrease of $0.5 million in lease-related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29"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Net cash used in investing activities for the year ended December 31, 2023 was $0.3 million, and consisted of the purchase of fixed assets, which was partially offset by proceeds from the sale of fixed assets.</w:t>
      </w:r>
    </w:p>
    <w:p>
      <w:pPr>
        <w:spacing w:after="0" w:line="105"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color w:val="auto"/>
        </w:rPr>
        <w:t>Net cash used in investing activities for the year ended December 31, 2022 was $1.3 million, which was attributable to the use of $1.3 million for purchases of fixed assets.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42"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Net cash used in financing activities for the year ended December 31, 2023 was $0.1 million, consisting of payments related to tax withholding for vested restricted stock units.</w:t>
      </w:r>
    </w:p>
    <w:p>
      <w:pPr>
        <w:spacing w:after="0" w:line="78" w:lineRule="exact"/>
        <w:rPr>
          <w:sz w:val="20"/>
          <w:szCs w:val="20"/>
          <w:color w:val="auto"/>
        </w:rPr>
      </w:pPr>
    </w:p>
    <w:p>
      <w:pPr>
        <w:ind w:right="580"/>
        <w:spacing w:after="0" w:line="267" w:lineRule="auto"/>
        <w:rPr>
          <w:sz w:val="20"/>
          <w:szCs w:val="20"/>
          <w:color w:val="auto"/>
        </w:rPr>
      </w:pPr>
      <w:r>
        <w:rPr>
          <w:rFonts w:ascii="Arial" w:cs="Arial" w:eastAsia="Arial" w:hAnsi="Arial"/>
          <w:sz w:val="17"/>
          <w:szCs w:val="17"/>
          <w:color w:val="auto"/>
        </w:rPr>
        <w:t>Net cash provided by financing activities for the year ended December 31, 2022 was $20.0 million, primarily consisting of $19.9 million of net proceeds from a term loan with SVB.</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Funding Requirements</w:t>
      </w:r>
    </w:p>
    <w:p>
      <w:pPr>
        <w:spacing w:after="0" w:line="14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We expect our operating expenses to increase substantially in the future in connection with our ongoing activities, particularly as we advance CAN-2409 and CAN-3110 through research and development, clinical trials, and develop our manufacturing capabilities, as we research and develop additional product candidates including preclinical activities and as we prepare for marketing approval and commercialization. We also expect to incur additional costs associated with operating as a public company.</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costs and expenses will increase as we:</w:t>
      </w:r>
    </w:p>
    <w:p>
      <w:pPr>
        <w:spacing w:after="0" w:line="142" w:lineRule="exact"/>
        <w:rPr>
          <w:sz w:val="20"/>
          <w:szCs w:val="20"/>
          <w:color w:val="auto"/>
        </w:rPr>
      </w:pPr>
    </w:p>
    <w:p>
      <w:pPr>
        <w:ind w:left="760" w:hanging="378"/>
        <w:spacing w:after="0"/>
        <w:tabs>
          <w:tab w:leader="none" w:pos="760"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7"/>
          <w:szCs w:val="17"/>
          <w:color w:val="auto"/>
        </w:rPr>
        <w:t>advance the clinical development of CAN-2409 and CAN-3110;</w:t>
      </w:r>
    </w:p>
    <w:p>
      <w:pPr>
        <w:spacing w:after="0" w:line="154" w:lineRule="exact"/>
        <w:rPr>
          <w:rFonts w:ascii="Times New Roman" w:cs="Times New Roman" w:eastAsia="Times New Roman" w:hAnsi="Times New Roman"/>
          <w:sz w:val="17"/>
          <w:szCs w:val="17"/>
          <w:color w:val="auto"/>
        </w:rPr>
      </w:pPr>
    </w:p>
    <w:p>
      <w:pPr>
        <w:jc w:val="both"/>
        <w:ind w:left="760" w:right="240" w:hanging="378"/>
        <w:spacing w:after="0" w:line="249" w:lineRule="auto"/>
        <w:tabs>
          <w:tab w:leader="none" w:pos="760"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7"/>
          <w:szCs w:val="17"/>
          <w:color w:val="auto"/>
        </w:rPr>
        <w:t>develop our manufacturing capabilities, including through relationships with contract manufacturers for commercial manufacturing of our product candidate CAN-2409 and the development, construction and qualification of our clinical manufacturing capabilities, internally or through CDMOs for our product candidate CAN-3110;</w:t>
      </w:r>
    </w:p>
    <w:p>
      <w:pPr>
        <w:spacing w:after="0" w:line="92"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7"/>
          <w:szCs w:val="17"/>
          <w:color w:val="auto"/>
        </w:rPr>
        <w:t>pursue the preclinical and clinical development of other product candidates using our enLIGHTEN™ Discovery Platform, an HSV-based platform; and</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13" w:name="page114"/>
    <w:bookmarkEnd w:id="113"/>
    <w:p>
      <w:pPr>
        <w:ind w:left="760" w:right="200" w:hanging="378"/>
        <w:spacing w:after="0" w:line="266" w:lineRule="auto"/>
        <w:tabs>
          <w:tab w:leader="none" w:pos="76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expand our operational, financial, and management systems and increase personnel, including personnel to support our operations as a public company.</w:t>
      </w:r>
    </w:p>
    <w:p>
      <w:pPr>
        <w:spacing w:after="0" w:line="79"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We believe that our existing cash and cash equivalents as of December 31, 2023 will enable us to fund our operating expenses and capital expense requirements into the fourth quarter of 2024. We have based this estimate on assumptions that may prove to be incorrect, and we could utilize our available capital resources sooner than we currently expect.</w:t>
      </w:r>
    </w:p>
    <w:p>
      <w:pPr>
        <w:spacing w:after="0" w:line="107"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Because of the numerous risks and uncertainties associated with the research, development, and commercialization of therapeutics, it is difficult to estimate with certainty the amount of our working capital requirements. Our future funding requirements will depend on many factors, including:</w:t>
      </w:r>
    </w:p>
    <w:p>
      <w:pPr>
        <w:spacing w:after="0" w:line="92" w:lineRule="exact"/>
        <w:rPr>
          <w:sz w:val="20"/>
          <w:szCs w:val="20"/>
          <w:color w:val="auto"/>
        </w:rPr>
      </w:pPr>
    </w:p>
    <w:p>
      <w:pPr>
        <w:ind w:left="760" w:hanging="378"/>
        <w:spacing w:after="0"/>
        <w:tabs>
          <w:tab w:leader="none" w:pos="76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costs, and results of our clinical development and clinical trials for CAN-2409 and CAN-3110;</w:t>
      </w:r>
    </w:p>
    <w:p>
      <w:pPr>
        <w:spacing w:after="0" w:line="14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costs, and results of our additional research and preclinical development programs;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our product candidates;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collaborations on favorable terms, if at all;</w:t>
      </w:r>
    </w:p>
    <w:p>
      <w:pPr>
        <w:spacing w:after="0" w:line="141" w:lineRule="exact"/>
        <w:rPr>
          <w:rFonts w:ascii="Times New Roman" w:cs="Times New Roman" w:eastAsia="Times New Roman" w:hAnsi="Times New Roman"/>
          <w:sz w:val="17"/>
          <w:szCs w:val="17"/>
          <w:color w:val="auto"/>
        </w:rPr>
      </w:pPr>
    </w:p>
    <w:p>
      <w:pPr>
        <w:ind w:left="760" w:right="120" w:hanging="378"/>
        <w:spacing w:after="0" w:line="266" w:lineRule="auto"/>
        <w:tabs>
          <w:tab w:leader="none" w:pos="76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7"/>
          <w:szCs w:val="17"/>
          <w:color w:val="auto"/>
        </w:rPr>
        <w:t>the outcome, timing and cost of meeting regulatory requirements established by the FDA and comparable foreign regulatory authorities, if applicable, for our product candidates;</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and timing of internal and external process development for our manufacturing capabilities;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progress, results, and costs of any product candidates that we may derive from our HSV-based platform or with collaborators;</w:t>
      </w:r>
    </w:p>
    <w:p>
      <w:pPr>
        <w:spacing w:after="0" w:line="141" w:lineRule="exact"/>
        <w:rPr>
          <w:rFonts w:ascii="Times New Roman" w:cs="Times New Roman" w:eastAsia="Times New Roman" w:hAnsi="Times New Roman"/>
          <w:sz w:val="17"/>
          <w:szCs w:val="17"/>
          <w:color w:val="auto"/>
        </w:rPr>
      </w:pPr>
    </w:p>
    <w:p>
      <w:pPr>
        <w:ind w:left="760" w:right="200" w:hanging="378"/>
        <w:spacing w:after="0" w:line="249" w:lineRule="auto"/>
        <w:tabs>
          <w:tab w:leader="none" w:pos="76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preparing, filing and prosecuting patent applications, obtaining, maintaining and enforcing our intellectual property rights and defending intellectual property-related claims; hire additional personnel in research, manufacturing, and regulatory and clinical development, as well as management personnel;</w:t>
      </w:r>
    </w:p>
    <w:p>
      <w:pPr>
        <w:spacing w:after="0" w:line="106"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in-license or acquire rights to other products, product candidates, or technologies;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7"/>
          <w:szCs w:val="17"/>
          <w:color w:val="auto"/>
        </w:rPr>
        <w:t>additions or departures of key scientific or management personnel;</w:t>
      </w:r>
    </w:p>
    <w:p>
      <w:pPr>
        <w:spacing w:after="0" w:line="141" w:lineRule="exact"/>
        <w:rPr>
          <w:rFonts w:ascii="Times New Roman" w:cs="Times New Roman" w:eastAsia="Times New Roman" w:hAnsi="Times New Roman"/>
          <w:sz w:val="17"/>
          <w:szCs w:val="17"/>
          <w:color w:val="auto"/>
        </w:rPr>
      </w:pPr>
    </w:p>
    <w:p>
      <w:pPr>
        <w:ind w:left="760" w:hanging="378"/>
        <w:spacing w:after="0" w:line="266" w:lineRule="auto"/>
        <w:tabs>
          <w:tab w:leader="none" w:pos="76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obtain marketing approval;</w:t>
      </w:r>
    </w:p>
    <w:p>
      <w:pPr>
        <w:spacing w:after="0" w:line="92" w:lineRule="exact"/>
        <w:rPr>
          <w:rFonts w:ascii="Times New Roman" w:cs="Times New Roman" w:eastAsia="Times New Roman" w:hAnsi="Times New Roman"/>
          <w:sz w:val="17"/>
          <w:szCs w:val="17"/>
          <w:color w:val="auto"/>
        </w:rPr>
      </w:pPr>
    </w:p>
    <w:p>
      <w:pPr>
        <w:ind w:left="760" w:right="320" w:hanging="378"/>
        <w:spacing w:after="0" w:line="266" w:lineRule="auto"/>
        <w:tabs>
          <w:tab w:leader="none" w:pos="76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7"/>
          <w:szCs w:val="17"/>
          <w:color w:val="auto"/>
        </w:rPr>
        <w:t>the amount of revenue, if any, received from commercial sales of our product candidates, should any of our product candidates receive marketing approval; and</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operating as a public company.</w:t>
      </w:r>
    </w:p>
    <w:p>
      <w:pPr>
        <w:spacing w:after="0" w:line="14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Until such time as we can generate significant revenue from product sales, if ever, we expect to finance our cash needs through a combination of public or private equity or debt financings and other sources, which may include collaborations strategic alliances and licensing arrangements with third parties.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could adversely affect your rights as a common stockholder. Debt financing and equity financing, if available, may involve agreements that include restrictive covenants limiting or restricting our ability to take specific actions, such as incurring additional debt, making capital expenditures or declaring dividends, that could adversely impact our ability to conduct our business, in addition to those restrictive covenants contained in the Loan Agreement. If we raise additional funds through other sources, such as collaboration agreements, strategic alliances, licensing arrangements or marketing and distribution arrangements, we may have to relinquish valuable rights to our technologies, future revenue streams, product development, and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2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Our primary contractual obligations are our facility lease, the Loan Agreement with SVB, and the Periphagen Note. The table below summarizes the contractual obligations that will become due as of December 31, 2023 (in thousands):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5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4"/>
          </w:tcPr>
          <w:p>
            <w:pPr>
              <w:jc w:val="right"/>
              <w:ind w:right="719"/>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5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79"/>
              <w:spacing w:after="0"/>
              <w:rPr>
                <w:sz w:val="20"/>
                <w:szCs w:val="20"/>
                <w:color w:val="auto"/>
              </w:rPr>
            </w:pPr>
            <w:r>
              <w:rPr>
                <w:rFonts w:ascii="Arial" w:cs="Arial" w:eastAsia="Arial" w:hAnsi="Arial"/>
                <w:sz w:val="14"/>
                <w:szCs w:val="14"/>
                <w:b w:val="1"/>
                <w:bCs w:val="1"/>
                <w:color w:val="auto"/>
              </w:rPr>
              <w:t>1 TO 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3 TO 5</w:t>
            </w:r>
          </w:p>
        </w:tc>
      </w:tr>
      <w:tr>
        <w:trPr>
          <w:trHeight w:val="185"/>
        </w:trPr>
        <w:tc>
          <w:tcPr>
            <w:tcW w:w="5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Operating lease obligation (1)</w:t>
            </w:r>
          </w:p>
        </w:tc>
        <w:tc>
          <w:tcPr>
            <w:tcW w:w="2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1,626</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598</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1,028</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5780" w:type="dxa"/>
            <w:vAlign w:val="bottom"/>
          </w:tcPr>
          <w:p>
            <w:pPr>
              <w:ind w:left="20"/>
              <w:spacing w:after="0"/>
              <w:rPr>
                <w:sz w:val="20"/>
                <w:szCs w:val="20"/>
                <w:color w:val="auto"/>
              </w:rPr>
            </w:pPr>
            <w:r>
              <w:rPr>
                <w:rFonts w:ascii="Arial" w:cs="Arial" w:eastAsia="Arial" w:hAnsi="Arial"/>
                <w:sz w:val="17"/>
                <w:szCs w:val="17"/>
                <w:color w:val="auto"/>
              </w:rPr>
              <w:t>Loan Agreement with SVB (2)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22,514</w:t>
            </w: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10,976</w:t>
            </w: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11,538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Periphagen Note (3)</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1,352</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25,492</w:t>
            </w: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11,574</w:t>
            </w: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12,566</w:t>
            </w: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1,352</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-170815</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1020" w:right="60" w:hanging="503"/>
        <w:spacing w:after="0" w:line="285" w:lineRule="auto"/>
        <w:tabs>
          <w:tab w:leader="none" w:pos="10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future minimum lease payments under our operating lease for office and laboratory space at our Needham, Massachusetts facility. Our facility lease extends to August of 2026.</w:t>
      </w:r>
    </w:p>
    <w:p>
      <w:pPr>
        <w:spacing w:after="0" w:line="49" w:lineRule="exact"/>
        <w:rPr>
          <w:rFonts w:ascii="Arial" w:cs="Arial" w:eastAsia="Arial" w:hAnsi="Arial"/>
          <w:sz w:val="14"/>
          <w:szCs w:val="14"/>
          <w:color w:val="auto"/>
        </w:rPr>
      </w:pPr>
    </w:p>
    <w:p>
      <w:pPr>
        <w:ind w:left="1020" w:hanging="503"/>
        <w:spacing w:after="0"/>
        <w:tabs>
          <w:tab w:leader="none" w:pos="10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future principal, interest payments, and the final payment fee on our Loan Agreement with SVB, which matures on January 1, 2026.</w:t>
      </w:r>
    </w:p>
    <w:p>
      <w:pPr>
        <w:spacing w:after="0" w:line="109" w:lineRule="exact"/>
        <w:rPr>
          <w:rFonts w:ascii="Arial" w:cs="Arial" w:eastAsia="Arial" w:hAnsi="Arial"/>
          <w:sz w:val="14"/>
          <w:szCs w:val="14"/>
          <w:color w:val="auto"/>
        </w:rPr>
      </w:pPr>
    </w:p>
    <w:p>
      <w:pPr>
        <w:ind w:left="1020" w:right="280" w:hanging="503"/>
        <w:spacing w:after="0" w:line="285" w:lineRule="auto"/>
        <w:tabs>
          <w:tab w:leader="none" w:pos="10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a $1.0 million promissory note plus interest under the terms of our asset purchase agreements with Periphagen, Inc. The promissory note is due upon maturity in November 2027.</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See our financial statements and related footnotes elsewhere in this Annual Report on Form 10-K for additional information on these agreements.</w:t>
      </w:r>
    </w:p>
    <w:p>
      <w:pPr>
        <w:spacing w:after="0" w:line="129"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We also enter into contracts in the normal course of business with hospitals, clinics, universities, and other third parties for clinical trials and testing and with construction contractors and process developers for the construction of our manufacturing facility. These contracts do not contain minimum purchase commitments and are cancelable by us upon prior written notice. Payments due upon cancelation consist only of payments for services provided or expenses incurred, including noncancelable obligations of our service providers, up to the date of cancelation. These payments are not included in the table above as the amount and timing of such payments are not known.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42"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financial statements, which have been prepared in accordance with U.S. GAAP. The preparation of our financial statements and related disclosures requires us to make estimates and assumptions that affect the reported amounts of assets and liabilities, costs and expenses, and the disclosure of contingent assets and liabilities in our financial statements.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materially differ from these estimates under different assumptions or conditions.</w:t>
      </w:r>
    </w:p>
    <w:p>
      <w:pPr>
        <w:spacing w:after="0" w:line="103" w:lineRule="exact"/>
        <w:rPr>
          <w:sz w:val="20"/>
          <w:szCs w:val="20"/>
          <w:color w:val="auto"/>
        </w:rPr>
      </w:pPr>
    </w:p>
    <w:p>
      <w:pPr>
        <w:jc w:val="both"/>
        <w:ind w:right="40"/>
        <w:spacing w:after="0" w:line="249" w:lineRule="auto"/>
        <w:rPr>
          <w:sz w:val="20"/>
          <w:szCs w:val="20"/>
          <w:color w:val="auto"/>
        </w:rPr>
      </w:pPr>
      <w:r>
        <w:rPr>
          <w:rFonts w:ascii="Arial" w:cs="Arial" w:eastAsia="Arial" w:hAnsi="Arial"/>
          <w:sz w:val="17"/>
          <w:szCs w:val="17"/>
          <w:color w:val="auto"/>
        </w:rPr>
        <w:t>While our significant accounting policies are described in more detail in the notes to our consolidated financial statements included elsewhere in this Annual Report on Form 10-K, we believe that the following accounting policies are those most significant to the judgments and estimates used in the preparation of our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Accrued Research and Development Expenses</w:t>
      </w:r>
    </w:p>
    <w:p>
      <w:pPr>
        <w:spacing w:after="0" w:line="142"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Most of our service providers invoice us in arrears for services performed, on a pre-determined schedule or when contractual milestones are met; however, some require advance payments. We make estimates of our accrued expenses as of each balance sheet date in our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 the following:</w:t>
      </w:r>
    </w:p>
    <w:p>
      <w:pPr>
        <w:spacing w:after="0" w:line="103" w:lineRule="exact"/>
        <w:rPr>
          <w:sz w:val="20"/>
          <w:szCs w:val="20"/>
          <w:color w:val="auto"/>
        </w:rPr>
      </w:pPr>
    </w:p>
    <w:p>
      <w:pPr>
        <w:ind w:left="760" w:hanging="378"/>
        <w:spacing w:after="0"/>
        <w:tabs>
          <w:tab w:leader="none" w:pos="76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clinical trial sites where patients are being treated with our product candidates;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consultants providing services related to process development, regulatory and other services; and</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CDMOs who are manufacturing commercial-scale quantities of our product candidates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Actual services performed may vary from our estimates, resulting in adjustments to research and development costs or inventories in future periods.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Changes in these estimates that result in material changes to our accruals could materially affect our results of operations.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b w:val="1"/>
          <w:bCs w:val="1"/>
          <w:color w:val="auto"/>
        </w:rPr>
        <w:t>Determination of Fair Value of Warrants</w:t>
      </w:r>
    </w:p>
    <w:p>
      <w:pPr>
        <w:spacing w:after="0" w:line="12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connection with the Series B convertible preferred stock issuance in November 2018, the Company issued warrants to purchase shares of common stock of which certain warrants are shown as a liability on the balance sheet. The fair value of the warrants was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prior to the IPO, risk-free interest rate, expected dividend yield, expected volatility of the price of the underlying preferred stock, and the remaining contractual term of the warrants. The most significant assumption in the model impacting the fair value of the common stock warrants is the fair value of the Company’s common stock as of each remeasurement date. Prior to the IPO, the Company determined the fair value per share of the underlying common stock by taking into consideration the most recent sales of preferred stock, results obtained from third-party valuations and additional factors that were deemed relevant.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142"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We measure stock options and other stock-based awards granted to our employees, directors, consultants, advisors based on the fair value on the date of the grant, awards, net of actual forfeitures, over the requisite service period, which is generally the vesting period of the respective award. For stock-based awards granted to non-employees, compensation expense is recognized over the vesting period which approximates the period over which services are rendered by such non-employees.</w:t>
      </w:r>
    </w:p>
    <w:p>
      <w:pPr>
        <w:spacing w:after="0" w:line="96"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estimate the fair value of each stock option grant on the date of grant using the Black-Scholes option-pricing model, which uses as inputs the fair value of our common stock and assumptions we make for the expected volatility of our common stock, the expected term of our stock options, the risk-free interest rate for a period that approximates the expected term of our stock options, and our expected dividend yield.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4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 description of recent accounting pronouncements that may potentially impact our financial position, results of operations, or cash flows is disclosed in Note 2 to our audited consolidated financial statements included elsewhere in this Annual Report on form 10-K.</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142"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In April 2012, the Jumpstart Our Business Startups Act of 2012 (the JOBS Act) was enacted. Section 107 of the JOBS Act provides that an “emerging growth company,” or an EGC, can take advantage of the extended transition period provided in Section 7(a)(2)(B) of the Securities Act of 1933, as amended (the Securities Act) for complying with new or revised accounting standards. Thus, an EGC can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115"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will remain an emerging growth company until the earliest to occur of: (1) the last day of the fiscal year in which we have more than $1.235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2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We are a smaller reporting company as defined by Rule 12b-2 of the Securities Exchange Act of 1934, as amended, and are not required to provide the information under this item.</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42"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Our consolidated financial statements, together with the report of our independent registered public accounting firm, appear beginning on page F-1 of this Annual Report for the year ended December 31, 2023.</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Effectiveness of Controls and Procedures</w:t>
      </w:r>
    </w:p>
    <w:p>
      <w:pPr>
        <w:spacing w:after="0" w:line="10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4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and Exchange Act of 1934, as amended). 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20"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2023. Based on the evaluation of our disclosure controls and procedures as of December 31, 2023, our Chief Executive Officer and Chief Financial Officer concluded that, as of such date, our disclosure controls and procedures were effective at the reasonable assurance level.</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02"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2" w:lineRule="exact"/>
        <w:rPr>
          <w:sz w:val="20"/>
          <w:szCs w:val="20"/>
          <w:color w:val="auto"/>
        </w:rPr>
      </w:pPr>
    </w:p>
    <w:p>
      <w:pPr>
        <w:ind w:left="1020" w:right="580" w:hanging="503"/>
        <w:spacing w:after="0" w:line="266" w:lineRule="auto"/>
        <w:tabs>
          <w:tab w:leader="none" w:pos="1020" w:val="left"/>
        </w:tabs>
        <w:numPr>
          <w:ilvl w:val="0"/>
          <w:numId w:val="76"/>
        </w:numPr>
        <w:rPr>
          <w:rFonts w:ascii="Times New Roman" w:cs="Times New Roman" w:eastAsia="Times New Roman" w:hAnsi="Times New Roman"/>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a company’s assets;</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76"/>
        </w:numPr>
        <w:rPr>
          <w:rFonts w:ascii="Times New Roman" w:cs="Times New Roman" w:eastAsia="Times New Roman" w:hAnsi="Times New Roman"/>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65"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76"/>
        </w:numPr>
        <w:rPr>
          <w:rFonts w:ascii="Times New Roman" w:cs="Times New Roman" w:eastAsia="Times New Roman" w:hAnsi="Times New Roman"/>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5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the degree of compliance with the policies or procedures may deteriorate. Under the supervision of and with the participation of our principal executive officer and principal financial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17" w:name="page118"/>
    <w:bookmarkEnd w:id="117"/>
    <w:p>
      <w:pPr>
        <w:spacing w:after="0" w:line="249" w:lineRule="auto"/>
        <w:rPr>
          <w:sz w:val="20"/>
          <w:szCs w:val="20"/>
          <w:color w:val="auto"/>
        </w:rPr>
      </w:pPr>
      <w:r>
        <w:rPr>
          <w:rFonts w:ascii="Arial" w:cs="Arial" w:eastAsia="Arial" w:hAnsi="Arial"/>
          <w:sz w:val="17"/>
          <w:szCs w:val="17"/>
          <w:color w:val="auto"/>
        </w:rPr>
        <w:t>officer, our management assessed the effectiveness of our internal control over financial reporting as of December 31, 2023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2023.</w:t>
      </w:r>
    </w:p>
    <w:p>
      <w:pPr>
        <w:spacing w:after="0" w:line="6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This Annual Report on Form 10-K does not include an attestation report of our independent registered public accounting firm on internal control over financial reporting due to an exemption established by the JOBS Act for “emerging growth companies.”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83" w:lineRule="exact"/>
        <w:rPr>
          <w:sz w:val="20"/>
          <w:szCs w:val="20"/>
          <w:color w:val="auto"/>
        </w:rPr>
      </w:pPr>
    </w:p>
    <w:p>
      <w:pPr>
        <w:jc w:val="both"/>
        <w:ind w:right="380"/>
        <w:spacing w:after="0" w:line="249" w:lineRule="auto"/>
        <w:rPr>
          <w:sz w:val="20"/>
          <w:szCs w:val="20"/>
          <w:color w:val="auto"/>
        </w:rPr>
      </w:pPr>
      <w:r>
        <w:rPr>
          <w:rFonts w:ascii="Arial" w:cs="Arial" w:eastAsia="Arial" w:hAnsi="Arial"/>
          <w:sz w:val="17"/>
          <w:szCs w:val="17"/>
          <w:color w:val="auto"/>
        </w:rPr>
        <w:t>There was no change in our internal control over financial reporting (as defined in Rules 13a-15(f) and 15(d)-15(f) under the Exchange Act) that occurred during the three months ended December 31, 2023 that has materially affected, or is reasonably likely to materially affect, our internal control over financial reporting.</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29"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During the three month period ended December 31, 2023, none of our directors or officers (as defined in Rule 16a-1(f) of the Securities Exchange Act of 1934, as amended) adopted, terminated or modified a Rule 10b5-1 trading arrangement or any “non-Rule 10b5-1 trading agreement” (as defined in Item 408(c) of Regulation S-K).</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18" w:name="page119"/>
    <w:bookmarkEnd w:id="118"/>
    <w:p>
      <w:pPr>
        <w:ind w:left="5300"/>
        <w:spacing w:after="0"/>
        <w:rPr>
          <w:sz w:val="20"/>
          <w:szCs w:val="20"/>
          <w:color w:val="auto"/>
        </w:rPr>
      </w:pPr>
      <w:r>
        <w:rPr>
          <w:rFonts w:ascii="Arial" w:cs="Arial" w:eastAsia="Arial" w:hAnsi="Arial"/>
          <w:sz w:val="17"/>
          <w:szCs w:val="17"/>
          <w:b w:val="1"/>
          <w:bCs w:val="1"/>
          <w:color w:val="auto"/>
        </w:rPr>
        <w:t>PART III</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information required by this Item 10 will be included in our Definitive Proxy Statement to be filed with the Securities and Exchange Commission (SEC) with respect to our 2024 Annual Meeting of Stockholders and is incorporated herein by reference.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42"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 information required by this Item 11 will be included in our Definitive Proxy Statement to be filed with the SEC with respect to our 2024 Annual Meeting of Stockholders and is incorporated herein by reference.</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42"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 information required by this Item 12 will be included in our Definitive Proxy Statement to be filed with the SEC with respect to our 2024 Annual Meeting of Stockholders and is incorporated herein by reference.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2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 information required by this Item 13 will be included in our Definitive Proxy Statement to be filed with the SEC with respect to our 2024 Annual Meeting of Stockholders and is incorporated herein by reference.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Our independent public accounting firm is KPMG LLP, Boston, Massachusetts, PCAOB Auditor ID 185.</w:t>
      </w:r>
    </w:p>
    <w:p>
      <w:pPr>
        <w:spacing w:after="0" w:line="12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 information required by this Item 14 will be included in our Definitive Proxy Statement to be filed with the SEC with respect to our 2024 Annual Meeting of Stockholders and is incorporated herein by reference.</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9" w:right="459" w:bottom="1440" w:gutter="0" w:footer="0" w:header="0"/>
        </w:sectPr>
      </w:pPr>
    </w:p>
    <w:bookmarkStart w:id="119" w:name="page120"/>
    <w:bookmarkEnd w:id="119"/>
    <w:p>
      <w:pPr>
        <w:jc w:val="center"/>
        <w:ind w:right="-59"/>
        <w:spacing w:after="0"/>
        <w:rPr>
          <w:sz w:val="20"/>
          <w:szCs w:val="20"/>
          <w:color w:val="auto"/>
        </w:rPr>
      </w:pPr>
      <w:r>
        <w:rPr>
          <w:rFonts w:ascii="Arial" w:cs="Arial" w:eastAsia="Arial" w:hAnsi="Arial"/>
          <w:sz w:val="17"/>
          <w:szCs w:val="17"/>
          <w:b w:val="1"/>
          <w:bCs w:val="1"/>
          <w:color w:val="auto"/>
        </w:rPr>
        <w:t>PART IV</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2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For a list of the financial statements included herein, see Index to the Consolidated Financial Statements on page F-1 of this Annual Report on Form 10-K, incorporated into this Item by reference.</w:t>
      </w:r>
    </w:p>
    <w:p>
      <w:pPr>
        <w:spacing w:after="0" w:line="92" w:lineRule="exact"/>
        <w:rPr>
          <w:sz w:val="20"/>
          <w:szCs w:val="20"/>
          <w:color w:val="auto"/>
        </w:rPr>
      </w:pPr>
    </w:p>
    <w:p>
      <w:pPr>
        <w:ind w:right="680"/>
        <w:spacing w:after="0" w:line="267" w:lineRule="auto"/>
        <w:rPr>
          <w:sz w:val="20"/>
          <w:szCs w:val="20"/>
          <w:color w:val="auto"/>
        </w:rPr>
      </w:pPr>
      <w:r>
        <w:rPr>
          <w:rFonts w:ascii="Arial" w:cs="Arial" w:eastAsia="Arial" w:hAnsi="Arial"/>
          <w:sz w:val="17"/>
          <w:szCs w:val="17"/>
          <w:color w:val="auto"/>
        </w:rPr>
        <w:t>Financial statement schedules have been omitted because they are either not required or not applicable or the information is included in the consolidated financial statements or the notes thereto.</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gridSpan w:val="33"/>
          </w:tcPr>
          <w:p>
            <w:pPr>
              <w:ind w:left="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5"/>
        </w:trPr>
        <w:tc>
          <w:tcPr>
            <w:tcW w:w="1260" w:type="dxa"/>
            <w:vAlign w:val="bottom"/>
          </w:tcPr>
          <w:p>
            <w:pPr>
              <w:ind w:left="20"/>
              <w:spacing w:after="0" w:line="155" w:lineRule="exact"/>
              <w:rPr>
                <w:sz w:val="20"/>
                <w:szCs w:val="20"/>
                <w:color w:val="auto"/>
              </w:rPr>
            </w:pPr>
            <w:r>
              <w:rPr>
                <w:rFonts w:ascii="Arial" w:cs="Arial" w:eastAsia="Arial" w:hAnsi="Arial"/>
                <w:sz w:val="17"/>
                <w:szCs w:val="17"/>
                <w:color w:val="auto"/>
              </w:rPr>
              <w:t>3.1</w:t>
            </w:r>
          </w:p>
        </w:tc>
        <w:tc>
          <w:tcPr>
            <w:tcW w:w="260" w:type="dxa"/>
            <w:vAlign w:val="bottom"/>
          </w:tcPr>
          <w:p>
            <w:pPr>
              <w:spacing w:after="0"/>
              <w:rPr>
                <w:sz w:val="13"/>
                <w:szCs w:val="13"/>
                <w:color w:val="auto"/>
              </w:rPr>
            </w:pPr>
          </w:p>
        </w:tc>
        <w:tc>
          <w:tcPr>
            <w:tcW w:w="9780" w:type="dxa"/>
            <w:vAlign w:val="bottom"/>
            <w:gridSpan w:val="41"/>
          </w:tcPr>
          <w:p>
            <w:pPr>
              <w:spacing w:after="0" w:line="155" w:lineRule="exact"/>
              <w:rPr>
                <w:rFonts w:ascii="Arial" w:cs="Arial" w:eastAsia="Arial" w:hAnsi="Arial"/>
                <w:sz w:val="17"/>
                <w:szCs w:val="17"/>
                <w:color w:val="0000FF"/>
              </w:rPr>
            </w:pPr>
            <w:hyperlink r:id="rId163">
              <w:r>
                <w:rPr>
                  <w:rFonts w:ascii="Arial" w:cs="Arial" w:eastAsia="Arial" w:hAnsi="Arial"/>
                  <w:sz w:val="17"/>
                  <w:szCs w:val="17"/>
                  <w:color w:val="0000FF"/>
                </w:rPr>
                <w:t>Amended and Restated Certificate of Incorporation of Candel Therapeutics, Inc. (incorporated by reference to Exhibit 3.1 to the</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3.2</w:t>
            </w:r>
          </w:p>
        </w:tc>
        <w:tc>
          <w:tcPr>
            <w:tcW w:w="260" w:type="dxa"/>
            <w:vAlign w:val="bottom"/>
          </w:tcPr>
          <w:p>
            <w:pPr>
              <w:spacing w:after="0"/>
              <w:rPr>
                <w:sz w:val="14"/>
                <w:szCs w:val="14"/>
                <w:color w:val="auto"/>
              </w:rPr>
            </w:pPr>
          </w:p>
        </w:tc>
        <w:tc>
          <w:tcPr>
            <w:tcW w:w="5820" w:type="dxa"/>
            <w:vAlign w:val="bottom"/>
            <w:tcBorders>
              <w:top w:val="single" w:sz="8" w:color="0000FF"/>
              <w:bottom w:val="single" w:sz="8" w:color="0000FF"/>
            </w:tcBorders>
            <w:gridSpan w:val="14"/>
          </w:tcPr>
          <w:p>
            <w:pPr>
              <w:spacing w:after="0" w:line="169" w:lineRule="exact"/>
              <w:rPr>
                <w:rFonts w:ascii="Arial" w:cs="Arial" w:eastAsia="Arial" w:hAnsi="Arial"/>
                <w:sz w:val="17"/>
                <w:szCs w:val="17"/>
                <w:color w:val="0000FF"/>
                <w:w w:val="99"/>
              </w:rPr>
            </w:pPr>
            <w:hyperlink r:id="rId163">
              <w:r>
                <w:rPr>
                  <w:rFonts w:ascii="Arial" w:cs="Arial" w:eastAsia="Arial" w:hAnsi="Arial"/>
                  <w:sz w:val="17"/>
                  <w:szCs w:val="17"/>
                  <w:color w:val="0000FF"/>
                  <w:w w:val="99"/>
                </w:rPr>
                <w:t>Registrant’s Current Report on Form 8-K filed with the SEC on July 30,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380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80" w:type="dxa"/>
            <w:vAlign w:val="bottom"/>
            <w:gridSpan w:val="41"/>
          </w:tcPr>
          <w:p>
            <w:pPr>
              <w:spacing w:after="0" w:line="183" w:lineRule="exact"/>
              <w:rPr>
                <w:rFonts w:ascii="Arial" w:cs="Arial" w:eastAsia="Arial" w:hAnsi="Arial"/>
                <w:sz w:val="17"/>
                <w:szCs w:val="17"/>
                <w:color w:val="0000FF"/>
              </w:rPr>
            </w:pPr>
            <w:hyperlink r:id="rId164">
              <w:r>
                <w:rPr>
                  <w:rFonts w:ascii="Arial" w:cs="Arial" w:eastAsia="Arial" w:hAnsi="Arial"/>
                  <w:sz w:val="17"/>
                  <w:szCs w:val="17"/>
                  <w:color w:val="0000FF"/>
                </w:rPr>
                <w:t>Amended and Restated Bylaws of Candel Therapeutics, Inc. (incorporated by reference to Exhibit 3.2 to the Registrant’s Current</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4.1</w:t>
            </w:r>
          </w:p>
        </w:tc>
        <w:tc>
          <w:tcPr>
            <w:tcW w:w="26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7"/>
          </w:tcPr>
          <w:p>
            <w:pPr>
              <w:spacing w:after="0" w:line="169" w:lineRule="exact"/>
              <w:rPr>
                <w:rFonts w:ascii="Arial" w:cs="Arial" w:eastAsia="Arial" w:hAnsi="Arial"/>
                <w:sz w:val="17"/>
                <w:szCs w:val="17"/>
                <w:color w:val="0000FF"/>
                <w:w w:val="99"/>
              </w:rPr>
            </w:pPr>
            <w:hyperlink r:id="rId164">
              <w:r>
                <w:rPr>
                  <w:rFonts w:ascii="Arial" w:cs="Arial" w:eastAsia="Arial" w:hAnsi="Arial"/>
                  <w:sz w:val="17"/>
                  <w:szCs w:val="17"/>
                  <w:color w:val="0000FF"/>
                  <w:w w:val="99"/>
                </w:rPr>
                <w:t>Report on Form 8-K filed with the SEC on July 30,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5480" w:type="dxa"/>
            <w:vAlign w:val="bottom"/>
            <w:tcBorders>
              <w:top w:val="single" w:sz="8" w:color="0000FF"/>
            </w:tcBorders>
            <w:gridSpan w:val="3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80" w:type="dxa"/>
            <w:vAlign w:val="bottom"/>
            <w:gridSpan w:val="41"/>
          </w:tcPr>
          <w:p>
            <w:pPr>
              <w:spacing w:after="0" w:line="183" w:lineRule="exact"/>
              <w:rPr>
                <w:rFonts w:ascii="Arial" w:cs="Arial" w:eastAsia="Arial" w:hAnsi="Arial"/>
                <w:sz w:val="17"/>
                <w:szCs w:val="17"/>
                <w:color w:val="0000FF"/>
              </w:rPr>
            </w:pPr>
            <w:hyperlink r:id="rId165">
              <w:r>
                <w:rPr>
                  <w:rFonts w:ascii="Arial" w:cs="Arial" w:eastAsia="Arial" w:hAnsi="Arial"/>
                  <w:sz w:val="17"/>
                  <w:szCs w:val="17"/>
                  <w:color w:val="0000FF"/>
                </w:rPr>
                <w:t>Specimen Common Stock Certificate (incorporated by reference to Exhibit 4.1 to the Registrant’s Registration Statement on</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4.2</w:t>
            </w:r>
          </w:p>
        </w:tc>
        <w:tc>
          <w:tcPr>
            <w:tcW w:w="260" w:type="dxa"/>
            <w:vAlign w:val="bottom"/>
          </w:tcPr>
          <w:p>
            <w:pPr>
              <w:spacing w:after="0"/>
              <w:rPr>
                <w:sz w:val="14"/>
                <w:szCs w:val="14"/>
                <w:color w:val="auto"/>
              </w:rPr>
            </w:pPr>
          </w:p>
        </w:tc>
        <w:tc>
          <w:tcPr>
            <w:tcW w:w="5380" w:type="dxa"/>
            <w:vAlign w:val="bottom"/>
            <w:tcBorders>
              <w:top w:val="single" w:sz="8" w:color="0000FF"/>
              <w:bottom w:val="single" w:sz="8" w:color="0000FF"/>
            </w:tcBorders>
            <w:gridSpan w:val="12"/>
          </w:tcPr>
          <w:p>
            <w:pPr>
              <w:spacing w:after="0" w:line="169" w:lineRule="exact"/>
              <w:rPr>
                <w:rFonts w:ascii="Arial" w:cs="Arial" w:eastAsia="Arial" w:hAnsi="Arial"/>
                <w:sz w:val="17"/>
                <w:szCs w:val="17"/>
                <w:color w:val="0000FF"/>
              </w:rPr>
            </w:pPr>
            <w:hyperlink r:id="rId165">
              <w:r>
                <w:rPr>
                  <w:rFonts w:ascii="Arial" w:cs="Arial" w:eastAsia="Arial" w:hAnsi="Arial"/>
                  <w:sz w:val="17"/>
                  <w:szCs w:val="17"/>
                  <w:color w:val="0000FF"/>
                </w:rPr>
                <w:t>Form S-1/A (File No. 333- 257444) filed with the SEC on July 16,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400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80" w:type="dxa"/>
            <w:vAlign w:val="bottom"/>
            <w:gridSpan w:val="41"/>
          </w:tcPr>
          <w:p>
            <w:pPr>
              <w:spacing w:after="0" w:line="183" w:lineRule="exact"/>
              <w:rPr>
                <w:rFonts w:ascii="Arial" w:cs="Arial" w:eastAsia="Arial" w:hAnsi="Arial"/>
                <w:sz w:val="17"/>
                <w:szCs w:val="17"/>
                <w:color w:val="0000FF"/>
              </w:rPr>
            </w:pPr>
            <w:hyperlink r:id="rId166">
              <w:r>
                <w:rPr>
                  <w:rFonts w:ascii="Arial" w:cs="Arial" w:eastAsia="Arial" w:hAnsi="Arial"/>
                  <w:sz w:val="17"/>
                  <w:szCs w:val="17"/>
                  <w:color w:val="0000FF"/>
                </w:rPr>
                <w:t>Description of Securities (incorporated by reference to Exhibit 4.2 to the Registrant's Annual Report on Form 10-K filed with the</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4.3</w:t>
            </w:r>
          </w:p>
        </w:tc>
        <w:tc>
          <w:tcPr>
            <w:tcW w:w="260" w:type="dxa"/>
            <w:vAlign w:val="bottom"/>
          </w:tcPr>
          <w:p>
            <w:pPr>
              <w:spacing w:after="0"/>
              <w:rPr>
                <w:sz w:val="14"/>
                <w:szCs w:val="14"/>
                <w:color w:val="auto"/>
              </w:rPr>
            </w:pPr>
          </w:p>
        </w:tc>
        <w:tc>
          <w:tcPr>
            <w:tcW w:w="9620" w:type="dxa"/>
            <w:vAlign w:val="bottom"/>
            <w:tcBorders>
              <w:top w:val="single" w:sz="8" w:color="0000FF"/>
            </w:tcBorders>
            <w:gridSpan w:val="34"/>
          </w:tcPr>
          <w:p>
            <w:pPr>
              <w:spacing w:after="0" w:line="169" w:lineRule="exact"/>
              <w:rPr>
                <w:rFonts w:ascii="Arial" w:cs="Arial" w:eastAsia="Arial" w:hAnsi="Arial"/>
                <w:sz w:val="17"/>
                <w:szCs w:val="17"/>
                <w:color w:val="0000FF"/>
              </w:rPr>
            </w:pPr>
            <w:hyperlink r:id="rId166">
              <w:r>
                <w:rPr>
                  <w:rFonts w:ascii="Arial" w:cs="Arial" w:eastAsia="Arial" w:hAnsi="Arial"/>
                  <w:sz w:val="17"/>
                  <w:szCs w:val="17"/>
                  <w:color w:val="0000FF"/>
                </w:rPr>
                <w:t>SEC on March 29, 2022)</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80" w:type="dxa"/>
            <w:vAlign w:val="bottom"/>
            <w:gridSpan w:val="41"/>
          </w:tcPr>
          <w:p>
            <w:pPr>
              <w:spacing w:after="0" w:line="183" w:lineRule="exact"/>
              <w:rPr>
                <w:rFonts w:ascii="Arial" w:cs="Arial" w:eastAsia="Arial" w:hAnsi="Arial"/>
                <w:sz w:val="17"/>
                <w:szCs w:val="17"/>
                <w:color w:val="0000FF"/>
              </w:rPr>
            </w:pPr>
            <w:hyperlink r:id="rId167">
              <w:r>
                <w:rPr>
                  <w:rFonts w:ascii="Arial" w:cs="Arial" w:eastAsia="Arial" w:hAnsi="Arial"/>
                  <w:sz w:val="17"/>
                  <w:szCs w:val="17"/>
                  <w:color w:val="0000FF"/>
                </w:rPr>
                <w:t>Investors’ Rights Agreement (incorporated by reference to Exhibit 4.2 to the Registrant’s Registration Statement on Form S-1/A</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4.4</w:t>
            </w:r>
          </w:p>
        </w:tc>
        <w:tc>
          <w:tcPr>
            <w:tcW w:w="260" w:type="dxa"/>
            <w:vAlign w:val="bottom"/>
          </w:tcPr>
          <w:p>
            <w:pPr>
              <w:spacing w:after="0"/>
              <w:rPr>
                <w:sz w:val="14"/>
                <w:szCs w:val="14"/>
                <w:color w:val="auto"/>
              </w:rPr>
            </w:pPr>
          </w:p>
        </w:tc>
        <w:tc>
          <w:tcPr>
            <w:tcW w:w="4520" w:type="dxa"/>
            <w:vAlign w:val="bottom"/>
            <w:tcBorders>
              <w:top w:val="single" w:sz="8" w:color="0000FF"/>
              <w:bottom w:val="single" w:sz="8" w:color="0000FF"/>
            </w:tcBorders>
            <w:gridSpan w:val="9"/>
          </w:tcPr>
          <w:p>
            <w:pPr>
              <w:spacing w:after="0" w:line="169" w:lineRule="exact"/>
              <w:rPr>
                <w:rFonts w:ascii="Arial" w:cs="Arial" w:eastAsia="Arial" w:hAnsi="Arial"/>
                <w:sz w:val="17"/>
                <w:szCs w:val="17"/>
                <w:color w:val="0000FF"/>
                <w:w w:val="99"/>
              </w:rPr>
            </w:pPr>
            <w:hyperlink r:id="rId167">
              <w:r>
                <w:rPr>
                  <w:rFonts w:ascii="Arial" w:cs="Arial" w:eastAsia="Arial" w:hAnsi="Arial"/>
                  <w:sz w:val="17"/>
                  <w:szCs w:val="17"/>
                  <w:color w:val="0000FF"/>
                  <w:w w:val="99"/>
                </w:rPr>
                <w:t>(File No. 333- 257444) filed with the SEC on June 25,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512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80" w:type="dxa"/>
            <w:vAlign w:val="bottom"/>
            <w:gridSpan w:val="41"/>
          </w:tcPr>
          <w:p>
            <w:pPr>
              <w:spacing w:after="0" w:line="183" w:lineRule="exact"/>
              <w:rPr>
                <w:rFonts w:ascii="Arial" w:cs="Arial" w:eastAsia="Arial" w:hAnsi="Arial"/>
                <w:sz w:val="17"/>
                <w:szCs w:val="17"/>
                <w:color w:val="0000FF"/>
              </w:rPr>
            </w:pPr>
            <w:hyperlink r:id="rId168">
              <w:r>
                <w:rPr>
                  <w:rFonts w:ascii="Arial" w:cs="Arial" w:eastAsia="Arial" w:hAnsi="Arial"/>
                  <w:sz w:val="17"/>
                  <w:szCs w:val="17"/>
                  <w:color w:val="0000FF"/>
                </w:rPr>
                <w:t>Form of November 2018 Unconditional Warrant to Purchase Common Stock (incorporated by reference to Exhibit 4.3 to the</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4.5</w:t>
            </w:r>
          </w:p>
        </w:tc>
        <w:tc>
          <w:tcPr>
            <w:tcW w:w="260" w:type="dxa"/>
            <w:vAlign w:val="bottom"/>
          </w:tcPr>
          <w:p>
            <w:pPr>
              <w:spacing w:after="0"/>
              <w:rPr>
                <w:sz w:val="14"/>
                <w:szCs w:val="14"/>
                <w:color w:val="auto"/>
              </w:rPr>
            </w:pPr>
          </w:p>
        </w:tc>
        <w:tc>
          <w:tcPr>
            <w:tcW w:w="9380" w:type="dxa"/>
            <w:vAlign w:val="bottom"/>
            <w:tcBorders>
              <w:top w:val="single" w:sz="8" w:color="0000FF"/>
            </w:tcBorders>
            <w:gridSpan w:val="27"/>
          </w:tcPr>
          <w:p>
            <w:pPr>
              <w:spacing w:after="0" w:line="169" w:lineRule="exact"/>
              <w:rPr>
                <w:rFonts w:ascii="Arial" w:cs="Arial" w:eastAsia="Arial" w:hAnsi="Arial"/>
                <w:sz w:val="17"/>
                <w:szCs w:val="17"/>
                <w:color w:val="0000FF"/>
              </w:rPr>
            </w:pPr>
            <w:hyperlink r:id="rId168">
              <w:r>
                <w:rPr>
                  <w:rFonts w:ascii="Arial" w:cs="Arial" w:eastAsia="Arial" w:hAnsi="Arial"/>
                  <w:sz w:val="17"/>
                  <w:szCs w:val="17"/>
                  <w:color w:val="0000FF"/>
                </w:rPr>
                <w:t>Registrant’s Registration Statement on Form S-1/A (File No. 333- 257444) filed with the SEC on July 16, 2021)</w:t>
              </w:r>
            </w:hyperlink>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5"/>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80" w:type="dxa"/>
            <w:vAlign w:val="bottom"/>
            <w:gridSpan w:val="41"/>
          </w:tcPr>
          <w:p>
            <w:pPr>
              <w:spacing w:after="0" w:line="183" w:lineRule="exact"/>
              <w:rPr>
                <w:rFonts w:ascii="Arial" w:cs="Arial" w:eastAsia="Arial" w:hAnsi="Arial"/>
                <w:sz w:val="17"/>
                <w:szCs w:val="17"/>
                <w:color w:val="0000FF"/>
              </w:rPr>
            </w:pPr>
            <w:hyperlink r:id="rId169">
              <w:r>
                <w:rPr>
                  <w:rFonts w:ascii="Arial" w:cs="Arial" w:eastAsia="Arial" w:hAnsi="Arial"/>
                  <w:sz w:val="17"/>
                  <w:szCs w:val="17"/>
                  <w:color w:val="0000FF"/>
                </w:rPr>
                <w:t>Form of November 2018 Conditional Warrant to Purchase Common Stock (incorporated by reference to Exhibit 4.4 to the</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4.6</w:t>
            </w:r>
          </w:p>
        </w:tc>
        <w:tc>
          <w:tcPr>
            <w:tcW w:w="260" w:type="dxa"/>
            <w:vAlign w:val="bottom"/>
          </w:tcPr>
          <w:p>
            <w:pPr>
              <w:spacing w:after="0"/>
              <w:rPr>
                <w:sz w:val="14"/>
                <w:szCs w:val="14"/>
                <w:color w:val="auto"/>
              </w:rPr>
            </w:pPr>
          </w:p>
        </w:tc>
        <w:tc>
          <w:tcPr>
            <w:tcW w:w="9180" w:type="dxa"/>
            <w:vAlign w:val="bottom"/>
            <w:tcBorders>
              <w:top w:val="single" w:sz="8" w:color="0000FF"/>
            </w:tcBorders>
            <w:gridSpan w:val="24"/>
          </w:tcPr>
          <w:p>
            <w:pPr>
              <w:spacing w:after="0" w:line="169" w:lineRule="exact"/>
              <w:rPr>
                <w:rFonts w:ascii="Arial" w:cs="Arial" w:eastAsia="Arial" w:hAnsi="Arial"/>
                <w:sz w:val="17"/>
                <w:szCs w:val="17"/>
                <w:color w:val="0000FF"/>
              </w:rPr>
            </w:pPr>
            <w:hyperlink r:id="rId169">
              <w:r>
                <w:rPr>
                  <w:rFonts w:ascii="Arial" w:cs="Arial" w:eastAsia="Arial" w:hAnsi="Arial"/>
                  <w:sz w:val="17"/>
                  <w:szCs w:val="17"/>
                  <w:color w:val="0000FF"/>
                </w:rPr>
                <w:t>Registrant’s Registration Statement on Form S-1/A (File No. 333- 257444) filed with the SEC on July 16, 2021)</w:t>
              </w:r>
            </w:hyperlink>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5"/>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80" w:type="dxa"/>
            <w:vAlign w:val="bottom"/>
            <w:gridSpan w:val="41"/>
          </w:tcPr>
          <w:p>
            <w:pPr>
              <w:spacing w:after="0" w:line="183" w:lineRule="exact"/>
              <w:rPr>
                <w:rFonts w:ascii="Arial" w:cs="Arial" w:eastAsia="Arial" w:hAnsi="Arial"/>
                <w:sz w:val="17"/>
                <w:szCs w:val="17"/>
                <w:color w:val="0000FF"/>
              </w:rPr>
            </w:pPr>
            <w:hyperlink r:id="rId170">
              <w:r>
                <w:rPr>
                  <w:rFonts w:ascii="Arial" w:cs="Arial" w:eastAsia="Arial" w:hAnsi="Arial"/>
                  <w:sz w:val="17"/>
                  <w:szCs w:val="17"/>
                  <w:color w:val="0000FF"/>
                </w:rPr>
                <w:t>Form of Warrant to Purchase Series A Convertible Preferred Stock (incorporated by reference to Exhibit 4.5 to the Registrant’s</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10.1#</w:t>
            </w:r>
          </w:p>
        </w:tc>
        <w:tc>
          <w:tcPr>
            <w:tcW w:w="260" w:type="dxa"/>
            <w:vAlign w:val="bottom"/>
          </w:tcPr>
          <w:p>
            <w:pPr>
              <w:spacing w:after="0"/>
              <w:rPr>
                <w:sz w:val="14"/>
                <w:szCs w:val="14"/>
                <w:color w:val="auto"/>
              </w:rPr>
            </w:pPr>
          </w:p>
        </w:tc>
        <w:tc>
          <w:tcPr>
            <w:tcW w:w="9580" w:type="dxa"/>
            <w:vAlign w:val="bottom"/>
            <w:tcBorders>
              <w:top w:val="single" w:sz="8" w:color="0000FF"/>
            </w:tcBorders>
            <w:gridSpan w:val="32"/>
          </w:tcPr>
          <w:p>
            <w:pPr>
              <w:spacing w:after="0" w:line="169" w:lineRule="exact"/>
              <w:rPr>
                <w:rFonts w:ascii="Arial" w:cs="Arial" w:eastAsia="Arial" w:hAnsi="Arial"/>
                <w:sz w:val="17"/>
                <w:szCs w:val="17"/>
                <w:color w:val="0000FF"/>
              </w:rPr>
            </w:pPr>
            <w:hyperlink r:id="rId170">
              <w:r>
                <w:rPr>
                  <w:rFonts w:ascii="Arial" w:cs="Arial" w:eastAsia="Arial" w:hAnsi="Arial"/>
                  <w:sz w:val="17"/>
                  <w:szCs w:val="17"/>
                  <w:color w:val="0000FF"/>
                </w:rPr>
                <w:t>Registration Statement on Form S-1/A (File No. 333- 257444) filed with the SEC on June 25, 2021)</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5"/>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80" w:type="dxa"/>
            <w:vAlign w:val="bottom"/>
            <w:gridSpan w:val="41"/>
          </w:tcPr>
          <w:p>
            <w:pPr>
              <w:spacing w:after="0" w:line="183" w:lineRule="exact"/>
              <w:rPr>
                <w:rFonts w:ascii="Arial" w:cs="Arial" w:eastAsia="Arial" w:hAnsi="Arial"/>
                <w:sz w:val="17"/>
                <w:szCs w:val="17"/>
                <w:color w:val="0000FF"/>
              </w:rPr>
            </w:pPr>
            <w:hyperlink r:id="rId171">
              <w:r>
                <w:rPr>
                  <w:rFonts w:ascii="Arial" w:cs="Arial" w:eastAsia="Arial" w:hAnsi="Arial"/>
                  <w:sz w:val="17"/>
                  <w:szCs w:val="17"/>
                  <w:color w:val="0000FF"/>
                </w:rPr>
                <w:t>2015 Stock Plan, as amended, and forms of award agreements thereunder (incorporated by reference to Exhibit 10.1 to the</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10.2#</w:t>
            </w:r>
          </w:p>
        </w:tc>
        <w:tc>
          <w:tcPr>
            <w:tcW w:w="260" w:type="dxa"/>
            <w:vAlign w:val="bottom"/>
          </w:tcPr>
          <w:p>
            <w:pPr>
              <w:spacing w:after="0"/>
              <w:rPr>
                <w:sz w:val="14"/>
                <w:szCs w:val="14"/>
                <w:color w:val="auto"/>
              </w:rPr>
            </w:pPr>
          </w:p>
        </w:tc>
        <w:tc>
          <w:tcPr>
            <w:tcW w:w="9360" w:type="dxa"/>
            <w:vAlign w:val="bottom"/>
            <w:tcBorders>
              <w:top w:val="single" w:sz="8" w:color="0000FF"/>
            </w:tcBorders>
            <w:gridSpan w:val="26"/>
          </w:tcPr>
          <w:p>
            <w:pPr>
              <w:spacing w:after="0" w:line="169" w:lineRule="exact"/>
              <w:rPr>
                <w:rFonts w:ascii="Arial" w:cs="Arial" w:eastAsia="Arial" w:hAnsi="Arial"/>
                <w:sz w:val="17"/>
                <w:szCs w:val="17"/>
                <w:color w:val="0000FF"/>
              </w:rPr>
            </w:pPr>
            <w:hyperlink r:id="rId171">
              <w:r>
                <w:rPr>
                  <w:rFonts w:ascii="Arial" w:cs="Arial" w:eastAsia="Arial" w:hAnsi="Arial"/>
                  <w:sz w:val="17"/>
                  <w:szCs w:val="17"/>
                  <w:color w:val="0000FF"/>
                </w:rPr>
                <w:t>Registrant’s Registration Statement on Form S-1/A (File No. 333- 257444) filed with the SEC on July 16, 2021)</w:t>
              </w:r>
            </w:hyperlink>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5"/>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80" w:type="dxa"/>
            <w:vAlign w:val="bottom"/>
            <w:gridSpan w:val="41"/>
          </w:tcPr>
          <w:p>
            <w:pPr>
              <w:spacing w:after="0" w:line="183" w:lineRule="exact"/>
              <w:rPr>
                <w:rFonts w:ascii="Arial" w:cs="Arial" w:eastAsia="Arial" w:hAnsi="Arial"/>
                <w:sz w:val="17"/>
                <w:szCs w:val="17"/>
                <w:color w:val="0000FF"/>
              </w:rPr>
            </w:pPr>
            <w:hyperlink r:id="rId172">
              <w:r>
                <w:rPr>
                  <w:rFonts w:ascii="Arial" w:cs="Arial" w:eastAsia="Arial" w:hAnsi="Arial"/>
                  <w:sz w:val="17"/>
                  <w:szCs w:val="17"/>
                  <w:color w:val="0000FF"/>
                </w:rPr>
                <w:t>2021 Stock Option and Incentive Plan and forms of award agreements thereunder (incorporated by reference to Exhibit 10.2 to</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10.3#</w:t>
            </w:r>
          </w:p>
        </w:tc>
        <w:tc>
          <w:tcPr>
            <w:tcW w:w="260" w:type="dxa"/>
            <w:vAlign w:val="bottom"/>
          </w:tcPr>
          <w:p>
            <w:pPr>
              <w:spacing w:after="0"/>
              <w:rPr>
                <w:sz w:val="14"/>
                <w:szCs w:val="14"/>
                <w:color w:val="auto"/>
              </w:rPr>
            </w:pPr>
          </w:p>
        </w:tc>
        <w:tc>
          <w:tcPr>
            <w:tcW w:w="9600" w:type="dxa"/>
            <w:vAlign w:val="bottom"/>
            <w:tcBorders>
              <w:top w:val="single" w:sz="8" w:color="0000FF"/>
            </w:tcBorders>
            <w:gridSpan w:val="33"/>
          </w:tcPr>
          <w:p>
            <w:pPr>
              <w:spacing w:after="0" w:line="169" w:lineRule="exact"/>
              <w:rPr>
                <w:rFonts w:ascii="Arial" w:cs="Arial" w:eastAsia="Arial" w:hAnsi="Arial"/>
                <w:sz w:val="17"/>
                <w:szCs w:val="17"/>
                <w:color w:val="0000FF"/>
              </w:rPr>
            </w:pPr>
            <w:hyperlink r:id="rId172">
              <w:r>
                <w:rPr>
                  <w:rFonts w:ascii="Arial" w:cs="Arial" w:eastAsia="Arial" w:hAnsi="Arial"/>
                  <w:sz w:val="17"/>
                  <w:szCs w:val="17"/>
                  <w:color w:val="0000FF"/>
                </w:rPr>
                <w:t>the Registrant’s Registration Statement on Form S-1/A (File No. 333- 257444) filed with the SEC on July 16, 2021)</w:t>
              </w:r>
            </w:hyperlink>
          </w:p>
        </w:tc>
        <w:tc>
          <w:tcPr>
            <w:tcW w:w="8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5"/>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80" w:type="dxa"/>
            <w:vAlign w:val="bottom"/>
            <w:tcBorders>
              <w:right w:val="single" w:sz="8" w:color="0000EE"/>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80" w:type="dxa"/>
            <w:vAlign w:val="bottom"/>
            <w:gridSpan w:val="41"/>
          </w:tcPr>
          <w:p>
            <w:pPr>
              <w:spacing w:after="0" w:line="183" w:lineRule="exact"/>
              <w:rPr>
                <w:rFonts w:ascii="Arial" w:cs="Arial" w:eastAsia="Arial" w:hAnsi="Arial"/>
                <w:sz w:val="17"/>
                <w:szCs w:val="17"/>
                <w:color w:val="0000FF"/>
              </w:rPr>
            </w:pPr>
            <w:hyperlink r:id="rId173">
              <w:r>
                <w:rPr>
                  <w:rFonts w:ascii="Arial" w:cs="Arial" w:eastAsia="Arial" w:hAnsi="Arial"/>
                  <w:sz w:val="17"/>
                  <w:szCs w:val="17"/>
                  <w:color w:val="0000FF"/>
                </w:rPr>
                <w:t>Senior Executive Cash Incentive Bonus Plan (incorporated by reference to Exhibit 10.3 to the Registrant’s Registration</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10.4#</w:t>
            </w:r>
          </w:p>
        </w:tc>
        <w:tc>
          <w:tcPr>
            <w:tcW w:w="260" w:type="dxa"/>
            <w:vAlign w:val="bottom"/>
          </w:tcPr>
          <w:p>
            <w:pPr>
              <w:spacing w:after="0"/>
              <w:rPr>
                <w:sz w:val="14"/>
                <w:szCs w:val="14"/>
                <w:color w:val="auto"/>
              </w:rPr>
            </w:pPr>
          </w:p>
        </w:tc>
        <w:tc>
          <w:tcPr>
            <w:tcW w:w="6440" w:type="dxa"/>
            <w:vAlign w:val="bottom"/>
            <w:tcBorders>
              <w:top w:val="single" w:sz="8" w:color="0000FF"/>
              <w:bottom w:val="single" w:sz="8" w:color="0000FF"/>
            </w:tcBorders>
            <w:gridSpan w:val="17"/>
          </w:tcPr>
          <w:p>
            <w:pPr>
              <w:spacing w:after="0" w:line="169" w:lineRule="exact"/>
              <w:rPr>
                <w:rFonts w:ascii="Arial" w:cs="Arial" w:eastAsia="Arial" w:hAnsi="Arial"/>
                <w:sz w:val="17"/>
                <w:szCs w:val="17"/>
                <w:color w:val="0000FF"/>
              </w:rPr>
            </w:pPr>
            <w:hyperlink r:id="rId173">
              <w:r>
                <w:rPr>
                  <w:rFonts w:ascii="Arial" w:cs="Arial" w:eastAsia="Arial" w:hAnsi="Arial"/>
                  <w:sz w:val="17"/>
                  <w:szCs w:val="17"/>
                  <w:color w:val="0000FF"/>
                </w:rPr>
                <w:t>Statement on Form S-1/A (File No. 333- 257444) filed with the SEC on July 16,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2520" w:type="dxa"/>
            <w:vAlign w:val="bottom"/>
            <w:tcBorders>
              <w:top w:val="single" w:sz="8" w:color="0000FF"/>
            </w:tcBorders>
            <w:gridSpan w:val="4"/>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6"/>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80" w:type="dxa"/>
            <w:vAlign w:val="bottom"/>
            <w:gridSpan w:val="41"/>
          </w:tcPr>
          <w:p>
            <w:pPr>
              <w:spacing w:after="0" w:line="183" w:lineRule="exact"/>
              <w:rPr>
                <w:rFonts w:ascii="Arial" w:cs="Arial" w:eastAsia="Arial" w:hAnsi="Arial"/>
                <w:sz w:val="17"/>
                <w:szCs w:val="17"/>
                <w:color w:val="0000FF"/>
              </w:rPr>
            </w:pPr>
            <w:hyperlink r:id="rId174">
              <w:r>
                <w:rPr>
                  <w:rFonts w:ascii="Arial" w:cs="Arial" w:eastAsia="Arial" w:hAnsi="Arial"/>
                  <w:sz w:val="17"/>
                  <w:szCs w:val="17"/>
                  <w:color w:val="0000FF"/>
                </w:rPr>
                <w:t>Employee Stock Purchase Plan (incorporated by reference to Exhibit 10.4 to the Registrant’s Registration Statement on Form 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5"/>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180" w:type="dxa"/>
            <w:vAlign w:val="bottom"/>
            <w:gridSpan w:val="7"/>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10.5#</w:t>
            </w:r>
          </w:p>
        </w:tc>
        <w:tc>
          <w:tcPr>
            <w:tcW w:w="260" w:type="dxa"/>
            <w:vAlign w:val="bottom"/>
          </w:tcPr>
          <w:p>
            <w:pPr>
              <w:spacing w:after="0"/>
              <w:rPr>
                <w:sz w:val="14"/>
                <w:szCs w:val="14"/>
                <w:color w:val="auto"/>
              </w:rPr>
            </w:pPr>
          </w:p>
        </w:tc>
        <w:tc>
          <w:tcPr>
            <w:tcW w:w="9720" w:type="dxa"/>
            <w:vAlign w:val="bottom"/>
            <w:gridSpan w:val="38"/>
          </w:tcPr>
          <w:p>
            <w:pPr>
              <w:spacing w:after="0" w:line="169" w:lineRule="exact"/>
              <w:rPr>
                <w:rFonts w:ascii="Arial" w:cs="Arial" w:eastAsia="Arial" w:hAnsi="Arial"/>
                <w:sz w:val="17"/>
                <w:szCs w:val="17"/>
                <w:color w:val="0000FF"/>
              </w:rPr>
            </w:pPr>
            <w:hyperlink r:id="rId174">
              <w:r>
                <w:rPr>
                  <w:rFonts w:ascii="Arial" w:cs="Arial" w:eastAsia="Arial" w:hAnsi="Arial"/>
                  <w:sz w:val="17"/>
                  <w:szCs w:val="17"/>
                  <w:color w:val="0000FF"/>
                </w:rPr>
                <w:t>1/A (File No. 333- 257444) filed with the SEC on July 16, 2021)</w:t>
              </w:r>
            </w:hyperlink>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gridSpan w:val="5"/>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80" w:type="dxa"/>
            <w:vAlign w:val="bottom"/>
            <w:gridSpan w:val="41"/>
          </w:tcPr>
          <w:p>
            <w:pPr>
              <w:spacing w:after="0" w:line="183" w:lineRule="exact"/>
              <w:rPr>
                <w:rFonts w:ascii="Arial" w:cs="Arial" w:eastAsia="Arial" w:hAnsi="Arial"/>
                <w:sz w:val="17"/>
                <w:szCs w:val="17"/>
                <w:color w:val="0000FF"/>
              </w:rPr>
            </w:pPr>
            <w:hyperlink r:id="rId175">
              <w:r>
                <w:rPr>
                  <w:rFonts w:ascii="Arial" w:cs="Arial" w:eastAsia="Arial" w:hAnsi="Arial"/>
                  <w:sz w:val="17"/>
                  <w:szCs w:val="17"/>
                  <w:color w:val="0000FF"/>
                </w:rPr>
                <w:t>Employment Agreement by and between Advantagene, Inc. d/b/a Candel Therapeutics and Paul Peter Tak, M.D., Ph.D. dated</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540" w:type="dxa"/>
            <w:vAlign w:val="bottom"/>
            <w:tcBorders>
              <w:top w:val="single" w:sz="8" w:color="0000FF"/>
              <w:bottom w:val="single" w:sz="8" w:color="0000FF"/>
            </w:tcBorders>
            <w:gridSpan w:val="31"/>
          </w:tcPr>
          <w:p>
            <w:pPr>
              <w:spacing w:after="0" w:line="169" w:lineRule="exact"/>
              <w:rPr>
                <w:rFonts w:ascii="Arial" w:cs="Arial" w:eastAsia="Arial" w:hAnsi="Arial"/>
                <w:sz w:val="17"/>
                <w:szCs w:val="17"/>
                <w:color w:val="0000FF"/>
                <w:w w:val="99"/>
              </w:rPr>
            </w:pPr>
            <w:hyperlink r:id="rId175">
              <w:r>
                <w:rPr>
                  <w:rFonts w:ascii="Arial" w:cs="Arial" w:eastAsia="Arial" w:hAnsi="Arial"/>
                  <w:sz w:val="17"/>
                  <w:szCs w:val="17"/>
                  <w:color w:val="0000FF"/>
                  <w:w w:val="99"/>
                </w:rPr>
                <w:t>September 12, 2020 (incorporated by reference to Exhibit 10.5.1 to the Registrant’s Registration Statement on Form S-1/A (File</w:t>
              </w:r>
            </w:hyperlink>
          </w:p>
        </w:tc>
        <w:tc>
          <w:tcPr>
            <w:tcW w:w="140" w:type="dxa"/>
            <w:vAlign w:val="bottom"/>
            <w:tcBorders>
              <w:bottom w:val="single" w:sz="8" w:color="0000FF"/>
            </w:tcBorders>
            <w:gridSpan w:val="6"/>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10.6#</w:t>
            </w:r>
          </w:p>
        </w:tc>
        <w:tc>
          <w:tcPr>
            <w:tcW w:w="260" w:type="dxa"/>
            <w:vAlign w:val="bottom"/>
          </w:tcPr>
          <w:p>
            <w:pPr>
              <w:spacing w:after="0"/>
              <w:rPr>
                <w:sz w:val="14"/>
                <w:szCs w:val="14"/>
                <w:color w:val="auto"/>
              </w:rPr>
            </w:pPr>
          </w:p>
        </w:tc>
        <w:tc>
          <w:tcPr>
            <w:tcW w:w="4080" w:type="dxa"/>
            <w:vAlign w:val="bottom"/>
            <w:tcBorders>
              <w:bottom w:val="single" w:sz="8" w:color="0000FF"/>
            </w:tcBorders>
            <w:gridSpan w:val="5"/>
          </w:tcPr>
          <w:p>
            <w:pPr>
              <w:spacing w:after="0" w:line="169" w:lineRule="exact"/>
              <w:rPr>
                <w:rFonts w:ascii="Arial" w:cs="Arial" w:eastAsia="Arial" w:hAnsi="Arial"/>
                <w:sz w:val="17"/>
                <w:szCs w:val="17"/>
                <w:color w:val="0000FF"/>
                <w:w w:val="99"/>
              </w:rPr>
            </w:pPr>
            <w:hyperlink r:id="rId175">
              <w:r>
                <w:rPr>
                  <w:rFonts w:ascii="Arial" w:cs="Arial" w:eastAsia="Arial" w:hAnsi="Arial"/>
                  <w:sz w:val="17"/>
                  <w:szCs w:val="17"/>
                  <w:color w:val="0000FF"/>
                  <w:w w:val="99"/>
                </w:rPr>
                <w:t>No. 333- 257444) filed with the SEC on July 16, 2021)</w:t>
              </w:r>
            </w:hyperlink>
          </w:p>
        </w:tc>
        <w:tc>
          <w:tcPr>
            <w:tcW w:w="20" w:type="dxa"/>
            <w:vAlign w:val="bottom"/>
            <w:tcBorders>
              <w:bottom w:val="single" w:sz="8" w:color="0000EE"/>
            </w:tcBorders>
          </w:tcPr>
          <w:p>
            <w:pPr>
              <w:spacing w:after="0"/>
              <w:rPr>
                <w:sz w:val="14"/>
                <w:szCs w:val="14"/>
                <w:color w:val="auto"/>
              </w:rPr>
            </w:pPr>
          </w:p>
        </w:tc>
        <w:tc>
          <w:tcPr>
            <w:tcW w:w="5620" w:type="dxa"/>
            <w:vAlign w:val="bottom"/>
            <w:gridSpan w:val="3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80" w:type="dxa"/>
            <w:vAlign w:val="bottom"/>
            <w:gridSpan w:val="41"/>
          </w:tcPr>
          <w:p>
            <w:pPr>
              <w:spacing w:after="0" w:line="183" w:lineRule="exact"/>
              <w:rPr>
                <w:rFonts w:ascii="Arial" w:cs="Arial" w:eastAsia="Arial" w:hAnsi="Arial"/>
                <w:sz w:val="17"/>
                <w:szCs w:val="17"/>
                <w:color w:val="0000FF"/>
              </w:rPr>
            </w:pPr>
            <w:hyperlink r:id="rId176">
              <w:r>
                <w:rPr>
                  <w:rFonts w:ascii="Arial" w:cs="Arial" w:eastAsia="Arial" w:hAnsi="Arial"/>
                  <w:sz w:val="17"/>
                  <w:szCs w:val="17"/>
                  <w:color w:val="0000FF"/>
                </w:rPr>
                <w:t>Form of Indemnification Agreement (incorporated by reference to Exhibit 10.6 to the Registrant’s Registration Statement on</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10.7</w:t>
            </w:r>
          </w:p>
        </w:tc>
        <w:tc>
          <w:tcPr>
            <w:tcW w:w="260" w:type="dxa"/>
            <w:vAlign w:val="bottom"/>
          </w:tcPr>
          <w:p>
            <w:pPr>
              <w:spacing w:after="0"/>
              <w:rPr>
                <w:sz w:val="14"/>
                <w:szCs w:val="14"/>
                <w:color w:val="auto"/>
              </w:rPr>
            </w:pPr>
          </w:p>
        </w:tc>
        <w:tc>
          <w:tcPr>
            <w:tcW w:w="5380" w:type="dxa"/>
            <w:vAlign w:val="bottom"/>
            <w:tcBorders>
              <w:top w:val="single" w:sz="8" w:color="0000FF"/>
              <w:bottom w:val="single" w:sz="8" w:color="0000FF"/>
            </w:tcBorders>
            <w:gridSpan w:val="12"/>
          </w:tcPr>
          <w:p>
            <w:pPr>
              <w:spacing w:after="0" w:line="169" w:lineRule="exact"/>
              <w:rPr>
                <w:rFonts w:ascii="Arial" w:cs="Arial" w:eastAsia="Arial" w:hAnsi="Arial"/>
                <w:sz w:val="17"/>
                <w:szCs w:val="17"/>
                <w:color w:val="0000FF"/>
              </w:rPr>
            </w:pPr>
            <w:hyperlink r:id="rId176">
              <w:r>
                <w:rPr>
                  <w:rFonts w:ascii="Arial" w:cs="Arial" w:eastAsia="Arial" w:hAnsi="Arial"/>
                  <w:sz w:val="17"/>
                  <w:szCs w:val="17"/>
                  <w:color w:val="0000FF"/>
                </w:rPr>
                <w:t>Form S-1/A (File No. 333- 257444) filed with the SEC on July 16,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3920" w:type="dxa"/>
            <w:vAlign w:val="bottom"/>
            <w:tcBorders>
              <w:top w:val="single" w:sz="8" w:color="0000FF"/>
            </w:tcBorders>
            <w:gridSpan w:val="12"/>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7"/>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80" w:type="dxa"/>
            <w:vAlign w:val="bottom"/>
            <w:gridSpan w:val="41"/>
          </w:tcPr>
          <w:p>
            <w:pPr>
              <w:spacing w:after="0" w:line="183" w:lineRule="exact"/>
              <w:rPr>
                <w:rFonts w:ascii="Arial" w:cs="Arial" w:eastAsia="Arial" w:hAnsi="Arial"/>
                <w:sz w:val="17"/>
                <w:szCs w:val="17"/>
                <w:color w:val="0000FF"/>
              </w:rPr>
            </w:pPr>
            <w:hyperlink r:id="rId177">
              <w:r>
                <w:rPr>
                  <w:rFonts w:ascii="Arial" w:cs="Arial" w:eastAsia="Arial" w:hAnsi="Arial"/>
                  <w:sz w:val="17"/>
                  <w:szCs w:val="17"/>
                  <w:color w:val="0000FF"/>
                </w:rPr>
                <w:t>Exclusive License Agreement by and between Advantagene, Inc. and Ventagen, LLC dated March 1, 2014 (incorporated by</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20" w:type="dxa"/>
            <w:vAlign w:val="bottom"/>
            <w:tcBorders>
              <w:top w:val="single" w:sz="8" w:color="0000FF"/>
            </w:tcBorders>
            <w:gridSpan w:val="29"/>
          </w:tcPr>
          <w:p>
            <w:pPr>
              <w:spacing w:after="0" w:line="169" w:lineRule="exact"/>
              <w:rPr>
                <w:rFonts w:ascii="Arial" w:cs="Arial" w:eastAsia="Arial" w:hAnsi="Arial"/>
                <w:sz w:val="17"/>
                <w:szCs w:val="17"/>
                <w:color w:val="0000FF"/>
              </w:rPr>
            </w:pPr>
            <w:hyperlink r:id="rId177">
              <w:r>
                <w:rPr>
                  <w:rFonts w:ascii="Arial" w:cs="Arial" w:eastAsia="Arial" w:hAnsi="Arial"/>
                  <w:sz w:val="17"/>
                  <w:szCs w:val="17"/>
                  <w:color w:val="0000FF"/>
                </w:rPr>
                <w:t>reference to Exhibit 10.7 to the Registrant’s Registration Statement on Form S-1/A (File No. 333- 257444) filed with the SEC</w:t>
              </w:r>
            </w:hyperlink>
          </w:p>
        </w:tc>
        <w:tc>
          <w:tcPr>
            <w:tcW w:w="360" w:type="dxa"/>
            <w:vAlign w:val="bottom"/>
            <w:gridSpan w:val="12"/>
          </w:tcPr>
          <w:p>
            <w:pPr>
              <w:spacing w:after="0" w:line="169" w:lineRule="exact"/>
              <w:rPr>
                <w:rFonts w:ascii="Arial" w:cs="Arial" w:eastAsia="Arial" w:hAnsi="Arial"/>
                <w:sz w:val="17"/>
                <w:szCs w:val="17"/>
                <w:color w:val="0000FF"/>
              </w:rPr>
            </w:pPr>
            <w:hyperlink r:id="rId177">
              <w:r>
                <w:rPr>
                  <w:rFonts w:ascii="Arial" w:cs="Arial" w:eastAsia="Arial" w:hAnsi="Arial"/>
                  <w:sz w:val="17"/>
                  <w:szCs w:val="17"/>
                  <w:color w:val="0000FF"/>
                </w:rPr>
                <w:t>on</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10.8</w:t>
            </w:r>
          </w:p>
        </w:tc>
        <w:tc>
          <w:tcPr>
            <w:tcW w:w="260" w:type="dxa"/>
            <w:vAlign w:val="bottom"/>
          </w:tcPr>
          <w:p>
            <w:pPr>
              <w:spacing w:after="0"/>
              <w:rPr>
                <w:sz w:val="14"/>
                <w:szCs w:val="14"/>
                <w:color w:val="auto"/>
              </w:rPr>
            </w:pPr>
          </w:p>
        </w:tc>
        <w:tc>
          <w:tcPr>
            <w:tcW w:w="1060" w:type="dxa"/>
            <w:vAlign w:val="bottom"/>
            <w:tcBorders>
              <w:top w:val="single" w:sz="8" w:color="0000FF"/>
              <w:bottom w:val="single" w:sz="8" w:color="0000FF"/>
            </w:tcBorders>
          </w:tcPr>
          <w:p>
            <w:pPr>
              <w:spacing w:after="0" w:line="169" w:lineRule="exact"/>
              <w:rPr>
                <w:rFonts w:ascii="Arial" w:cs="Arial" w:eastAsia="Arial" w:hAnsi="Arial"/>
                <w:sz w:val="17"/>
                <w:szCs w:val="17"/>
                <w:color w:val="0000FF"/>
                <w:w w:val="97"/>
              </w:rPr>
            </w:pPr>
            <w:hyperlink r:id="rId177">
              <w:r>
                <w:rPr>
                  <w:rFonts w:ascii="Arial" w:cs="Arial" w:eastAsia="Arial" w:hAnsi="Arial"/>
                  <w:sz w:val="17"/>
                  <w:szCs w:val="17"/>
                  <w:color w:val="0000FF"/>
                  <w:w w:val="97"/>
                </w:rPr>
                <w:t>July 16,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8600" w:type="dxa"/>
            <w:vAlign w:val="bottom"/>
            <w:tcBorders>
              <w:top w:val="single" w:sz="8" w:color="0000FF"/>
            </w:tcBorders>
            <w:gridSpan w:val="35"/>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80" w:type="dxa"/>
            <w:vAlign w:val="bottom"/>
            <w:gridSpan w:val="41"/>
          </w:tcPr>
          <w:p>
            <w:pPr>
              <w:spacing w:after="0" w:line="183" w:lineRule="exact"/>
              <w:rPr>
                <w:rFonts w:ascii="Arial" w:cs="Arial" w:eastAsia="Arial" w:hAnsi="Arial"/>
                <w:sz w:val="17"/>
                <w:szCs w:val="17"/>
                <w:color w:val="0000FF"/>
              </w:rPr>
            </w:pPr>
            <w:hyperlink r:id="rId178">
              <w:r>
                <w:rPr>
                  <w:rFonts w:ascii="Arial" w:cs="Arial" w:eastAsia="Arial" w:hAnsi="Arial"/>
                  <w:sz w:val="17"/>
                  <w:szCs w:val="17"/>
                  <w:color w:val="0000FF"/>
                </w:rPr>
                <w:t>Exclusive License Agreement by and between Advantagene, Inc., d/b/a Candel Therapeutics and Periphagen, Inc. dated</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2080" w:type="dxa"/>
            <w:vAlign w:val="bottom"/>
            <w:gridSpan w:val="11"/>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180" w:type="dxa"/>
            <w:vAlign w:val="bottom"/>
            <w:gridSpan w:val="7"/>
            <w:shd w:val="clear" w:color="auto" w:fill="0000FF"/>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780" w:type="dxa"/>
            <w:vAlign w:val="bottom"/>
            <w:gridSpan w:val="41"/>
          </w:tcPr>
          <w:p>
            <w:pPr>
              <w:spacing w:after="0" w:line="169" w:lineRule="exact"/>
              <w:rPr>
                <w:rFonts w:ascii="Arial" w:cs="Arial" w:eastAsia="Arial" w:hAnsi="Arial"/>
                <w:sz w:val="17"/>
                <w:szCs w:val="17"/>
                <w:color w:val="0000FF"/>
              </w:rPr>
            </w:pPr>
            <w:hyperlink r:id="rId178">
              <w:r>
                <w:rPr>
                  <w:rFonts w:ascii="Arial" w:cs="Arial" w:eastAsia="Arial" w:hAnsi="Arial"/>
                  <w:sz w:val="17"/>
                  <w:szCs w:val="17"/>
                  <w:color w:val="0000FF"/>
                </w:rPr>
                <w:t>December 9, 2019 (incorporated by reference to Exhibit 10.8 to the Registrant’s Registration Statement on Form S-1/A (File No.</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10.9</w:t>
            </w:r>
          </w:p>
        </w:tc>
        <w:tc>
          <w:tcPr>
            <w:tcW w:w="260" w:type="dxa"/>
            <w:vAlign w:val="bottom"/>
          </w:tcPr>
          <w:p>
            <w:pPr>
              <w:spacing w:after="0"/>
              <w:rPr>
                <w:sz w:val="14"/>
                <w:szCs w:val="14"/>
                <w:color w:val="auto"/>
              </w:rPr>
            </w:pPr>
          </w:p>
        </w:tc>
        <w:tc>
          <w:tcPr>
            <w:tcW w:w="3760" w:type="dxa"/>
            <w:vAlign w:val="bottom"/>
            <w:tcBorders>
              <w:top w:val="single" w:sz="8" w:color="0000FF"/>
              <w:bottom w:val="single" w:sz="8" w:color="0000FF"/>
            </w:tcBorders>
            <w:gridSpan w:val="4"/>
          </w:tcPr>
          <w:p>
            <w:pPr>
              <w:spacing w:after="0" w:line="169" w:lineRule="exact"/>
              <w:rPr>
                <w:rFonts w:ascii="Arial" w:cs="Arial" w:eastAsia="Arial" w:hAnsi="Arial"/>
                <w:sz w:val="17"/>
                <w:szCs w:val="17"/>
                <w:color w:val="0000FF"/>
                <w:w w:val="99"/>
              </w:rPr>
            </w:pPr>
            <w:hyperlink r:id="rId178">
              <w:r>
                <w:rPr>
                  <w:rFonts w:ascii="Arial" w:cs="Arial" w:eastAsia="Arial" w:hAnsi="Arial"/>
                  <w:sz w:val="17"/>
                  <w:szCs w:val="17"/>
                  <w:color w:val="0000FF"/>
                  <w:w w:val="99"/>
                </w:rPr>
                <w:t>333- 257444) filed with the SEC on July 16, 2021)</w:t>
              </w:r>
            </w:hyperlink>
          </w:p>
        </w:tc>
        <w:tc>
          <w:tcPr>
            <w:tcW w:w="5980" w:type="dxa"/>
            <w:vAlign w:val="bottom"/>
            <w:tcBorders>
              <w:top w:val="single" w:sz="8" w:color="0000FF"/>
            </w:tcBorders>
            <w:gridSpan w:val="35"/>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80" w:type="dxa"/>
            <w:vAlign w:val="bottom"/>
            <w:gridSpan w:val="41"/>
          </w:tcPr>
          <w:p>
            <w:pPr>
              <w:spacing w:after="0" w:line="183" w:lineRule="exact"/>
              <w:rPr>
                <w:rFonts w:ascii="Arial" w:cs="Arial" w:eastAsia="Arial" w:hAnsi="Arial"/>
                <w:sz w:val="17"/>
                <w:szCs w:val="17"/>
                <w:color w:val="0000FF"/>
              </w:rPr>
            </w:pPr>
            <w:hyperlink r:id="rId179">
              <w:r>
                <w:rPr>
                  <w:rFonts w:ascii="Arial" w:cs="Arial" w:eastAsia="Arial" w:hAnsi="Arial"/>
                  <w:sz w:val="17"/>
                  <w:szCs w:val="17"/>
                  <w:color w:val="0000FF"/>
                </w:rPr>
                <w:t>Exclusive Patent License Agreement by and between Advantagene, Inc. and Mass General Brigham (formerly known as The</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980" w:type="dxa"/>
            <w:vAlign w:val="bottom"/>
            <w:tcBorders>
              <w:top w:val="single" w:sz="8" w:color="0000FF"/>
              <w:bottom w:val="single" w:sz="8" w:color="0000EE"/>
            </w:tcBorders>
            <w:gridSpan w:val="16"/>
          </w:tcPr>
          <w:p>
            <w:pPr>
              <w:spacing w:after="0" w:line="169" w:lineRule="exact"/>
              <w:rPr>
                <w:rFonts w:ascii="Arial" w:cs="Arial" w:eastAsia="Arial" w:hAnsi="Arial"/>
                <w:sz w:val="17"/>
                <w:szCs w:val="17"/>
                <w:color w:val="0000FF"/>
              </w:rPr>
            </w:pPr>
            <w:hyperlink r:id="rId179">
              <w:r>
                <w:rPr>
                  <w:rFonts w:ascii="Arial" w:cs="Arial" w:eastAsia="Arial" w:hAnsi="Arial"/>
                  <w:sz w:val="17"/>
                  <w:szCs w:val="17"/>
                  <w:color w:val="0000FF"/>
                </w:rPr>
                <w:t>Brigham and Women’s Hospital, Inc.) dated September 15, 2020 (incorporated</w:t>
              </w:r>
            </w:hyperlink>
          </w:p>
        </w:tc>
        <w:tc>
          <w:tcPr>
            <w:tcW w:w="3480" w:type="dxa"/>
            <w:vAlign w:val="bottom"/>
            <w:tcBorders>
              <w:top w:val="single" w:sz="8" w:color="0000FF"/>
            </w:tcBorders>
            <w:gridSpan w:val="14"/>
          </w:tcPr>
          <w:p>
            <w:pPr>
              <w:spacing w:after="0"/>
              <w:rPr>
                <w:sz w:val="14"/>
                <w:szCs w:val="14"/>
                <w:color w:val="auto"/>
              </w:rPr>
            </w:pPr>
          </w:p>
        </w:tc>
        <w:tc>
          <w:tcPr>
            <w:tcW w:w="3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1260" w:type="dxa"/>
            <w:vAlign w:val="bottom"/>
          </w:tcPr>
          <w:p>
            <w:pPr>
              <w:spacing w:after="0"/>
              <w:rPr>
                <w:sz w:val="24"/>
                <w:szCs w:val="24"/>
                <w:color w:val="auto"/>
              </w:rPr>
            </w:pPr>
          </w:p>
        </w:tc>
        <w:tc>
          <w:tcPr>
            <w:tcW w:w="4520" w:type="dxa"/>
            <w:vAlign w:val="bottom"/>
            <w:gridSpan w:val="8"/>
          </w:tcPr>
          <w:p>
            <w:pPr>
              <w:jc w:val="right"/>
              <w:ind w:right="20"/>
              <w:spacing w:after="0"/>
              <w:rPr>
                <w:sz w:val="20"/>
                <w:szCs w:val="20"/>
                <w:color w:val="auto"/>
              </w:rPr>
            </w:pPr>
            <w:r>
              <w:rPr>
                <w:rFonts w:ascii="Arial" w:cs="Arial" w:eastAsia="Arial" w:hAnsi="Arial"/>
                <w:sz w:val="17"/>
                <w:szCs w:val="17"/>
                <w:color w:val="auto"/>
              </w:rPr>
              <w:t>117</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0" w:name="page121"/>
    <w:bookmarkEnd w:id="120"/>
    <w:tbl>
      <w:tblPr>
        <w:tblLayout w:type="fixed"/>
        <w:tblInd w:w="20" w:type="dxa"/>
        <w:tblCellMar>
          <w:top w:w="0" w:type="dxa"/>
          <w:left w:w="0" w:type="dxa"/>
          <w:bottom w:w="0" w:type="dxa"/>
          <w:right w:w="0" w:type="dxa"/>
        </w:tblCellMar>
      </w:tblPr>
      <w:tr>
        <w:trPr>
          <w:trHeight w:val="195"/>
        </w:trPr>
        <w:tc>
          <w:tcPr>
            <w:tcW w:w="1480" w:type="dxa"/>
            <w:vAlign w:val="bottom"/>
          </w:tcPr>
          <w:p>
            <w:pPr>
              <w:spacing w:after="0"/>
              <w:rPr>
                <w:sz w:val="16"/>
                <w:szCs w:val="16"/>
                <w:color w:val="auto"/>
              </w:rPr>
            </w:pPr>
          </w:p>
        </w:tc>
        <w:tc>
          <w:tcPr>
            <w:tcW w:w="9720" w:type="dxa"/>
            <w:vAlign w:val="bottom"/>
            <w:gridSpan w:val="34"/>
          </w:tcPr>
          <w:p>
            <w:pPr>
              <w:spacing w:after="0"/>
              <w:rPr>
                <w:rFonts w:ascii="Arial" w:cs="Arial" w:eastAsia="Arial" w:hAnsi="Arial"/>
                <w:sz w:val="17"/>
                <w:szCs w:val="17"/>
                <w:color w:val="0000FF"/>
              </w:rPr>
            </w:pPr>
            <w:hyperlink r:id="rId179">
              <w:r>
                <w:rPr>
                  <w:rFonts w:ascii="Arial" w:cs="Arial" w:eastAsia="Arial" w:hAnsi="Arial"/>
                  <w:sz w:val="17"/>
                  <w:szCs w:val="17"/>
                  <w:color w:val="0000FF"/>
                </w:rPr>
                <w:t>by reference to Exhibit 10.9 to the Registrant’s Registration Statement on Form S-1/A (File No. 333- 257444) filed with the SEC</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10.10</w:t>
            </w:r>
          </w:p>
        </w:tc>
        <w:tc>
          <w:tcPr>
            <w:tcW w:w="20" w:type="dxa"/>
            <w:vAlign w:val="bottom"/>
            <w:tcBorders>
              <w:bottom w:val="single" w:sz="8" w:color="0000EE"/>
            </w:tcBorders>
          </w:tcPr>
          <w:p>
            <w:pPr>
              <w:spacing w:after="0"/>
              <w:rPr>
                <w:sz w:val="14"/>
                <w:szCs w:val="14"/>
                <w:color w:val="auto"/>
              </w:rPr>
            </w:pPr>
          </w:p>
        </w:tc>
        <w:tc>
          <w:tcPr>
            <w:tcW w:w="1300" w:type="dxa"/>
            <w:vAlign w:val="bottom"/>
            <w:tcBorders>
              <w:top w:val="single" w:sz="8" w:color="0000FF"/>
              <w:bottom w:val="single" w:sz="8" w:color="0000FF"/>
            </w:tcBorders>
            <w:gridSpan w:val="3"/>
          </w:tcPr>
          <w:p>
            <w:pPr>
              <w:spacing w:after="0" w:line="169" w:lineRule="exact"/>
              <w:rPr>
                <w:rFonts w:ascii="Arial" w:cs="Arial" w:eastAsia="Arial" w:hAnsi="Arial"/>
                <w:sz w:val="17"/>
                <w:szCs w:val="17"/>
                <w:color w:val="0000FF"/>
                <w:w w:val="98"/>
              </w:rPr>
            </w:pPr>
            <w:hyperlink r:id="rId179">
              <w:r>
                <w:rPr>
                  <w:rFonts w:ascii="Arial" w:cs="Arial" w:eastAsia="Arial" w:hAnsi="Arial"/>
                  <w:sz w:val="17"/>
                  <w:szCs w:val="17"/>
                  <w:color w:val="0000FF"/>
                  <w:w w:val="98"/>
                </w:rPr>
                <w:t>on July 16,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8340" w:type="dxa"/>
            <w:vAlign w:val="bottom"/>
            <w:tcBorders>
              <w:top w:val="single" w:sz="8" w:color="0000FF"/>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20" w:type="dxa"/>
            <w:vAlign w:val="bottom"/>
            <w:gridSpan w:val="34"/>
          </w:tcPr>
          <w:p>
            <w:pPr>
              <w:spacing w:after="0" w:line="183" w:lineRule="exact"/>
              <w:rPr>
                <w:rFonts w:ascii="Arial" w:cs="Arial" w:eastAsia="Arial" w:hAnsi="Arial"/>
                <w:sz w:val="17"/>
                <w:szCs w:val="17"/>
                <w:color w:val="0000FF"/>
              </w:rPr>
            </w:pPr>
            <w:hyperlink r:id="rId182">
              <w:r>
                <w:rPr>
                  <w:rFonts w:ascii="Arial" w:cs="Arial" w:eastAsia="Arial" w:hAnsi="Arial"/>
                  <w:sz w:val="17"/>
                  <w:szCs w:val="17"/>
                  <w:color w:val="0000FF"/>
                </w:rPr>
                <w:t>Lease of Premises at 117 Kendrick Street, Needham, Massachusetts by and between 117 Kendrick DE, LLC and the Registrant</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580" w:type="dxa"/>
            <w:vAlign w:val="bottom"/>
            <w:tcBorders>
              <w:top w:val="single" w:sz="8" w:color="0000FF"/>
              <w:bottom w:val="single" w:sz="8" w:color="0000FF"/>
            </w:tcBorders>
            <w:gridSpan w:val="27"/>
          </w:tcPr>
          <w:p>
            <w:pPr>
              <w:spacing w:after="0" w:line="169" w:lineRule="exact"/>
              <w:rPr>
                <w:rFonts w:ascii="Arial" w:cs="Arial" w:eastAsia="Arial" w:hAnsi="Arial"/>
                <w:sz w:val="17"/>
                <w:szCs w:val="17"/>
                <w:color w:val="0000FF"/>
              </w:rPr>
            </w:pPr>
            <w:hyperlink r:id="rId182">
              <w:r>
                <w:rPr>
                  <w:rFonts w:ascii="Arial" w:cs="Arial" w:eastAsia="Arial" w:hAnsi="Arial"/>
                  <w:sz w:val="17"/>
                  <w:szCs w:val="17"/>
                  <w:color w:val="0000FF"/>
                </w:rPr>
                <w:t>dated as of February 4, 2019 (incorporated by reference to Exhibit 10.10 to the Registrant’s Registration Statement on Form S-</w:t>
              </w:r>
            </w:hyperlink>
          </w:p>
        </w:tc>
        <w:tc>
          <w:tcPr>
            <w:tcW w:w="10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10.11</w:t>
            </w:r>
          </w:p>
        </w:tc>
        <w:tc>
          <w:tcPr>
            <w:tcW w:w="9600" w:type="dxa"/>
            <w:vAlign w:val="bottom"/>
            <w:gridSpan w:val="28"/>
          </w:tcPr>
          <w:p>
            <w:pPr>
              <w:spacing w:after="0" w:line="169" w:lineRule="exact"/>
              <w:rPr>
                <w:rFonts w:ascii="Arial" w:cs="Arial" w:eastAsia="Arial" w:hAnsi="Arial"/>
                <w:sz w:val="17"/>
                <w:szCs w:val="17"/>
                <w:color w:val="0000FF"/>
              </w:rPr>
            </w:pPr>
            <w:hyperlink r:id="rId182">
              <w:r>
                <w:rPr>
                  <w:rFonts w:ascii="Arial" w:cs="Arial" w:eastAsia="Arial" w:hAnsi="Arial"/>
                  <w:sz w:val="17"/>
                  <w:szCs w:val="17"/>
                  <w:color w:val="0000FF"/>
                </w:rPr>
                <w:t>1/A (File No. 333- 257444) filed with the SEC on July 16,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20" w:type="dxa"/>
            <w:vAlign w:val="bottom"/>
            <w:gridSpan w:val="34"/>
          </w:tcPr>
          <w:p>
            <w:pPr>
              <w:spacing w:after="0" w:line="183" w:lineRule="exact"/>
              <w:rPr>
                <w:rFonts w:ascii="Arial" w:cs="Arial" w:eastAsia="Arial" w:hAnsi="Arial"/>
                <w:sz w:val="17"/>
                <w:szCs w:val="17"/>
                <w:color w:val="0000FF"/>
              </w:rPr>
            </w:pPr>
            <w:hyperlink r:id="rId183">
              <w:r>
                <w:rPr>
                  <w:rFonts w:ascii="Arial" w:cs="Arial" w:eastAsia="Arial" w:hAnsi="Arial"/>
                  <w:sz w:val="17"/>
                  <w:szCs w:val="17"/>
                  <w:color w:val="0000FF"/>
                </w:rPr>
                <w:t>Loan and Security Agreement by and between the Registrant and Silicon Valley Bank, dated February 24, 2022 (incorporated by</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10.12#</w:t>
            </w:r>
          </w:p>
        </w:tc>
        <w:tc>
          <w:tcPr>
            <w:tcW w:w="20" w:type="dxa"/>
            <w:vAlign w:val="bottom"/>
            <w:tcBorders>
              <w:bottom w:val="single" w:sz="8" w:color="0000FF"/>
            </w:tcBorders>
          </w:tcPr>
          <w:p>
            <w:pPr>
              <w:spacing w:after="0"/>
              <w:rPr>
                <w:sz w:val="14"/>
                <w:szCs w:val="14"/>
                <w:color w:val="auto"/>
              </w:rPr>
            </w:pPr>
          </w:p>
        </w:tc>
        <w:tc>
          <w:tcPr>
            <w:tcW w:w="8540" w:type="dxa"/>
            <w:vAlign w:val="bottom"/>
            <w:tcBorders>
              <w:top w:val="single" w:sz="8" w:color="0000FF"/>
              <w:bottom w:val="single" w:sz="8" w:color="0000EE"/>
            </w:tcBorders>
            <w:gridSpan w:val="15"/>
          </w:tcPr>
          <w:p>
            <w:pPr>
              <w:spacing w:after="0" w:line="169" w:lineRule="exact"/>
              <w:rPr>
                <w:rFonts w:ascii="Arial" w:cs="Arial" w:eastAsia="Arial" w:hAnsi="Arial"/>
                <w:sz w:val="17"/>
                <w:szCs w:val="17"/>
                <w:color w:val="0000FF"/>
              </w:rPr>
            </w:pPr>
            <w:hyperlink r:id="rId183">
              <w:r>
                <w:rPr>
                  <w:rFonts w:ascii="Arial" w:cs="Arial" w:eastAsia="Arial" w:hAnsi="Arial"/>
                  <w:sz w:val="17"/>
                  <w:szCs w:val="17"/>
                  <w:color w:val="0000FF"/>
                </w:rPr>
                <w:t>reference to Exhibit 10.11 to the Registrant's Annual Report on Form 10-K filed with the SEC on March 29, 2022)</w:t>
              </w:r>
            </w:hyperlink>
          </w:p>
        </w:tc>
        <w:tc>
          <w:tcPr>
            <w:tcW w:w="1160" w:type="dxa"/>
            <w:vAlign w:val="bottom"/>
            <w:tcBorders>
              <w:top w:val="single" w:sz="8" w:color="0000FF"/>
            </w:tcBorders>
            <w:gridSpan w:val="18"/>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20" w:type="dxa"/>
            <w:vAlign w:val="bottom"/>
            <w:gridSpan w:val="34"/>
          </w:tcPr>
          <w:p>
            <w:pPr>
              <w:spacing w:after="0" w:line="183" w:lineRule="exact"/>
              <w:rPr>
                <w:rFonts w:ascii="Arial" w:cs="Arial" w:eastAsia="Arial" w:hAnsi="Arial"/>
                <w:sz w:val="17"/>
                <w:szCs w:val="17"/>
                <w:color w:val="0000FF"/>
              </w:rPr>
            </w:pPr>
            <w:hyperlink r:id="rId184">
              <w:r>
                <w:rPr>
                  <w:rFonts w:ascii="Arial" w:cs="Arial" w:eastAsia="Arial" w:hAnsi="Arial"/>
                  <w:sz w:val="17"/>
                  <w:szCs w:val="17"/>
                  <w:color w:val="0000FF"/>
                </w:rPr>
                <w:t>Employment Agreement by and between Candel Therapeutics and Francesca Barone dated February 3, 2022 (incorporated by</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10.13#</w:t>
            </w:r>
          </w:p>
        </w:tc>
        <w:tc>
          <w:tcPr>
            <w:tcW w:w="20" w:type="dxa"/>
            <w:vAlign w:val="bottom"/>
          </w:tcPr>
          <w:p>
            <w:pPr>
              <w:spacing w:after="0"/>
              <w:rPr>
                <w:sz w:val="14"/>
                <w:szCs w:val="14"/>
                <w:color w:val="auto"/>
              </w:rPr>
            </w:pPr>
          </w:p>
        </w:tc>
        <w:tc>
          <w:tcPr>
            <w:tcW w:w="9640" w:type="dxa"/>
            <w:vAlign w:val="bottom"/>
            <w:tcBorders>
              <w:top w:val="single" w:sz="8" w:color="0000FF"/>
            </w:tcBorders>
            <w:gridSpan w:val="30"/>
          </w:tcPr>
          <w:p>
            <w:pPr>
              <w:spacing w:after="0" w:line="169" w:lineRule="exact"/>
              <w:rPr>
                <w:rFonts w:ascii="Arial" w:cs="Arial" w:eastAsia="Arial" w:hAnsi="Arial"/>
                <w:sz w:val="17"/>
                <w:szCs w:val="17"/>
                <w:color w:val="0000FF"/>
              </w:rPr>
            </w:pPr>
            <w:hyperlink r:id="rId184">
              <w:r>
                <w:rPr>
                  <w:rFonts w:ascii="Arial" w:cs="Arial" w:eastAsia="Arial" w:hAnsi="Arial"/>
                  <w:sz w:val="17"/>
                  <w:szCs w:val="17"/>
                  <w:color w:val="0000FF"/>
                </w:rPr>
                <w:t>reference to Exhibit 10.12 to the Registrant's Annual Report on Form 10-K filed with the SEC on March 29, 2022)</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20" w:type="dxa"/>
            <w:vAlign w:val="bottom"/>
            <w:gridSpan w:val="34"/>
          </w:tcPr>
          <w:p>
            <w:pPr>
              <w:spacing w:after="0" w:line="183" w:lineRule="exact"/>
              <w:rPr>
                <w:rFonts w:ascii="Arial" w:cs="Arial" w:eastAsia="Arial" w:hAnsi="Arial"/>
                <w:sz w:val="17"/>
                <w:szCs w:val="17"/>
                <w:color w:val="0000FF"/>
              </w:rPr>
            </w:pPr>
            <w:hyperlink r:id="rId185">
              <w:r>
                <w:rPr>
                  <w:rFonts w:ascii="Arial" w:cs="Arial" w:eastAsia="Arial" w:hAnsi="Arial"/>
                  <w:sz w:val="17"/>
                  <w:szCs w:val="17"/>
                  <w:color w:val="0000FF"/>
                </w:rPr>
                <w:t>Consulting Agreement by and between Candel Therapeutics, Inc. and Susan Stewart dated October 19, 2021 (incorporated by</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10.14#</w:t>
            </w:r>
          </w:p>
        </w:tc>
        <w:tc>
          <w:tcPr>
            <w:tcW w:w="20" w:type="dxa"/>
            <w:vAlign w:val="bottom"/>
          </w:tcPr>
          <w:p>
            <w:pPr>
              <w:spacing w:after="0"/>
              <w:rPr>
                <w:sz w:val="14"/>
                <w:szCs w:val="14"/>
                <w:color w:val="auto"/>
              </w:rPr>
            </w:pPr>
          </w:p>
        </w:tc>
        <w:tc>
          <w:tcPr>
            <w:tcW w:w="9620" w:type="dxa"/>
            <w:vAlign w:val="bottom"/>
            <w:tcBorders>
              <w:top w:val="single" w:sz="8" w:color="0000FF"/>
            </w:tcBorders>
            <w:gridSpan w:val="29"/>
          </w:tcPr>
          <w:p>
            <w:pPr>
              <w:spacing w:after="0" w:line="169" w:lineRule="exact"/>
              <w:rPr>
                <w:rFonts w:ascii="Arial" w:cs="Arial" w:eastAsia="Arial" w:hAnsi="Arial"/>
                <w:sz w:val="17"/>
                <w:szCs w:val="17"/>
                <w:color w:val="0000FF"/>
              </w:rPr>
            </w:pPr>
            <w:hyperlink r:id="rId185">
              <w:r>
                <w:rPr>
                  <w:rFonts w:ascii="Arial" w:cs="Arial" w:eastAsia="Arial" w:hAnsi="Arial"/>
                  <w:sz w:val="17"/>
                  <w:szCs w:val="17"/>
                  <w:color w:val="0000FF"/>
                </w:rPr>
                <w:t>reference to Exhibit 10.13 to the Registrant's Annual Report on Form 10-K filed with the SEC on March 29, 2022)</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20" w:type="dxa"/>
            <w:vAlign w:val="bottom"/>
            <w:gridSpan w:val="34"/>
          </w:tcPr>
          <w:p>
            <w:pPr>
              <w:spacing w:after="0" w:line="183" w:lineRule="exact"/>
              <w:rPr>
                <w:rFonts w:ascii="Arial" w:cs="Arial" w:eastAsia="Arial" w:hAnsi="Arial"/>
                <w:sz w:val="17"/>
                <w:szCs w:val="17"/>
                <w:color w:val="0000FF"/>
              </w:rPr>
            </w:pPr>
            <w:hyperlink r:id="rId186">
              <w:r>
                <w:rPr>
                  <w:rFonts w:ascii="Arial" w:cs="Arial" w:eastAsia="Arial" w:hAnsi="Arial"/>
                  <w:sz w:val="17"/>
                  <w:szCs w:val="17"/>
                  <w:color w:val="0000FF"/>
                </w:rPr>
                <w:t>Employment Agreement by and between Candel Therapeutics and Seshu Tyagarajan dated April 14, 2022 (incorporated by</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10.15#</w:t>
            </w:r>
          </w:p>
        </w:tc>
        <w:tc>
          <w:tcPr>
            <w:tcW w:w="20" w:type="dxa"/>
            <w:vAlign w:val="bottom"/>
            <w:tcBorders>
              <w:bottom w:val="single" w:sz="8" w:color="0000FF"/>
            </w:tcBorders>
          </w:tcPr>
          <w:p>
            <w:pPr>
              <w:spacing w:after="0"/>
              <w:rPr>
                <w:sz w:val="14"/>
                <w:szCs w:val="14"/>
                <w:color w:val="auto"/>
              </w:rPr>
            </w:pPr>
          </w:p>
        </w:tc>
        <w:tc>
          <w:tcPr>
            <w:tcW w:w="8520" w:type="dxa"/>
            <w:vAlign w:val="bottom"/>
            <w:tcBorders>
              <w:top w:val="single" w:sz="8" w:color="0000FF"/>
              <w:bottom w:val="single" w:sz="8" w:color="0000EE"/>
            </w:tcBorders>
            <w:gridSpan w:val="14"/>
          </w:tcPr>
          <w:p>
            <w:pPr>
              <w:spacing w:after="0" w:line="169" w:lineRule="exact"/>
              <w:rPr>
                <w:rFonts w:ascii="Arial" w:cs="Arial" w:eastAsia="Arial" w:hAnsi="Arial"/>
                <w:sz w:val="17"/>
                <w:szCs w:val="17"/>
                <w:color w:val="0000FF"/>
              </w:rPr>
            </w:pPr>
            <w:hyperlink r:id="rId186">
              <w:r>
                <w:rPr>
                  <w:rFonts w:ascii="Arial" w:cs="Arial" w:eastAsia="Arial" w:hAnsi="Arial"/>
                  <w:sz w:val="17"/>
                  <w:szCs w:val="17"/>
                  <w:color w:val="0000FF"/>
                </w:rPr>
                <w:t>reference to Exhibit 10.8 to the Registrant’s Quarterly Report on Form 10-Q filed with the SEC on May 12, 2022)</w:t>
              </w:r>
            </w:hyperlink>
          </w:p>
        </w:tc>
        <w:tc>
          <w:tcPr>
            <w:tcW w:w="84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20" w:type="dxa"/>
            <w:vAlign w:val="bottom"/>
            <w:gridSpan w:val="34"/>
          </w:tcPr>
          <w:p>
            <w:pPr>
              <w:spacing w:after="0" w:line="183" w:lineRule="exact"/>
              <w:rPr>
                <w:rFonts w:ascii="Arial" w:cs="Arial" w:eastAsia="Arial" w:hAnsi="Arial"/>
                <w:sz w:val="17"/>
                <w:szCs w:val="17"/>
                <w:color w:val="0000FF"/>
              </w:rPr>
            </w:pPr>
            <w:hyperlink r:id="rId187">
              <w:r>
                <w:rPr>
                  <w:rFonts w:ascii="Arial" w:cs="Arial" w:eastAsia="Arial" w:hAnsi="Arial"/>
                  <w:sz w:val="17"/>
                  <w:szCs w:val="17"/>
                  <w:color w:val="0000FF"/>
                </w:rPr>
                <w:t>Employment Agreement by and between Candel Therapeutics and Jason A. Amello dated September 21, 2022 (incorporated by</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10.16**</w:t>
            </w:r>
          </w:p>
        </w:tc>
        <w:tc>
          <w:tcPr>
            <w:tcW w:w="20" w:type="dxa"/>
            <w:vAlign w:val="bottom"/>
            <w:tcBorders>
              <w:bottom w:val="single" w:sz="8" w:color="0000EE"/>
            </w:tcBorders>
          </w:tcPr>
          <w:p>
            <w:pPr>
              <w:spacing w:after="0"/>
              <w:rPr>
                <w:sz w:val="14"/>
                <w:szCs w:val="14"/>
                <w:color w:val="auto"/>
              </w:rPr>
            </w:pPr>
          </w:p>
        </w:tc>
        <w:tc>
          <w:tcPr>
            <w:tcW w:w="8920" w:type="dxa"/>
            <w:vAlign w:val="bottom"/>
            <w:tcBorders>
              <w:top w:val="single" w:sz="8" w:color="0000FF"/>
              <w:bottom w:val="single" w:sz="8" w:color="0000FF"/>
            </w:tcBorders>
            <w:gridSpan w:val="16"/>
          </w:tcPr>
          <w:p>
            <w:pPr>
              <w:spacing w:after="0" w:line="169" w:lineRule="exact"/>
              <w:rPr>
                <w:rFonts w:ascii="Arial" w:cs="Arial" w:eastAsia="Arial" w:hAnsi="Arial"/>
                <w:sz w:val="17"/>
                <w:szCs w:val="17"/>
                <w:color w:val="0000FF"/>
              </w:rPr>
            </w:pPr>
            <w:hyperlink r:id="rId187">
              <w:r>
                <w:rPr>
                  <w:rFonts w:ascii="Arial" w:cs="Arial" w:eastAsia="Arial" w:hAnsi="Arial"/>
                  <w:sz w:val="17"/>
                  <w:szCs w:val="17"/>
                  <w:color w:val="0000FF"/>
                </w:rPr>
                <w:t>reference to Exhibit 10.1 to the Registrant’s Quarterly Report on Form 10-Q filed with the SEC on November 10, 2022)</w:t>
              </w:r>
            </w:hyperlink>
          </w:p>
        </w:tc>
        <w:tc>
          <w:tcPr>
            <w:tcW w:w="20" w:type="dxa"/>
            <w:vAlign w:val="bottom"/>
            <w:tcBorders>
              <w:top w:val="single" w:sz="8" w:color="0000FF"/>
              <w:bottom w:val="single" w:sz="8" w:color="0000EE"/>
            </w:tcBorders>
          </w:tcPr>
          <w:p>
            <w:pPr>
              <w:spacing w:after="0"/>
              <w:rPr>
                <w:sz w:val="14"/>
                <w:szCs w:val="14"/>
                <w:color w:val="auto"/>
              </w:rPr>
            </w:pPr>
          </w:p>
        </w:tc>
        <w:tc>
          <w:tcPr>
            <w:tcW w:w="760" w:type="dxa"/>
            <w:vAlign w:val="bottom"/>
            <w:tcBorders>
              <w:top w:val="single" w:sz="8" w:color="0000FF"/>
            </w:tcBorders>
            <w:gridSpan w:val="16"/>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20" w:type="dxa"/>
            <w:vAlign w:val="bottom"/>
            <w:gridSpan w:val="34"/>
          </w:tcPr>
          <w:p>
            <w:pPr>
              <w:spacing w:after="0" w:line="183" w:lineRule="exact"/>
              <w:rPr>
                <w:rFonts w:ascii="Arial" w:cs="Arial" w:eastAsia="Arial" w:hAnsi="Arial"/>
                <w:sz w:val="17"/>
                <w:szCs w:val="17"/>
                <w:color w:val="0000FF"/>
              </w:rPr>
            </w:pPr>
            <w:hyperlink r:id="rId188">
              <w:r>
                <w:rPr>
                  <w:rFonts w:ascii="Arial" w:cs="Arial" w:eastAsia="Arial" w:hAnsi="Arial"/>
                  <w:sz w:val="17"/>
                  <w:szCs w:val="17"/>
                  <w:color w:val="0000FF"/>
                </w:rPr>
                <w:t>Master Production Services Agreement by and between Candel Therapeutics and SAFC Carlsbad, Inc., effective November 3,</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000FF"/>
            </w:tcBorders>
            <w:gridSpan w:val="28"/>
          </w:tcPr>
          <w:p>
            <w:pPr>
              <w:spacing w:after="0" w:line="169" w:lineRule="exact"/>
              <w:rPr>
                <w:rFonts w:ascii="Arial" w:cs="Arial" w:eastAsia="Arial" w:hAnsi="Arial"/>
                <w:sz w:val="17"/>
                <w:szCs w:val="17"/>
                <w:color w:val="0000FF"/>
              </w:rPr>
            </w:pPr>
            <w:hyperlink r:id="rId188">
              <w:r>
                <w:rPr>
                  <w:rFonts w:ascii="Arial" w:cs="Arial" w:eastAsia="Arial" w:hAnsi="Arial"/>
                  <w:sz w:val="17"/>
                  <w:szCs w:val="17"/>
                  <w:color w:val="0000FF"/>
                </w:rPr>
                <w:t>2022 (incorporated by reference to Exhibit 10.16 to the Registrant’s Annual Report on Form 10-K filed with the SEC on March</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10.17**</w:t>
            </w:r>
          </w:p>
        </w:tc>
        <w:tc>
          <w:tcPr>
            <w:tcW w:w="20" w:type="dxa"/>
            <w:vAlign w:val="bottom"/>
            <w:tcBorders>
              <w:bottom w:val="single" w:sz="8" w:color="0000EE"/>
            </w:tcBorders>
          </w:tcPr>
          <w:p>
            <w:pPr>
              <w:spacing w:after="0"/>
              <w:rPr>
                <w:sz w:val="14"/>
                <w:szCs w:val="14"/>
                <w:color w:val="auto"/>
              </w:rPr>
            </w:pPr>
          </w:p>
        </w:tc>
        <w:tc>
          <w:tcPr>
            <w:tcW w:w="700" w:type="dxa"/>
            <w:vAlign w:val="bottom"/>
            <w:tcBorders>
              <w:top w:val="single" w:sz="8" w:color="0000FF"/>
              <w:bottom w:val="single" w:sz="8" w:color="0000FF"/>
            </w:tcBorders>
          </w:tcPr>
          <w:p>
            <w:pPr>
              <w:spacing w:after="0" w:line="169" w:lineRule="exact"/>
              <w:rPr>
                <w:rFonts w:ascii="Arial" w:cs="Arial" w:eastAsia="Arial" w:hAnsi="Arial"/>
                <w:sz w:val="17"/>
                <w:szCs w:val="17"/>
                <w:color w:val="0000FF"/>
                <w:w w:val="94"/>
              </w:rPr>
            </w:pPr>
            <w:hyperlink r:id="rId188">
              <w:r>
                <w:rPr>
                  <w:rFonts w:ascii="Arial" w:cs="Arial" w:eastAsia="Arial" w:hAnsi="Arial"/>
                  <w:sz w:val="17"/>
                  <w:szCs w:val="17"/>
                  <w:color w:val="0000FF"/>
                  <w:w w:val="94"/>
                </w:rPr>
                <w:t>30, 2023)</w:t>
              </w:r>
            </w:hyperlink>
          </w:p>
        </w:tc>
        <w:tc>
          <w:tcPr>
            <w:tcW w:w="20" w:type="dxa"/>
            <w:vAlign w:val="bottom"/>
            <w:tcBorders>
              <w:top w:val="single" w:sz="8" w:color="0000FF"/>
              <w:bottom w:val="single" w:sz="8" w:color="0000EE"/>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1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20" w:type="dxa"/>
            <w:vAlign w:val="bottom"/>
            <w:gridSpan w:val="34"/>
          </w:tcPr>
          <w:p>
            <w:pPr>
              <w:spacing w:after="0" w:line="183" w:lineRule="exact"/>
              <w:rPr>
                <w:rFonts w:ascii="Arial" w:cs="Arial" w:eastAsia="Arial" w:hAnsi="Arial"/>
                <w:sz w:val="17"/>
                <w:szCs w:val="17"/>
                <w:color w:val="0000FF"/>
              </w:rPr>
            </w:pPr>
            <w:hyperlink r:id="rId189">
              <w:r>
                <w:rPr>
                  <w:rFonts w:ascii="Arial" w:cs="Arial" w:eastAsia="Arial" w:hAnsi="Arial"/>
                  <w:sz w:val="17"/>
                  <w:szCs w:val="17"/>
                  <w:color w:val="0000FF"/>
                </w:rPr>
                <w:t>Amendment to Exclusive License Agreement by and between Candel Therapeutics, Inc. and Periphagen, Inc. dated June 7,</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80" w:type="dxa"/>
            <w:vAlign w:val="bottom"/>
            <w:tcBorders>
              <w:right w:val="single" w:sz="8" w:color="0000FF"/>
            </w:tcBorders>
            <w:gridSpan w:val="5"/>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8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9700" w:type="dxa"/>
            <w:vAlign w:val="bottom"/>
            <w:gridSpan w:val="33"/>
          </w:tcPr>
          <w:p>
            <w:pPr>
              <w:spacing w:after="0" w:line="169" w:lineRule="exact"/>
              <w:rPr>
                <w:rFonts w:ascii="Arial" w:cs="Arial" w:eastAsia="Arial" w:hAnsi="Arial"/>
                <w:sz w:val="17"/>
                <w:szCs w:val="17"/>
                <w:color w:val="0000FF"/>
              </w:rPr>
            </w:pPr>
            <w:hyperlink r:id="rId189">
              <w:r>
                <w:rPr>
                  <w:rFonts w:ascii="Arial" w:cs="Arial" w:eastAsia="Arial" w:hAnsi="Arial"/>
                  <w:sz w:val="17"/>
                  <w:szCs w:val="17"/>
                  <w:color w:val="0000FF"/>
                </w:rPr>
                <w:t>2023 (incorporated by reference to Exhibit 10.1 to the Registrant’s Quarterly Report on Form 10-Q filed with the SEC on August</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10.18</w:t>
            </w:r>
          </w:p>
        </w:tc>
        <w:tc>
          <w:tcPr>
            <w:tcW w:w="20" w:type="dxa"/>
            <w:vAlign w:val="bottom"/>
            <w:tcBorders>
              <w:bottom w:val="single" w:sz="8" w:color="0000EE"/>
            </w:tcBorders>
          </w:tcPr>
          <w:p>
            <w:pPr>
              <w:spacing w:after="0"/>
              <w:rPr>
                <w:sz w:val="14"/>
                <w:szCs w:val="14"/>
                <w:color w:val="auto"/>
              </w:rPr>
            </w:pPr>
          </w:p>
        </w:tc>
        <w:tc>
          <w:tcPr>
            <w:tcW w:w="700" w:type="dxa"/>
            <w:vAlign w:val="bottom"/>
            <w:tcBorders>
              <w:top w:val="single" w:sz="8" w:color="0000FF"/>
              <w:bottom w:val="single" w:sz="8" w:color="0000FF"/>
            </w:tcBorders>
          </w:tcPr>
          <w:p>
            <w:pPr>
              <w:spacing w:after="0" w:line="169" w:lineRule="exact"/>
              <w:rPr>
                <w:rFonts w:ascii="Arial" w:cs="Arial" w:eastAsia="Arial" w:hAnsi="Arial"/>
                <w:sz w:val="17"/>
                <w:szCs w:val="17"/>
                <w:color w:val="0000FF"/>
                <w:w w:val="94"/>
              </w:rPr>
            </w:pPr>
            <w:hyperlink r:id="rId189">
              <w:r>
                <w:rPr>
                  <w:rFonts w:ascii="Arial" w:cs="Arial" w:eastAsia="Arial" w:hAnsi="Arial"/>
                  <w:sz w:val="17"/>
                  <w:szCs w:val="17"/>
                  <w:color w:val="0000FF"/>
                  <w:w w:val="94"/>
                </w:rPr>
                <w:t>10, 2023)</w:t>
              </w:r>
            </w:hyperlink>
          </w:p>
        </w:tc>
        <w:tc>
          <w:tcPr>
            <w:tcW w:w="20" w:type="dxa"/>
            <w:vAlign w:val="bottom"/>
            <w:tcBorders>
              <w:top w:val="single" w:sz="8" w:color="0000FF"/>
              <w:bottom w:val="single" w:sz="8" w:color="0000EE"/>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1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20" w:type="dxa"/>
            <w:vAlign w:val="bottom"/>
            <w:gridSpan w:val="34"/>
          </w:tcPr>
          <w:p>
            <w:pPr>
              <w:spacing w:after="0" w:line="183" w:lineRule="exact"/>
              <w:rPr>
                <w:rFonts w:ascii="Arial" w:cs="Arial" w:eastAsia="Arial" w:hAnsi="Arial"/>
                <w:sz w:val="17"/>
                <w:szCs w:val="17"/>
                <w:color w:val="0000FF"/>
              </w:rPr>
            </w:pPr>
            <w:hyperlink r:id="rId190">
              <w:r>
                <w:rPr>
                  <w:rFonts w:ascii="Arial" w:cs="Arial" w:eastAsia="Arial" w:hAnsi="Arial"/>
                  <w:sz w:val="17"/>
                  <w:szCs w:val="17"/>
                  <w:color w:val="0000FF"/>
                </w:rPr>
                <w:t>First Amendment to Loan and Security Agreement by and between Candel Therapeutics, Inc. and Silicon Valley Bank, dated</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20" w:type="dxa"/>
            <w:vAlign w:val="bottom"/>
            <w:tcBorders>
              <w:top w:val="single" w:sz="8" w:color="0000FF"/>
              <w:bottom w:val="single" w:sz="8" w:color="0000FF"/>
            </w:tcBorders>
            <w:gridSpan w:val="23"/>
          </w:tcPr>
          <w:p>
            <w:pPr>
              <w:spacing w:after="0" w:line="169" w:lineRule="exact"/>
              <w:rPr>
                <w:rFonts w:ascii="Arial" w:cs="Arial" w:eastAsia="Arial" w:hAnsi="Arial"/>
                <w:sz w:val="17"/>
                <w:szCs w:val="17"/>
                <w:color w:val="0000FF"/>
                <w:w w:val="99"/>
              </w:rPr>
            </w:pPr>
            <w:hyperlink r:id="rId190">
              <w:r>
                <w:rPr>
                  <w:rFonts w:ascii="Arial" w:cs="Arial" w:eastAsia="Arial" w:hAnsi="Arial"/>
                  <w:sz w:val="17"/>
                  <w:szCs w:val="17"/>
                  <w:color w:val="0000FF"/>
                  <w:w w:val="99"/>
                </w:rPr>
                <w:t>June 14, 2023 (incorporated by reference to Exhibit 10.2 to the Registrant’s Quarterly Report on Form 10-Q filed with the SEC</w:t>
              </w:r>
            </w:hyperlink>
          </w:p>
        </w:tc>
        <w:tc>
          <w:tcPr>
            <w:tcW w:w="12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10.19#*</w:t>
            </w:r>
          </w:p>
        </w:tc>
        <w:tc>
          <w:tcPr>
            <w:tcW w:w="20" w:type="dxa"/>
            <w:vAlign w:val="bottom"/>
          </w:tcPr>
          <w:p>
            <w:pPr>
              <w:spacing w:after="0"/>
              <w:rPr>
                <w:sz w:val="14"/>
                <w:szCs w:val="14"/>
                <w:color w:val="auto"/>
              </w:rPr>
            </w:pPr>
          </w:p>
        </w:tc>
        <w:tc>
          <w:tcPr>
            <w:tcW w:w="9540" w:type="dxa"/>
            <w:vAlign w:val="bottom"/>
            <w:gridSpan w:val="25"/>
          </w:tcPr>
          <w:p>
            <w:pPr>
              <w:spacing w:after="0" w:line="169" w:lineRule="exact"/>
              <w:rPr>
                <w:rFonts w:ascii="Arial" w:cs="Arial" w:eastAsia="Arial" w:hAnsi="Arial"/>
                <w:sz w:val="17"/>
                <w:szCs w:val="17"/>
                <w:color w:val="0000FF"/>
              </w:rPr>
            </w:pPr>
            <w:hyperlink r:id="rId190">
              <w:r>
                <w:rPr>
                  <w:rFonts w:ascii="Arial" w:cs="Arial" w:eastAsia="Arial" w:hAnsi="Arial"/>
                  <w:sz w:val="17"/>
                  <w:szCs w:val="17"/>
                  <w:color w:val="0000FF"/>
                </w:rPr>
                <w:t>on August 10, 2023)</w:t>
              </w:r>
            </w:hyperlink>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tcBorders>
              <w:right w:val="single" w:sz="8" w:color="0000FF"/>
            </w:tcBorders>
            <w:gridSpan w:val="5"/>
            <w:shd w:val="clear" w:color="auto" w:fill="0000FF"/>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20" w:type="dxa"/>
            <w:vAlign w:val="bottom"/>
            <w:gridSpan w:val="34"/>
          </w:tcPr>
          <w:p>
            <w:pPr>
              <w:spacing w:after="0" w:line="183" w:lineRule="exact"/>
              <w:rPr>
                <w:sz w:val="20"/>
                <w:szCs w:val="20"/>
                <w:color w:val="auto"/>
              </w:rPr>
            </w:pPr>
            <w:r>
              <w:rPr>
                <w:rFonts w:ascii="Arial" w:cs="Arial" w:eastAsia="Arial" w:hAnsi="Arial"/>
                <w:sz w:val="17"/>
                <w:szCs w:val="17"/>
                <w:color w:val="0000FF"/>
              </w:rPr>
              <w:t>Consulting by and between Candel Therapeutics, Inc. and Jason A. Amello, dated as of January 12, 2024</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7"/>
                <w:szCs w:val="17"/>
                <w:color w:val="auto"/>
              </w:rPr>
              <w:t>21.1</w:t>
            </w:r>
          </w:p>
        </w:tc>
        <w:tc>
          <w:tcPr>
            <w:tcW w:w="20" w:type="dxa"/>
            <w:vAlign w:val="bottom"/>
            <w:shd w:val="clear" w:color="auto" w:fill="0000EE"/>
          </w:tcPr>
          <w:p>
            <w:pPr>
              <w:spacing w:after="0" w:line="20" w:lineRule="exact"/>
              <w:rPr>
                <w:sz w:val="1"/>
                <w:szCs w:val="1"/>
                <w:color w:val="auto"/>
              </w:rPr>
            </w:pPr>
          </w:p>
        </w:tc>
        <w:tc>
          <w:tcPr>
            <w:tcW w:w="1480" w:type="dxa"/>
            <w:vAlign w:val="bottom"/>
            <w:tcBorders>
              <w:right w:val="single" w:sz="8" w:color="0000FF"/>
            </w:tcBorders>
            <w:gridSpan w:val="5"/>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20" w:type="dxa"/>
            <w:vAlign w:val="bottom"/>
            <w:gridSpan w:val="34"/>
          </w:tcPr>
          <w:p>
            <w:pPr>
              <w:spacing w:after="0" w:line="183" w:lineRule="exact"/>
              <w:rPr>
                <w:rFonts w:ascii="Arial" w:cs="Arial" w:eastAsia="Arial" w:hAnsi="Arial"/>
                <w:sz w:val="17"/>
                <w:szCs w:val="17"/>
                <w:color w:val="0000FF"/>
              </w:rPr>
            </w:pPr>
            <w:hyperlink r:id="rId191">
              <w:r>
                <w:rPr>
                  <w:rFonts w:ascii="Arial" w:cs="Arial" w:eastAsia="Arial" w:hAnsi="Arial"/>
                  <w:sz w:val="17"/>
                  <w:szCs w:val="17"/>
                  <w:color w:val="0000FF"/>
                </w:rPr>
                <w:t>List of Subsidiary (incorporated by reference to Exhibit 21.1 to the Registrant's Annual Report on Form 10-K filed with the SEC</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23.1*</w:t>
            </w:r>
          </w:p>
        </w:tc>
        <w:tc>
          <w:tcPr>
            <w:tcW w:w="20" w:type="dxa"/>
            <w:vAlign w:val="bottom"/>
          </w:tcPr>
          <w:p>
            <w:pPr>
              <w:spacing w:after="0"/>
              <w:rPr>
                <w:sz w:val="14"/>
                <w:szCs w:val="14"/>
                <w:color w:val="auto"/>
              </w:rPr>
            </w:pPr>
          </w:p>
        </w:tc>
        <w:tc>
          <w:tcPr>
            <w:tcW w:w="9560" w:type="dxa"/>
            <w:vAlign w:val="bottom"/>
            <w:tcBorders>
              <w:top w:val="single" w:sz="8" w:color="0000FF"/>
            </w:tcBorders>
            <w:gridSpan w:val="26"/>
          </w:tcPr>
          <w:p>
            <w:pPr>
              <w:spacing w:after="0" w:line="169" w:lineRule="exact"/>
              <w:rPr>
                <w:rFonts w:ascii="Arial" w:cs="Arial" w:eastAsia="Arial" w:hAnsi="Arial"/>
                <w:sz w:val="17"/>
                <w:szCs w:val="17"/>
                <w:color w:val="0000FF"/>
              </w:rPr>
            </w:pPr>
            <w:hyperlink r:id="rId191">
              <w:r>
                <w:rPr>
                  <w:rFonts w:ascii="Arial" w:cs="Arial" w:eastAsia="Arial" w:hAnsi="Arial"/>
                  <w:sz w:val="17"/>
                  <w:szCs w:val="17"/>
                  <w:color w:val="0000FF"/>
                </w:rPr>
                <w:t>on March 29, 2022)</w:t>
              </w:r>
            </w:hyperlink>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gridSpan w:val="5"/>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20" w:type="dxa"/>
            <w:vAlign w:val="bottom"/>
            <w:gridSpan w:val="34"/>
          </w:tcPr>
          <w:p>
            <w:pPr>
              <w:spacing w:after="0" w:line="183" w:lineRule="exact"/>
              <w:rPr>
                <w:sz w:val="20"/>
                <w:szCs w:val="20"/>
                <w:color w:val="auto"/>
              </w:rPr>
            </w:pPr>
            <w:r>
              <w:rPr>
                <w:rFonts w:ascii="Arial" w:cs="Arial" w:eastAsia="Arial" w:hAnsi="Arial"/>
                <w:sz w:val="17"/>
                <w:szCs w:val="17"/>
                <w:color w:val="0000FF"/>
              </w:rPr>
              <w:t>Consent of KPMG LLP, Independent Registered Public Accounting Firm</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7"/>
                <w:szCs w:val="17"/>
                <w:color w:val="auto"/>
              </w:rPr>
              <w:t>24.1*</w:t>
            </w:r>
          </w:p>
        </w:tc>
        <w:tc>
          <w:tcPr>
            <w:tcW w:w="20" w:type="dxa"/>
            <w:vAlign w:val="bottom"/>
            <w:shd w:val="clear" w:color="auto" w:fill="0000EE"/>
          </w:tcPr>
          <w:p>
            <w:pPr>
              <w:spacing w:after="0" w:line="20" w:lineRule="exact"/>
              <w:rPr>
                <w:sz w:val="1"/>
                <w:szCs w:val="1"/>
                <w:color w:val="auto"/>
              </w:rPr>
            </w:pPr>
          </w:p>
        </w:tc>
        <w:tc>
          <w:tcPr>
            <w:tcW w:w="2380" w:type="dxa"/>
            <w:vAlign w:val="bottom"/>
            <w:tcBorders>
              <w:right w:val="single" w:sz="8" w:color="0000FF"/>
            </w:tcBorders>
            <w:gridSpan w:val="6"/>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20" w:type="dxa"/>
            <w:vAlign w:val="bottom"/>
            <w:gridSpan w:val="34"/>
          </w:tcPr>
          <w:p>
            <w:pPr>
              <w:spacing w:after="0" w:line="183" w:lineRule="exact"/>
              <w:rPr>
                <w:sz w:val="20"/>
                <w:szCs w:val="20"/>
                <w:color w:val="auto"/>
              </w:rPr>
            </w:pPr>
            <w:r>
              <w:rPr>
                <w:rFonts w:ascii="Arial" w:cs="Arial" w:eastAsia="Arial" w:hAnsi="Arial"/>
                <w:sz w:val="17"/>
                <w:szCs w:val="17"/>
                <w:color w:val="0000FF"/>
              </w:rPr>
              <w:t>Power of Attorney (included on signature page)</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7"/>
                <w:szCs w:val="17"/>
                <w:color w:val="auto"/>
              </w:rPr>
              <w:t>31.1*</w:t>
            </w:r>
          </w:p>
        </w:tc>
        <w:tc>
          <w:tcPr>
            <w:tcW w:w="20" w:type="dxa"/>
            <w:vAlign w:val="bottom"/>
            <w:shd w:val="clear" w:color="auto" w:fill="0000EE"/>
          </w:tcPr>
          <w:p>
            <w:pPr>
              <w:spacing w:after="0" w:line="20" w:lineRule="exact"/>
              <w:rPr>
                <w:sz w:val="1"/>
                <w:szCs w:val="1"/>
                <w:color w:val="auto"/>
              </w:rPr>
            </w:pPr>
          </w:p>
        </w:tc>
        <w:tc>
          <w:tcPr>
            <w:tcW w:w="2380" w:type="dxa"/>
            <w:vAlign w:val="bottom"/>
            <w:tcBorders>
              <w:right w:val="single" w:sz="8" w:color="0000FF"/>
            </w:tcBorders>
            <w:gridSpan w:val="6"/>
            <w:shd w:val="clear" w:color="auto" w:fill="0000FF"/>
          </w:tcPr>
          <w:p>
            <w:pPr>
              <w:spacing w:after="0" w:line="20" w:lineRule="exact"/>
              <w:rPr>
                <w:sz w:val="1"/>
                <w:szCs w:val="1"/>
                <w:color w:val="auto"/>
              </w:rPr>
            </w:pPr>
          </w:p>
        </w:tc>
        <w:tc>
          <w:tcPr>
            <w:tcW w:w="120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20" w:type="dxa"/>
            <w:vAlign w:val="bottom"/>
            <w:gridSpan w:val="34"/>
          </w:tcPr>
          <w:p>
            <w:pPr>
              <w:spacing w:after="0" w:line="183" w:lineRule="exact"/>
              <w:rPr>
                <w:sz w:val="20"/>
                <w:szCs w:val="20"/>
                <w:color w:val="auto"/>
              </w:rPr>
            </w:pPr>
            <w:r>
              <w:rPr>
                <w:rFonts w:ascii="Arial" w:cs="Arial" w:eastAsia="Arial" w:hAnsi="Arial"/>
                <w:sz w:val="17"/>
                <w:szCs w:val="17"/>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31.2*</w:t>
            </w:r>
          </w:p>
        </w:tc>
        <w:tc>
          <w:tcPr>
            <w:tcW w:w="20" w:type="dxa"/>
            <w:vAlign w:val="bottom"/>
            <w:tcBorders>
              <w:bottom w:val="single" w:sz="8" w:color="0000EE"/>
            </w:tcBorders>
          </w:tcPr>
          <w:p>
            <w:pPr>
              <w:spacing w:after="0"/>
              <w:rPr>
                <w:sz w:val="14"/>
                <w:szCs w:val="14"/>
                <w:color w:val="auto"/>
              </w:rPr>
            </w:pPr>
          </w:p>
        </w:tc>
        <w:tc>
          <w:tcPr>
            <w:tcW w:w="5860" w:type="dxa"/>
            <w:vAlign w:val="bottom"/>
            <w:tcBorders>
              <w:top w:val="single" w:sz="8" w:color="0000FF"/>
              <w:bottom w:val="single" w:sz="8" w:color="0000FF"/>
            </w:tcBorders>
            <w:gridSpan w:val="11"/>
          </w:tcPr>
          <w:p>
            <w:pPr>
              <w:spacing w:after="0" w:line="169" w:lineRule="exact"/>
              <w:rPr>
                <w:sz w:val="20"/>
                <w:szCs w:val="20"/>
                <w:color w:val="auto"/>
              </w:rPr>
            </w:pPr>
            <w:r>
              <w:rPr>
                <w:rFonts w:ascii="Arial" w:cs="Arial" w:eastAsia="Arial" w:hAnsi="Arial"/>
                <w:sz w:val="17"/>
                <w:szCs w:val="17"/>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460" w:type="dxa"/>
            <w:vAlign w:val="bottom"/>
            <w:tcBorders>
              <w:top w:val="single" w:sz="8" w:color="0000FF"/>
            </w:tcBorders>
            <w:gridSpan w:val="8"/>
          </w:tcPr>
          <w:p>
            <w:pPr>
              <w:spacing w:after="0"/>
              <w:rPr>
                <w:sz w:val="14"/>
                <w:szCs w:val="14"/>
                <w:color w:val="auto"/>
              </w:rPr>
            </w:pPr>
          </w:p>
        </w:tc>
        <w:tc>
          <w:tcPr>
            <w:tcW w:w="36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20" w:type="dxa"/>
            <w:vAlign w:val="bottom"/>
            <w:gridSpan w:val="34"/>
          </w:tcPr>
          <w:p>
            <w:pPr>
              <w:spacing w:after="0" w:line="183" w:lineRule="exact"/>
              <w:rPr>
                <w:sz w:val="20"/>
                <w:szCs w:val="20"/>
                <w:color w:val="auto"/>
              </w:rPr>
            </w:pPr>
            <w:r>
              <w:rPr>
                <w:rFonts w:ascii="Arial" w:cs="Arial" w:eastAsia="Arial" w:hAnsi="Arial"/>
                <w:sz w:val="17"/>
                <w:szCs w:val="17"/>
                <w:color w:val="0000FF"/>
              </w:rPr>
              <w:t>Certification of Principal Financial Officer Pursuant to Rules 13a-14(a) and 15d-14(a) under the Securities Exchange Act of</w:t>
            </w: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32.1*+</w:t>
            </w:r>
          </w:p>
        </w:tc>
        <w:tc>
          <w:tcPr>
            <w:tcW w:w="20" w:type="dxa"/>
            <w:vAlign w:val="bottom"/>
            <w:tcBorders>
              <w:bottom w:val="single" w:sz="8" w:color="0000EE"/>
            </w:tcBorders>
          </w:tcPr>
          <w:p>
            <w:pPr>
              <w:spacing w:after="0"/>
              <w:rPr>
                <w:sz w:val="14"/>
                <w:szCs w:val="14"/>
                <w:color w:val="auto"/>
              </w:rPr>
            </w:pPr>
          </w:p>
        </w:tc>
        <w:tc>
          <w:tcPr>
            <w:tcW w:w="5860" w:type="dxa"/>
            <w:vAlign w:val="bottom"/>
            <w:tcBorders>
              <w:top w:val="single" w:sz="8" w:color="0000FF"/>
              <w:bottom w:val="single" w:sz="8" w:color="0000FF"/>
            </w:tcBorders>
            <w:gridSpan w:val="11"/>
          </w:tcPr>
          <w:p>
            <w:pPr>
              <w:spacing w:after="0" w:line="169" w:lineRule="exact"/>
              <w:rPr>
                <w:sz w:val="20"/>
                <w:szCs w:val="20"/>
                <w:color w:val="auto"/>
              </w:rPr>
            </w:pPr>
            <w:r>
              <w:rPr>
                <w:rFonts w:ascii="Arial" w:cs="Arial" w:eastAsia="Arial" w:hAnsi="Arial"/>
                <w:sz w:val="17"/>
                <w:szCs w:val="17"/>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400" w:type="dxa"/>
            <w:vAlign w:val="bottom"/>
            <w:tcBorders>
              <w:top w:val="single" w:sz="8" w:color="0000FF"/>
            </w:tcBorders>
            <w:gridSpan w:val="7"/>
          </w:tcPr>
          <w:p>
            <w:pPr>
              <w:spacing w:after="0"/>
              <w:rPr>
                <w:sz w:val="14"/>
                <w:szCs w:val="14"/>
                <w:color w:val="auto"/>
              </w:rPr>
            </w:pPr>
          </w:p>
        </w:tc>
        <w:tc>
          <w:tcPr>
            <w:tcW w:w="42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20" w:type="dxa"/>
            <w:vAlign w:val="bottom"/>
            <w:gridSpan w:val="34"/>
          </w:tcPr>
          <w:p>
            <w:pPr>
              <w:spacing w:after="0" w:line="183" w:lineRule="exact"/>
              <w:rPr>
                <w:sz w:val="20"/>
                <w:szCs w:val="20"/>
                <w:color w:val="auto"/>
              </w:rPr>
            </w:pPr>
            <w:r>
              <w:rPr>
                <w:rFonts w:ascii="Arial" w:cs="Arial" w:eastAsia="Arial" w:hAnsi="Arial"/>
                <w:sz w:val="17"/>
                <w:szCs w:val="17"/>
                <w:color w:val="0000FF"/>
              </w:rPr>
              <w:t>Certification of Principal Executive Officer and Principal Financial Officer Pursuant to 18 U.S.C. Section 1350, as Adopted</w:t>
            </w: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97.1*</w:t>
            </w:r>
          </w:p>
        </w:tc>
        <w:tc>
          <w:tcPr>
            <w:tcW w:w="20" w:type="dxa"/>
            <w:vAlign w:val="bottom"/>
          </w:tcPr>
          <w:p>
            <w:pPr>
              <w:spacing w:after="0"/>
              <w:rPr>
                <w:sz w:val="14"/>
                <w:szCs w:val="14"/>
                <w:color w:val="auto"/>
              </w:rPr>
            </w:pPr>
          </w:p>
        </w:tc>
        <w:tc>
          <w:tcPr>
            <w:tcW w:w="920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7"/>
                <w:szCs w:val="17"/>
                <w:color w:val="0000FF"/>
              </w:rPr>
              <w:t>Pursuant to Section 906 of the Sarbanes-Oxley Act of 2002</w:t>
            </w:r>
          </w:p>
        </w:tc>
        <w:tc>
          <w:tcPr>
            <w:tcW w:w="50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80" w:type="dxa"/>
            <w:vAlign w:val="bottom"/>
            <w:tcBorders>
              <w:right w:val="single" w:sz="8" w:color="0000FF"/>
            </w:tcBorders>
            <w:gridSpan w:val="6"/>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524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20" w:type="dxa"/>
            <w:vAlign w:val="bottom"/>
            <w:gridSpan w:val="34"/>
          </w:tcPr>
          <w:p>
            <w:pPr>
              <w:spacing w:after="0" w:line="183" w:lineRule="exact"/>
              <w:rPr>
                <w:sz w:val="20"/>
                <w:szCs w:val="20"/>
                <w:color w:val="auto"/>
              </w:rPr>
            </w:pPr>
            <w:r>
              <w:rPr>
                <w:rFonts w:ascii="Arial" w:cs="Arial" w:eastAsia="Arial" w:hAnsi="Arial"/>
                <w:sz w:val="17"/>
                <w:szCs w:val="17"/>
                <w:color w:val="0000FF"/>
              </w:rPr>
              <w:t>Compensation Recovery Policy</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7"/>
                <w:szCs w:val="17"/>
                <w:color w:val="auto"/>
              </w:rPr>
              <w:t>101.INS</w:t>
            </w:r>
          </w:p>
        </w:tc>
        <w:tc>
          <w:tcPr>
            <w:tcW w:w="20" w:type="dxa"/>
            <w:vAlign w:val="bottom"/>
            <w:shd w:val="clear" w:color="auto" w:fill="0000EE"/>
          </w:tcPr>
          <w:p>
            <w:pPr>
              <w:spacing w:after="0" w:line="20" w:lineRule="exact"/>
              <w:rPr>
                <w:sz w:val="1"/>
                <w:szCs w:val="1"/>
                <w:color w:val="auto"/>
              </w:rPr>
            </w:pPr>
          </w:p>
        </w:tc>
        <w:tc>
          <w:tcPr>
            <w:tcW w:w="2380" w:type="dxa"/>
            <w:vAlign w:val="bottom"/>
            <w:tcBorders>
              <w:right w:val="single" w:sz="8" w:color="0000EE"/>
            </w:tcBorders>
            <w:gridSpan w:val="6"/>
            <w:shd w:val="clear" w:color="auto" w:fill="0000FF"/>
          </w:tcPr>
          <w:p>
            <w:pPr>
              <w:spacing w:after="0" w:line="20" w:lineRule="exact"/>
              <w:rPr>
                <w:sz w:val="1"/>
                <w:szCs w:val="1"/>
                <w:color w:val="auto"/>
              </w:rPr>
            </w:pPr>
          </w:p>
        </w:tc>
        <w:tc>
          <w:tcPr>
            <w:tcW w:w="732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480" w:type="dxa"/>
            <w:vAlign w:val="bottom"/>
            <w:vMerge w:val="continue"/>
          </w:tcPr>
          <w:p>
            <w:pPr>
              <w:spacing w:after="0"/>
              <w:rPr>
                <w:sz w:val="16"/>
                <w:szCs w:val="16"/>
                <w:color w:val="auto"/>
              </w:rPr>
            </w:pPr>
          </w:p>
        </w:tc>
        <w:tc>
          <w:tcPr>
            <w:tcW w:w="9720" w:type="dxa"/>
            <w:vAlign w:val="bottom"/>
            <w:gridSpan w:val="34"/>
          </w:tcPr>
          <w:p>
            <w:pPr>
              <w:spacing w:after="0" w:line="187" w:lineRule="exact"/>
              <w:rPr>
                <w:sz w:val="20"/>
                <w:szCs w:val="20"/>
                <w:color w:val="auto"/>
              </w:rPr>
            </w:pPr>
            <w:r>
              <w:rPr>
                <w:rFonts w:ascii="Arial" w:cs="Arial" w:eastAsia="Arial" w:hAnsi="Arial"/>
                <w:sz w:val="17"/>
                <w:szCs w:val="17"/>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720" w:type="dxa"/>
            <w:vAlign w:val="bottom"/>
            <w:gridSpan w:val="34"/>
          </w:tcPr>
          <w:p>
            <w:pPr>
              <w:spacing w:after="0"/>
              <w:rPr>
                <w:sz w:val="20"/>
                <w:szCs w:val="20"/>
                <w:color w:val="auto"/>
              </w:rPr>
            </w:pPr>
            <w:r>
              <w:rPr>
                <w:rFonts w:ascii="Arial" w:cs="Arial" w:eastAsia="Arial" w:hAnsi="Arial"/>
                <w:sz w:val="17"/>
                <w:szCs w:val="17"/>
                <w:color w:val="auto"/>
              </w:rPr>
              <w:t>embedded within the Inline XBRL document.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20"/>
                <w:szCs w:val="20"/>
                <w:color w:val="auto"/>
              </w:rPr>
            </w:pPr>
            <w:r>
              <w:rPr>
                <w:rFonts w:ascii="Arial" w:cs="Arial" w:eastAsia="Arial" w:hAnsi="Arial"/>
                <w:sz w:val="17"/>
                <w:szCs w:val="17"/>
                <w:color w:val="auto"/>
              </w:rPr>
              <w:t>101.SCH</w:t>
            </w:r>
          </w:p>
        </w:tc>
        <w:tc>
          <w:tcPr>
            <w:tcW w:w="9720" w:type="dxa"/>
            <w:vAlign w:val="bottom"/>
            <w:gridSpan w:val="34"/>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20"/>
                <w:szCs w:val="20"/>
                <w:color w:val="auto"/>
              </w:rPr>
            </w:pPr>
            <w:r>
              <w:rPr>
                <w:rFonts w:ascii="Arial" w:cs="Arial" w:eastAsia="Arial" w:hAnsi="Arial"/>
                <w:sz w:val="17"/>
                <w:szCs w:val="17"/>
                <w:color w:val="auto"/>
              </w:rPr>
              <w:t>101.CAL</w:t>
            </w:r>
          </w:p>
        </w:tc>
        <w:tc>
          <w:tcPr>
            <w:tcW w:w="9720" w:type="dxa"/>
            <w:vAlign w:val="bottom"/>
            <w:gridSpan w:val="34"/>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20"/>
                <w:szCs w:val="20"/>
                <w:color w:val="auto"/>
              </w:rPr>
            </w:pPr>
            <w:r>
              <w:rPr>
                <w:rFonts w:ascii="Arial" w:cs="Arial" w:eastAsia="Arial" w:hAnsi="Arial"/>
                <w:sz w:val="17"/>
                <w:szCs w:val="17"/>
                <w:color w:val="auto"/>
              </w:rPr>
              <w:t>101.DEF</w:t>
            </w:r>
          </w:p>
        </w:tc>
        <w:tc>
          <w:tcPr>
            <w:tcW w:w="9720" w:type="dxa"/>
            <w:vAlign w:val="bottom"/>
            <w:gridSpan w:val="34"/>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20"/>
                <w:szCs w:val="20"/>
                <w:color w:val="auto"/>
              </w:rPr>
            </w:pPr>
            <w:r>
              <w:rPr>
                <w:rFonts w:ascii="Arial" w:cs="Arial" w:eastAsia="Arial" w:hAnsi="Arial"/>
                <w:sz w:val="17"/>
                <w:szCs w:val="17"/>
                <w:color w:val="auto"/>
              </w:rPr>
              <w:t>101.LAB</w:t>
            </w:r>
          </w:p>
        </w:tc>
        <w:tc>
          <w:tcPr>
            <w:tcW w:w="9720" w:type="dxa"/>
            <w:vAlign w:val="bottom"/>
            <w:gridSpan w:val="34"/>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18"/>
        </w:trPr>
        <w:tc>
          <w:tcPr>
            <w:tcW w:w="1480" w:type="dxa"/>
            <w:vAlign w:val="bottom"/>
          </w:tcPr>
          <w:p>
            <w:pPr>
              <w:spacing w:after="0"/>
              <w:rPr>
                <w:sz w:val="20"/>
                <w:szCs w:val="20"/>
                <w:color w:val="auto"/>
              </w:rPr>
            </w:pPr>
            <w:r>
              <w:rPr>
                <w:rFonts w:ascii="Arial" w:cs="Arial" w:eastAsia="Arial" w:hAnsi="Arial"/>
                <w:sz w:val="17"/>
                <w:szCs w:val="17"/>
                <w:color w:val="auto"/>
              </w:rPr>
              <w:t>101.PRE</w:t>
            </w:r>
          </w:p>
        </w:tc>
        <w:tc>
          <w:tcPr>
            <w:tcW w:w="9720" w:type="dxa"/>
            <w:vAlign w:val="bottom"/>
            <w:gridSpan w:val="34"/>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bl>
    <w:p>
      <w:pPr>
        <w:ind w:left="1500" w:hanging="1479"/>
        <w:spacing w:after="0"/>
        <w:tabs>
          <w:tab w:leader="none" w:pos="1500" w:val="left"/>
        </w:tabs>
        <w:numPr>
          <w:ilvl w:val="1"/>
          <w:numId w:val="77"/>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w:t>
      </w:r>
    </w:p>
    <w:p>
      <w:pPr>
        <w:spacing w:after="0" w:line="24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4230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2" w:lineRule="exact"/>
        <w:rPr>
          <w:sz w:val="20"/>
          <w:szCs w:val="20"/>
          <w:color w:val="auto"/>
        </w:rPr>
      </w:pPr>
    </w:p>
    <w:p>
      <w:pPr>
        <w:ind w:left="380" w:right="160" w:hanging="372"/>
        <w:spacing w:after="0" w:line="249" w:lineRule="auto"/>
        <w:tabs>
          <w:tab w:leader="none" w:pos="153"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certifications furnished in Exhibit 32.1 hereto are deemed to be furnished with this Annual Report on form 10-K and will not be deemed to be "filed" for purposes of Section 18 of the Securities Exchange Act of 1934, as amended, except to the extent that the Registrant specifically incorporates it by reference.</w:t>
      </w:r>
    </w:p>
    <w:p>
      <w:pPr>
        <w:spacing w:after="0" w:line="67" w:lineRule="exact"/>
        <w:rPr>
          <w:sz w:val="20"/>
          <w:szCs w:val="20"/>
          <w:color w:val="auto"/>
        </w:rPr>
      </w:pPr>
    </w:p>
    <w:p>
      <w:pPr>
        <w:ind w:left="5480" w:right="4560" w:hanging="5472"/>
        <w:spacing w:after="0" w:line="533" w:lineRule="auto"/>
        <w:tabs>
          <w:tab w:leader="none" w:pos="19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Indicates a management contract or any compensatory plan, contract or arrangement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8" w:right="359" w:bottom="1440" w:gutter="0" w:footer="0" w:header="0"/>
        </w:sectPr>
      </w:pPr>
    </w:p>
    <w:bookmarkStart w:id="121" w:name="page122"/>
    <w:bookmarkEnd w:id="121"/>
    <w:p>
      <w:pPr>
        <w:ind w:left="380" w:hanging="372"/>
        <w:spacing w:after="0" w:line="267" w:lineRule="auto"/>
        <w:tabs>
          <w:tab w:leader="none" w:pos="186" w:val="left"/>
        </w:tabs>
        <w:numPr>
          <w:ilvl w:val="0"/>
          <w:numId w:val="80"/>
        </w:numPr>
        <w:rPr>
          <w:rFonts w:ascii="Arial" w:cs="Arial" w:eastAsia="Arial" w:hAnsi="Arial"/>
          <w:sz w:val="17"/>
          <w:szCs w:val="17"/>
          <w:color w:val="auto"/>
        </w:rPr>
      </w:pPr>
      <w:r>
        <w:rPr>
          <w:rFonts w:ascii="Arial" w:cs="Arial" w:eastAsia="Arial" w:hAnsi="Arial"/>
          <w:sz w:val="17"/>
          <w:szCs w:val="17"/>
          <w:color w:val="auto"/>
        </w:rPr>
        <w:t>Portions of this exhibit have been omitted by means of redacting a portion of the text and replacing it with “[***]” because they are both (i) not material and (ii) the type of information that the Registrant treats as private or confidential.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197" w:right="799" w:bottom="1440" w:gutter="0" w:footer="0" w:header="0"/>
        </w:sectPr>
      </w:pPr>
    </w:p>
    <w:bookmarkStart w:id="122" w:name="page123"/>
    <w:bookmarkEnd w:id="122"/>
    <w:p>
      <w:pPr>
        <w:jc w:val="right"/>
        <w:ind w:right="178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7743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277431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4236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8935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189357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3456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234569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9297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192976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-6350</wp:posOffset>
            </wp:positionV>
            <wp:extent cx="21107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211074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477520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6350</wp:posOffset>
            </wp:positionV>
            <wp:extent cx="9004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F-2</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F-3</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F-4</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F-5</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F-6</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F-7</w:t>
      </w:r>
    </w:p>
    <w:p>
      <w:pPr>
        <w:sectPr>
          <w:pgSz w:w="11900" w:h="16838" w:orient="portrait"/>
          <w:cols w:equalWidth="0" w:num="2">
            <w:col w:w="9560" w:space="720"/>
            <w:col w:w="920"/>
          </w:cols>
          <w:pgMar w:left="340" w:top="1089" w:right="359" w:bottom="1440" w:gutter="0" w:footer="0" w:header="0"/>
        </w:sectPr>
      </w:pPr>
    </w:p>
    <w:bookmarkStart w:id="123" w:name="page124"/>
    <w:bookmarkEnd w:id="123"/>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Candel Therapeutics, Inc.:</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10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have audited the accompanying consolidated balance sheets of Candel Therapeutics, Inc. and subsidiary (the Company) as of December 31, 2023 and 2022, the related consolidated statements of operations, stockholders’ equity, and cash flows for each of the years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then ended, in conformity with U.S. generally accepted accounting principles.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Going Concern</w:t>
      </w:r>
    </w:p>
    <w:p>
      <w:pPr>
        <w:spacing w:after="0" w:line="100"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consolidated financial statements, the Company has an accumulated deficit, has incurred operating losses and negative cash flows from operations since inception and expects to continue to incur such losses and negative cash flows into the foreseeable future which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00"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58"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3"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 KPMG LLP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March 28, 2024</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4" w:name="page125"/>
    <w:bookmarkEnd w:id="124"/>
    <w:p>
      <w:pPr>
        <w:jc w:val="center"/>
        <w:ind w:right="4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80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10"/>
        </w:trPr>
        <w:tc>
          <w:tcPr>
            <w:tcW w:w="80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Assets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280"/>
              <w:spacing w:after="0"/>
              <w:rPr>
                <w:sz w:val="20"/>
                <w:szCs w:val="20"/>
                <w:color w:val="auto"/>
              </w:rPr>
            </w:pPr>
            <w:r>
              <w:rPr>
                <w:rFonts w:ascii="Arial" w:cs="Arial" w:eastAsia="Arial" w:hAnsi="Arial"/>
                <w:sz w:val="17"/>
                <w:szCs w:val="17"/>
                <w:color w:val="auto"/>
              </w:rPr>
              <w:t>Current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520"/>
              <w:spacing w:after="0"/>
              <w:rPr>
                <w:sz w:val="20"/>
                <w:szCs w:val="20"/>
                <w:color w:val="auto"/>
              </w:rPr>
            </w:pPr>
            <w:r>
              <w:rPr>
                <w:rFonts w:ascii="Arial" w:cs="Arial" w:eastAsia="Arial" w:hAnsi="Arial"/>
                <w:sz w:val="17"/>
                <w:szCs w:val="17"/>
                <w:color w:val="auto"/>
              </w:rPr>
              <w:t>Cash and cash equivalents</w:t>
            </w:r>
          </w:p>
        </w:tc>
        <w:tc>
          <w:tcPr>
            <w:tcW w:w="340" w:type="dxa"/>
            <w:vAlign w:val="bottom"/>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35,413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70,058</w:t>
            </w: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520"/>
              <w:spacing w:after="0"/>
              <w:rPr>
                <w:sz w:val="20"/>
                <w:szCs w:val="20"/>
                <w:color w:val="auto"/>
              </w:rPr>
            </w:pPr>
            <w:r>
              <w:rPr>
                <w:rFonts w:ascii="Arial" w:cs="Arial" w:eastAsia="Arial" w:hAnsi="Arial"/>
                <w:sz w:val="17"/>
                <w:szCs w:val="17"/>
                <w:color w:val="auto"/>
              </w:rPr>
              <w:t>Prepaid expenses and other current assets</w:t>
            </w: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1,384</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1,887</w:t>
            </w:r>
          </w:p>
        </w:tc>
        <w:tc>
          <w:tcPr>
            <w:tcW w:w="100" w:type="dxa"/>
            <w:vAlign w:val="bottom"/>
          </w:tcPr>
          <w:p>
            <w:pPr>
              <w:spacing w:after="0"/>
              <w:rPr>
                <w:sz w:val="18"/>
                <w:szCs w:val="18"/>
                <w:color w:val="auto"/>
              </w:rPr>
            </w:pPr>
          </w:p>
        </w:tc>
      </w:tr>
      <w:tr>
        <w:trPr>
          <w:trHeight w:val="210"/>
        </w:trPr>
        <w:tc>
          <w:tcPr>
            <w:tcW w:w="8000" w:type="dxa"/>
            <w:vAlign w:val="bottom"/>
            <w:shd w:val="clear" w:color="auto" w:fill="CFF0FC"/>
          </w:tcPr>
          <w:p>
            <w:pPr>
              <w:ind w:left="780"/>
              <w:spacing w:after="0"/>
              <w:rPr>
                <w:sz w:val="20"/>
                <w:szCs w:val="20"/>
                <w:color w:val="auto"/>
              </w:rPr>
            </w:pPr>
            <w:r>
              <w:rPr>
                <w:rFonts w:ascii="Arial" w:cs="Arial" w:eastAsia="Arial" w:hAnsi="Arial"/>
                <w:sz w:val="17"/>
                <w:szCs w:val="17"/>
                <w:b w:val="1"/>
                <w:bCs w:val="1"/>
                <w:color w:val="auto"/>
              </w:rPr>
              <w:t>Total current assets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36,797</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71,945</w:t>
            </w: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280"/>
              <w:spacing w:after="0"/>
              <w:rPr>
                <w:sz w:val="20"/>
                <w:szCs w:val="20"/>
                <w:color w:val="auto"/>
              </w:rPr>
            </w:pPr>
            <w:r>
              <w:rPr>
                <w:rFonts w:ascii="Arial" w:cs="Arial" w:eastAsia="Arial" w:hAnsi="Arial"/>
                <w:sz w:val="17"/>
                <w:szCs w:val="17"/>
                <w:color w:val="auto"/>
              </w:rPr>
              <w:t>Fixed assets, net</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3,206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4,424</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Lease right of use assets</w:t>
            </w:r>
          </w:p>
        </w:tc>
        <w:tc>
          <w:tcPr>
            <w:tcW w:w="340" w:type="dxa"/>
            <w:vAlign w:val="bottom"/>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816</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1,056</w:t>
            </w: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280"/>
              <w:spacing w:after="0"/>
              <w:rPr>
                <w:sz w:val="20"/>
                <w:szCs w:val="20"/>
                <w:color w:val="auto"/>
              </w:rPr>
            </w:pPr>
            <w:r>
              <w:rPr>
                <w:rFonts w:ascii="Arial" w:cs="Arial" w:eastAsia="Arial" w:hAnsi="Arial"/>
                <w:sz w:val="17"/>
                <w:szCs w:val="17"/>
                <w:color w:val="auto"/>
              </w:rPr>
              <w:t>Restricted cash</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266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Other assets</w:t>
            </w:r>
          </w:p>
        </w:tc>
        <w:tc>
          <w:tcPr>
            <w:tcW w:w="340" w:type="dxa"/>
            <w:vAlign w:val="bottom"/>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0"/>
        </w:trPr>
        <w:tc>
          <w:tcPr>
            <w:tcW w:w="8000" w:type="dxa"/>
            <w:vAlign w:val="bottom"/>
            <w:tcBorders>
              <w:top w:val="single" w:sz="8" w:color="CFF0FC"/>
            </w:tcBorders>
          </w:tcPr>
          <w:p>
            <w:pPr>
              <w:ind w:left="780"/>
              <w:spacing w:after="0"/>
              <w:rPr>
                <w:sz w:val="20"/>
                <w:szCs w:val="20"/>
                <w:color w:val="auto"/>
              </w:rPr>
            </w:pPr>
            <w:r>
              <w:rPr>
                <w:rFonts w:ascii="Arial" w:cs="Arial" w:eastAsia="Arial" w:hAnsi="Arial"/>
                <w:sz w:val="17"/>
                <w:szCs w:val="17"/>
                <w:b w:val="1"/>
                <w:bCs w:val="1"/>
                <w:color w:val="auto"/>
              </w:rPr>
              <w:t>Total assets</w:t>
            </w: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41,201</w:t>
            </w:r>
          </w:p>
        </w:tc>
        <w:tc>
          <w:tcPr>
            <w:tcW w:w="28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77,691</w:t>
            </w:r>
          </w:p>
        </w:tc>
        <w:tc>
          <w:tcPr>
            <w:tcW w:w="100" w:type="dxa"/>
            <w:vAlign w:val="bottom"/>
            <w:tcBorders>
              <w:top w:val="single" w:sz="8" w:color="CFF0FC"/>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8000" w:type="dxa"/>
            <w:vAlign w:val="bottom"/>
          </w:tcPr>
          <w:p>
            <w:pPr>
              <w:ind w:left="280"/>
              <w:spacing w:after="0"/>
              <w:rPr>
                <w:sz w:val="20"/>
                <w:szCs w:val="20"/>
                <w:color w:val="auto"/>
              </w:rPr>
            </w:pPr>
            <w:r>
              <w:rPr>
                <w:rFonts w:ascii="Arial" w:cs="Arial" w:eastAsia="Arial" w:hAnsi="Arial"/>
                <w:sz w:val="17"/>
                <w:szCs w:val="17"/>
                <w:color w:val="auto"/>
              </w:rPr>
              <w:t>Current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520"/>
              <w:spacing w:after="0"/>
              <w:rPr>
                <w:sz w:val="20"/>
                <w:szCs w:val="20"/>
                <w:color w:val="auto"/>
              </w:rPr>
            </w:pPr>
            <w:r>
              <w:rPr>
                <w:rFonts w:ascii="Arial" w:cs="Arial" w:eastAsia="Arial" w:hAnsi="Arial"/>
                <w:sz w:val="17"/>
                <w:szCs w:val="17"/>
                <w:color w:val="auto"/>
              </w:rPr>
              <w:t>Accounts payable</w:t>
            </w:r>
          </w:p>
        </w:tc>
        <w:tc>
          <w:tcPr>
            <w:tcW w:w="340" w:type="dxa"/>
            <w:vAlign w:val="bottom"/>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422</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380</w:t>
            </w: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520"/>
              <w:spacing w:after="0"/>
              <w:rPr>
                <w:sz w:val="20"/>
                <w:szCs w:val="20"/>
                <w:color w:val="auto"/>
              </w:rPr>
            </w:pPr>
            <w:r>
              <w:rPr>
                <w:rFonts w:ascii="Arial" w:cs="Arial" w:eastAsia="Arial" w:hAnsi="Arial"/>
                <w:sz w:val="17"/>
                <w:szCs w:val="17"/>
                <w:color w:val="auto"/>
              </w:rPr>
              <w:t>Accrued expenses</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4,356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4,723</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520"/>
              <w:spacing w:after="0"/>
              <w:rPr>
                <w:sz w:val="20"/>
                <w:szCs w:val="20"/>
                <w:color w:val="auto"/>
              </w:rPr>
            </w:pPr>
            <w:r>
              <w:rPr>
                <w:rFonts w:ascii="Arial" w:cs="Arial" w:eastAsia="Arial" w:hAnsi="Arial"/>
                <w:sz w:val="17"/>
                <w:szCs w:val="17"/>
                <w:color w:val="auto"/>
              </w:rPr>
              <w:t>Current portion of term loan payable to a bank</w:t>
            </w:r>
          </w:p>
        </w:tc>
        <w:tc>
          <w:tcPr>
            <w:tcW w:w="340" w:type="dxa"/>
            <w:vAlign w:val="bottom"/>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8,893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8000" w:type="dxa"/>
            <w:vAlign w:val="bottom"/>
          </w:tcPr>
          <w:p>
            <w:pPr>
              <w:ind w:left="520"/>
              <w:spacing w:after="0"/>
              <w:rPr>
                <w:sz w:val="20"/>
                <w:szCs w:val="20"/>
                <w:color w:val="auto"/>
              </w:rPr>
            </w:pPr>
            <w:r>
              <w:rPr>
                <w:rFonts w:ascii="Arial" w:cs="Arial" w:eastAsia="Arial" w:hAnsi="Arial"/>
                <w:sz w:val="17"/>
                <w:szCs w:val="17"/>
                <w:color w:val="auto"/>
              </w:rPr>
              <w:t>Current portion of lease liability</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513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520"/>
              <w:spacing w:after="0"/>
              <w:rPr>
                <w:sz w:val="20"/>
                <w:szCs w:val="20"/>
                <w:color w:val="auto"/>
              </w:rPr>
            </w:pPr>
            <w:r>
              <w:rPr>
                <w:rFonts w:ascii="Arial" w:cs="Arial" w:eastAsia="Arial" w:hAnsi="Arial"/>
                <w:sz w:val="17"/>
                <w:szCs w:val="17"/>
                <w:color w:val="auto"/>
              </w:rPr>
              <w:t>Other current liabilities</w:t>
            </w:r>
          </w:p>
        </w:tc>
        <w:tc>
          <w:tcPr>
            <w:tcW w:w="340" w:type="dxa"/>
            <w:vAlign w:val="bottom"/>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FF0FC"/>
          </w:tcPr>
          <w:p>
            <w:pPr>
              <w:spacing w:after="0"/>
              <w:rPr>
                <w:sz w:val="18"/>
                <w:szCs w:val="18"/>
                <w:color w:val="auto"/>
              </w:rPr>
            </w:pPr>
          </w:p>
        </w:tc>
      </w:tr>
      <w:tr>
        <w:trPr>
          <w:trHeight w:val="210"/>
        </w:trPr>
        <w:tc>
          <w:tcPr>
            <w:tcW w:w="8000" w:type="dxa"/>
            <w:vAlign w:val="bottom"/>
            <w:tcBorders>
              <w:top w:val="single" w:sz="8" w:color="CFF0FC"/>
            </w:tcBorders>
          </w:tcPr>
          <w:p>
            <w:pPr>
              <w:ind w:left="780"/>
              <w:spacing w:after="0"/>
              <w:rPr>
                <w:sz w:val="20"/>
                <w:szCs w:val="20"/>
                <w:color w:val="auto"/>
              </w:rPr>
            </w:pPr>
            <w:r>
              <w:rPr>
                <w:rFonts w:ascii="Arial" w:cs="Arial" w:eastAsia="Arial" w:hAnsi="Arial"/>
                <w:sz w:val="17"/>
                <w:szCs w:val="17"/>
                <w:b w:val="1"/>
                <w:bCs w:val="1"/>
                <w:color w:val="auto"/>
              </w:rPr>
              <w:t>Total current liabilities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14,184</w:t>
            </w:r>
          </w:p>
        </w:tc>
        <w:tc>
          <w:tcPr>
            <w:tcW w:w="28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5,615</w:t>
            </w:r>
          </w:p>
        </w:tc>
        <w:tc>
          <w:tcPr>
            <w:tcW w:w="100" w:type="dxa"/>
            <w:vAlign w:val="bottom"/>
            <w:tcBorders>
              <w:top w:val="single" w:sz="8" w:color="CFF0FC"/>
            </w:tcBorders>
          </w:tcPr>
          <w:p>
            <w:pPr>
              <w:spacing w:after="0"/>
              <w:rPr>
                <w:sz w:val="18"/>
                <w:szCs w:val="18"/>
                <w:color w:val="auto"/>
              </w:rPr>
            </w:pPr>
          </w:p>
        </w:tc>
      </w:tr>
      <w:tr>
        <w:trPr>
          <w:trHeight w:val="216"/>
        </w:trPr>
        <w:tc>
          <w:tcPr>
            <w:tcW w:w="80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Deferred revenue</w:t>
            </w:r>
          </w:p>
        </w:tc>
        <w:tc>
          <w:tcPr>
            <w:tcW w:w="340" w:type="dxa"/>
            <w:vAlign w:val="bottom"/>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280"/>
              <w:spacing w:after="0"/>
              <w:rPr>
                <w:sz w:val="20"/>
                <w:szCs w:val="20"/>
                <w:color w:val="auto"/>
              </w:rPr>
            </w:pPr>
            <w:r>
              <w:rPr>
                <w:rFonts w:ascii="Arial" w:cs="Arial" w:eastAsia="Arial" w:hAnsi="Arial"/>
                <w:sz w:val="17"/>
                <w:szCs w:val="17"/>
                <w:color w:val="auto"/>
              </w:rPr>
              <w:t>Term loan payable to a bank</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11,632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20,202</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Other long-term debt</w:t>
            </w:r>
          </w:p>
        </w:tc>
        <w:tc>
          <w:tcPr>
            <w:tcW w:w="340" w:type="dxa"/>
            <w:vAlign w:val="bottom"/>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751</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648</w:t>
            </w: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280"/>
              <w:spacing w:after="0"/>
              <w:rPr>
                <w:sz w:val="20"/>
                <w:szCs w:val="20"/>
                <w:color w:val="auto"/>
              </w:rPr>
            </w:pPr>
            <w:r>
              <w:rPr>
                <w:rFonts w:ascii="Arial" w:cs="Arial" w:eastAsia="Arial" w:hAnsi="Arial"/>
                <w:sz w:val="17"/>
                <w:szCs w:val="17"/>
                <w:color w:val="auto"/>
              </w:rPr>
              <w:t>Lease liability, net of current portion</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973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1,486</w:t>
            </w: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7"/>
                <w:szCs w:val="17"/>
                <w:color w:val="auto"/>
              </w:rPr>
              <w:t>Warrant liability</w:t>
            </w:r>
          </w:p>
        </w:tc>
        <w:tc>
          <w:tcPr>
            <w:tcW w:w="340" w:type="dxa"/>
            <w:vAlign w:val="bottom"/>
            <w:tcBorders>
              <w:bottom w:val="single" w:sz="8" w:color="auto"/>
            </w:tcBorders>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916</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000" w:type="dxa"/>
            <w:vAlign w:val="bottom"/>
          </w:tcPr>
          <w:p>
            <w:pPr>
              <w:ind w:left="780"/>
              <w:spacing w:after="0"/>
              <w:rPr>
                <w:sz w:val="20"/>
                <w:szCs w:val="20"/>
                <w:color w:val="auto"/>
              </w:rPr>
            </w:pPr>
            <w:r>
              <w:rPr>
                <w:rFonts w:ascii="Arial" w:cs="Arial" w:eastAsia="Arial" w:hAnsi="Arial"/>
                <w:sz w:val="17"/>
                <w:szCs w:val="17"/>
                <w:b w:val="1"/>
                <w:bCs w:val="1"/>
                <w:color w:val="auto"/>
              </w:rPr>
              <w:t>Total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28,456</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29,977</w:t>
            </w:r>
          </w:p>
        </w:tc>
        <w:tc>
          <w:tcPr>
            <w:tcW w:w="100" w:type="dxa"/>
            <w:vAlign w:val="bottom"/>
          </w:tcPr>
          <w:p>
            <w:pPr>
              <w:spacing w:after="0"/>
              <w:rPr>
                <w:sz w:val="18"/>
                <w:szCs w:val="18"/>
                <w:color w:val="auto"/>
              </w:rPr>
            </w:pPr>
          </w:p>
        </w:tc>
      </w:tr>
      <w:tr>
        <w:trPr>
          <w:trHeight w:val="210"/>
        </w:trPr>
        <w:tc>
          <w:tcPr>
            <w:tcW w:w="80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Commitments and contingencies (Note 15)</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280"/>
              <w:spacing w:after="0"/>
              <w:rPr>
                <w:sz w:val="20"/>
                <w:szCs w:val="20"/>
                <w:color w:val="auto"/>
              </w:rPr>
            </w:pPr>
            <w:r>
              <w:rPr>
                <w:rFonts w:ascii="Arial" w:cs="Arial" w:eastAsia="Arial" w:hAnsi="Arial"/>
                <w:sz w:val="17"/>
                <w:szCs w:val="17"/>
                <w:color w:val="auto"/>
              </w:rPr>
              <w:t>Stockholders’ equity:</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0"/>
        </w:trPr>
        <w:tc>
          <w:tcPr>
            <w:tcW w:w="8000" w:type="dxa"/>
            <w:vAlign w:val="bottom"/>
            <w:shd w:val="clear" w:color="auto" w:fill="CFF0FC"/>
          </w:tcPr>
          <w:p>
            <w:pPr>
              <w:ind w:left="520"/>
              <w:spacing w:after="0" w:line="180" w:lineRule="exact"/>
              <w:rPr>
                <w:sz w:val="20"/>
                <w:szCs w:val="20"/>
                <w:color w:val="auto"/>
              </w:rPr>
            </w:pPr>
            <w:r>
              <w:rPr>
                <w:rFonts w:ascii="Arial" w:cs="Arial" w:eastAsia="Arial" w:hAnsi="Arial"/>
                <w:sz w:val="17"/>
                <w:szCs w:val="17"/>
                <w:color w:val="auto"/>
              </w:rPr>
              <w:t>Preferred stock, $0.01 par value; 10,000,000 shares authorized at December 31, 2023 and</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5"/>
        </w:trPr>
        <w:tc>
          <w:tcPr>
            <w:tcW w:w="8000" w:type="dxa"/>
            <w:vAlign w:val="bottom"/>
            <w:shd w:val="clear" w:color="auto" w:fill="CFF0FC"/>
          </w:tcPr>
          <w:p>
            <w:pPr>
              <w:ind w:left="520"/>
              <w:spacing w:after="0"/>
              <w:rPr>
                <w:sz w:val="20"/>
                <w:szCs w:val="20"/>
                <w:color w:val="auto"/>
              </w:rPr>
            </w:pPr>
            <w:r>
              <w:rPr>
                <w:rFonts w:ascii="Arial" w:cs="Arial" w:eastAsia="Arial" w:hAnsi="Arial"/>
                <w:sz w:val="17"/>
                <w:szCs w:val="17"/>
                <w:color w:val="auto"/>
              </w:rPr>
              <w:t>2022; no shares issued or outstanding at December 31, 2023 and 2022, respectively.</w:t>
            </w:r>
          </w:p>
        </w:tc>
        <w:tc>
          <w:tcPr>
            <w:tcW w:w="340" w:type="dxa"/>
            <w:vAlign w:val="bottom"/>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180"/>
        </w:trPr>
        <w:tc>
          <w:tcPr>
            <w:tcW w:w="8000" w:type="dxa"/>
            <w:vAlign w:val="bottom"/>
          </w:tcPr>
          <w:p>
            <w:pPr>
              <w:ind w:left="520"/>
              <w:spacing w:after="0" w:line="180" w:lineRule="exact"/>
              <w:rPr>
                <w:sz w:val="20"/>
                <w:szCs w:val="20"/>
                <w:color w:val="auto"/>
              </w:rPr>
            </w:pPr>
            <w:r>
              <w:rPr>
                <w:rFonts w:ascii="Arial" w:cs="Arial" w:eastAsia="Arial" w:hAnsi="Arial"/>
                <w:sz w:val="17"/>
                <w:szCs w:val="17"/>
                <w:color w:val="auto"/>
              </w:rPr>
              <w:t>Common stock, $0.01 par value; 150,000,000 shares authorized at December 31, 2023 and</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8000" w:type="dxa"/>
            <w:vAlign w:val="bottom"/>
          </w:tcPr>
          <w:p>
            <w:pPr>
              <w:ind w:left="520"/>
              <w:spacing w:after="0" w:line="189" w:lineRule="exact"/>
              <w:rPr>
                <w:sz w:val="20"/>
                <w:szCs w:val="20"/>
                <w:color w:val="auto"/>
              </w:rPr>
            </w:pPr>
            <w:r>
              <w:rPr>
                <w:rFonts w:ascii="Arial" w:cs="Arial" w:eastAsia="Arial" w:hAnsi="Arial"/>
                <w:sz w:val="17"/>
                <w:szCs w:val="17"/>
                <w:color w:val="auto"/>
              </w:rPr>
              <w:t>2022; 29,213,627 and 29,042,418 shares issued at December 31, 2023 and 2022, respectively;</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000" w:type="dxa"/>
            <w:vAlign w:val="bottom"/>
          </w:tcPr>
          <w:p>
            <w:pPr>
              <w:ind w:left="520"/>
              <w:spacing w:after="0" w:line="189" w:lineRule="exact"/>
              <w:rPr>
                <w:sz w:val="20"/>
                <w:szCs w:val="20"/>
                <w:color w:val="auto"/>
              </w:rPr>
            </w:pPr>
            <w:r>
              <w:rPr>
                <w:rFonts w:ascii="Arial" w:cs="Arial" w:eastAsia="Arial" w:hAnsi="Arial"/>
                <w:sz w:val="17"/>
                <w:szCs w:val="17"/>
                <w:color w:val="auto"/>
              </w:rPr>
              <w:t>and 29,091,019 and 28,919,810 shares outstanding at December 31, 2023 and 2022,</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8000" w:type="dxa"/>
            <w:vAlign w:val="bottom"/>
          </w:tcPr>
          <w:p>
            <w:pPr>
              <w:ind w:left="520"/>
              <w:spacing w:after="0"/>
              <w:rPr>
                <w:sz w:val="20"/>
                <w:szCs w:val="20"/>
                <w:color w:val="auto"/>
              </w:rPr>
            </w:pPr>
            <w:r>
              <w:rPr>
                <w:rFonts w:ascii="Arial" w:cs="Arial" w:eastAsia="Arial" w:hAnsi="Arial"/>
                <w:sz w:val="17"/>
                <w:szCs w:val="17"/>
                <w:color w:val="auto"/>
              </w:rPr>
              <w:t>respectively.</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290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290</w:t>
            </w:r>
          </w:p>
        </w:tc>
        <w:tc>
          <w:tcPr>
            <w:tcW w:w="100" w:type="dxa"/>
            <w:vAlign w:val="bottom"/>
          </w:tcPr>
          <w:p>
            <w:pPr>
              <w:spacing w:after="0"/>
              <w:rPr>
                <w:sz w:val="19"/>
                <w:szCs w:val="19"/>
                <w:color w:val="auto"/>
              </w:rPr>
            </w:pPr>
          </w:p>
        </w:tc>
      </w:tr>
      <w:tr>
        <w:trPr>
          <w:trHeight w:val="216"/>
        </w:trPr>
        <w:tc>
          <w:tcPr>
            <w:tcW w:w="8000" w:type="dxa"/>
            <w:vAlign w:val="bottom"/>
            <w:shd w:val="clear" w:color="auto" w:fill="CFF0FC"/>
          </w:tcPr>
          <w:p>
            <w:pPr>
              <w:ind w:left="520"/>
              <w:spacing w:after="0"/>
              <w:rPr>
                <w:sz w:val="20"/>
                <w:szCs w:val="20"/>
                <w:color w:val="auto"/>
              </w:rPr>
            </w:pPr>
            <w:r>
              <w:rPr>
                <w:rFonts w:ascii="Arial" w:cs="Arial" w:eastAsia="Arial" w:hAnsi="Arial"/>
                <w:sz w:val="17"/>
                <w:szCs w:val="17"/>
                <w:color w:val="auto"/>
              </w:rPr>
              <w:t>Treasury stock (at cost)</w:t>
            </w:r>
          </w:p>
        </w:tc>
        <w:tc>
          <w:tcPr>
            <w:tcW w:w="340" w:type="dxa"/>
            <w:vAlign w:val="bottom"/>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(448 )</w:t>
            </w:r>
          </w:p>
        </w:tc>
        <w:tc>
          <w:tcPr>
            <w:tcW w:w="4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(448 )</w:t>
            </w:r>
          </w:p>
        </w:tc>
      </w:tr>
      <w:tr>
        <w:trPr>
          <w:trHeight w:val="216"/>
        </w:trPr>
        <w:tc>
          <w:tcPr>
            <w:tcW w:w="8000" w:type="dxa"/>
            <w:vAlign w:val="bottom"/>
          </w:tcPr>
          <w:p>
            <w:pPr>
              <w:ind w:left="520"/>
              <w:spacing w:after="0"/>
              <w:rPr>
                <w:sz w:val="20"/>
                <w:szCs w:val="20"/>
                <w:color w:val="auto"/>
              </w:rPr>
            </w:pPr>
            <w:r>
              <w:rPr>
                <w:rFonts w:ascii="Arial" w:cs="Arial" w:eastAsia="Arial" w:hAnsi="Arial"/>
                <w:sz w:val="17"/>
                <w:szCs w:val="17"/>
                <w:color w:val="auto"/>
              </w:rPr>
              <w:t>Additional paid-in capital</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149,931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146,961</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520"/>
              <w:spacing w:after="0"/>
              <w:rPr>
                <w:sz w:val="20"/>
                <w:szCs w:val="20"/>
                <w:color w:val="auto"/>
              </w:rPr>
            </w:pPr>
            <w:r>
              <w:rPr>
                <w:rFonts w:ascii="Arial" w:cs="Arial" w:eastAsia="Arial" w:hAnsi="Arial"/>
                <w:sz w:val="17"/>
                <w:szCs w:val="17"/>
                <w:color w:val="auto"/>
              </w:rPr>
              <w:t>Accumulated deficit</w:t>
            </w:r>
          </w:p>
        </w:tc>
        <w:tc>
          <w:tcPr>
            <w:tcW w:w="340" w:type="dxa"/>
            <w:vAlign w:val="bottom"/>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(137,028 )</w:t>
            </w:r>
          </w:p>
        </w:tc>
        <w:tc>
          <w:tcPr>
            <w:tcW w:w="4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(99,089 )</w:t>
            </w:r>
          </w:p>
        </w:tc>
      </w:tr>
      <w:tr>
        <w:trPr>
          <w:trHeight w:val="210"/>
        </w:trPr>
        <w:tc>
          <w:tcPr>
            <w:tcW w:w="8000" w:type="dxa"/>
            <w:vAlign w:val="bottom"/>
            <w:tcBorders>
              <w:top w:val="single" w:sz="8" w:color="CFF0FC"/>
            </w:tcBorders>
          </w:tcPr>
          <w:p>
            <w:pPr>
              <w:ind w:left="780"/>
              <w:spacing w:after="0"/>
              <w:rPr>
                <w:sz w:val="20"/>
                <w:szCs w:val="20"/>
                <w:color w:val="auto"/>
              </w:rPr>
            </w:pPr>
            <w:r>
              <w:rPr>
                <w:rFonts w:ascii="Arial" w:cs="Arial" w:eastAsia="Arial" w:hAnsi="Arial"/>
                <w:sz w:val="17"/>
                <w:szCs w:val="17"/>
                <w:b w:val="1"/>
                <w:bCs w:val="1"/>
                <w:color w:val="auto"/>
              </w:rPr>
              <w:t>Total stockholders’ equity</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12,745</w:t>
            </w:r>
          </w:p>
        </w:tc>
        <w:tc>
          <w:tcPr>
            <w:tcW w:w="28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47,714</w:t>
            </w:r>
          </w:p>
        </w:tc>
        <w:tc>
          <w:tcPr>
            <w:tcW w:w="100" w:type="dxa"/>
            <w:vAlign w:val="bottom"/>
            <w:tcBorders>
              <w:top w:val="single" w:sz="8" w:color="CFF0FC"/>
            </w:tcBorders>
          </w:tcPr>
          <w:p>
            <w:pPr>
              <w:spacing w:after="0"/>
              <w:rPr>
                <w:sz w:val="18"/>
                <w:szCs w:val="18"/>
                <w:color w:val="auto"/>
              </w:rPr>
            </w:pPr>
          </w:p>
        </w:tc>
      </w:tr>
      <w:tr>
        <w:trPr>
          <w:trHeight w:val="250"/>
        </w:trPr>
        <w:tc>
          <w:tcPr>
            <w:tcW w:w="80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7"/>
                <w:szCs w:val="17"/>
                <w:b w:val="1"/>
                <w:bCs w:val="1"/>
                <w:color w:val="auto"/>
              </w:rPr>
              <w:t>Total liabilities and stockholders’ equity</w:t>
            </w:r>
          </w:p>
        </w:tc>
        <w:tc>
          <w:tcPr>
            <w:tcW w:w="340" w:type="dxa"/>
            <w:vAlign w:val="bottom"/>
            <w:tcBorders>
              <w:bottom w:val="single" w:sz="8" w:color="auto"/>
            </w:tcBorders>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41,201</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77,691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80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-4019550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-2888615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-2888615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-2056765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-462280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-153670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5" w:name="page126"/>
    <w:bookmarkEnd w:id="125"/>
    <w:p>
      <w:pPr>
        <w:jc w:val="center"/>
        <w:ind w:right="4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70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Research and development service revenue, related party</w:t>
            </w:r>
          </w:p>
        </w:tc>
        <w:tc>
          <w:tcPr>
            <w:tcW w:w="380" w:type="dxa"/>
            <w:vAlign w:val="bottom"/>
            <w:shd w:val="clear" w:color="auto" w:fill="CFF0FC"/>
          </w:tcPr>
          <w:p>
            <w:pPr>
              <w:jc w:val="right"/>
              <w:ind w:right="175"/>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FF0FC"/>
          </w:tcPr>
          <w:p>
            <w:pPr>
              <w:spacing w:after="0"/>
              <w:rPr>
                <w:sz w:val="18"/>
                <w:szCs w:val="18"/>
                <w:color w:val="auto"/>
              </w:rPr>
            </w:pPr>
          </w:p>
        </w:tc>
      </w:tr>
      <w:tr>
        <w:trPr>
          <w:trHeight w:val="209"/>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7"/>
                <w:szCs w:val="17"/>
                <w:b w:val="1"/>
                <w:bCs w:val="1"/>
                <w:color w:val="auto"/>
              </w:rPr>
              <w:t>Operating expenses:</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Research and development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24,506</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20,787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7"/>
                <w:szCs w:val="17"/>
                <w:color w:val="auto"/>
              </w:rPr>
              <w:t>General and administrative</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13,885</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14,060</w:t>
            </w:r>
          </w:p>
        </w:tc>
        <w:tc>
          <w:tcPr>
            <w:tcW w:w="100" w:type="dxa"/>
            <w:vAlign w:val="bottom"/>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7"/>
                <w:szCs w:val="17"/>
                <w:b w:val="1"/>
                <w:bCs w:val="1"/>
                <w:color w:val="auto"/>
              </w:rPr>
              <w:t>Total operating expenses</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38,391</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34,847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780"/>
              <w:spacing w:after="0"/>
              <w:rPr>
                <w:sz w:val="20"/>
                <w:szCs w:val="20"/>
                <w:color w:val="auto"/>
              </w:rPr>
            </w:pPr>
            <w:r>
              <w:rPr>
                <w:rFonts w:ascii="Arial" w:cs="Arial" w:eastAsia="Arial" w:hAnsi="Arial"/>
                <w:sz w:val="17"/>
                <w:szCs w:val="17"/>
                <w:b w:val="1"/>
                <w:bCs w:val="1"/>
                <w:color w:val="auto"/>
              </w:rPr>
              <w:t>Loss from operations</w:t>
            </w:r>
          </w:p>
        </w:tc>
        <w:tc>
          <w:tcPr>
            <w:tcW w:w="3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(38,391 )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(34,722 )</w:t>
            </w:r>
          </w:p>
        </w:tc>
      </w:tr>
      <w:tr>
        <w:trPr>
          <w:trHeight w:val="210"/>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Other income (expense):</w:t>
            </w: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520"/>
              <w:spacing w:after="0"/>
              <w:rPr>
                <w:sz w:val="20"/>
                <w:szCs w:val="20"/>
                <w:color w:val="auto"/>
              </w:rPr>
            </w:pPr>
            <w:r>
              <w:rPr>
                <w:rFonts w:ascii="Arial" w:cs="Arial" w:eastAsia="Arial" w:hAnsi="Arial"/>
                <w:sz w:val="17"/>
                <w:szCs w:val="17"/>
                <w:color w:val="auto"/>
              </w:rPr>
              <w:t>Grant income</w:t>
            </w:r>
          </w:p>
        </w:tc>
        <w:tc>
          <w:tcPr>
            <w:tcW w:w="38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520"/>
              <w:spacing w:after="0"/>
              <w:rPr>
                <w:sz w:val="20"/>
                <w:szCs w:val="20"/>
                <w:color w:val="auto"/>
              </w:rPr>
            </w:pPr>
            <w:r>
              <w:rPr>
                <w:rFonts w:ascii="Arial" w:cs="Arial" w:eastAsia="Arial" w:hAnsi="Arial"/>
                <w:sz w:val="17"/>
                <w:szCs w:val="17"/>
                <w:color w:val="auto"/>
              </w:rPr>
              <w:t>Interest income</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2,081</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520"/>
              <w:spacing w:after="0"/>
              <w:rPr>
                <w:sz w:val="20"/>
                <w:szCs w:val="20"/>
                <w:color w:val="auto"/>
              </w:rPr>
            </w:pPr>
            <w:r>
              <w:rPr>
                <w:rFonts w:ascii="Arial" w:cs="Arial" w:eastAsia="Arial" w:hAnsi="Arial"/>
                <w:sz w:val="17"/>
                <w:szCs w:val="17"/>
                <w:color w:val="auto"/>
              </w:rPr>
              <w:t>Interest expense</w:t>
            </w:r>
          </w:p>
        </w:tc>
        <w:tc>
          <w:tcPr>
            <w:tcW w:w="3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(2,595 )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(1,708 )</w:t>
            </w:r>
          </w:p>
        </w:tc>
      </w:tr>
      <w:tr>
        <w:trPr>
          <w:trHeight w:val="216"/>
        </w:trPr>
        <w:tc>
          <w:tcPr>
            <w:tcW w:w="77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7"/>
                <w:szCs w:val="17"/>
                <w:color w:val="auto"/>
              </w:rPr>
              <w:t>Change in fair value of warrant liability</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966</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16,370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780"/>
              <w:spacing w:after="0"/>
              <w:rPr>
                <w:sz w:val="20"/>
                <w:szCs w:val="20"/>
                <w:color w:val="auto"/>
              </w:rPr>
            </w:pPr>
            <w:r>
              <w:rPr>
                <w:rFonts w:ascii="Arial" w:cs="Arial" w:eastAsia="Arial" w:hAnsi="Arial"/>
                <w:sz w:val="17"/>
                <w:szCs w:val="17"/>
                <w:b w:val="1"/>
                <w:bCs w:val="1"/>
                <w:color w:val="auto"/>
              </w:rPr>
              <w:t>Total other income (expense), net</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15,928</w:t>
            </w:r>
          </w:p>
        </w:tc>
        <w:tc>
          <w:tcPr>
            <w:tcW w:w="100" w:type="dxa"/>
            <w:vAlign w:val="bottom"/>
          </w:tcPr>
          <w:p>
            <w:pPr>
              <w:spacing w:after="0"/>
              <w:rPr>
                <w:sz w:val="18"/>
                <w:szCs w:val="18"/>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Net loss and comprehensive loss</w:t>
            </w:r>
          </w:p>
        </w:tc>
        <w:tc>
          <w:tcPr>
            <w:tcW w:w="380" w:type="dxa"/>
            <w:vAlign w:val="bottom"/>
            <w:shd w:val="clear" w:color="auto" w:fill="CFF0FC"/>
          </w:tcPr>
          <w:p>
            <w:pPr>
              <w:jc w:val="right"/>
              <w:ind w:right="175"/>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(37,939 )</w:t>
            </w:r>
          </w:p>
        </w:tc>
        <w:tc>
          <w:tcPr>
            <w:tcW w:w="360" w:type="dxa"/>
            <w:vAlign w:val="bottom"/>
            <w:shd w:val="clear" w:color="auto" w:fill="CFF0FC"/>
          </w:tcPr>
          <w:p>
            <w:pPr>
              <w:jc w:val="right"/>
              <w:ind w:right="175"/>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(18,794 )</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Net loss per share, basic and diluted</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(1.31 )</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(0.65 )</w:t>
            </w: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b w:val="1"/>
                <w:bCs w:val="1"/>
                <w:color w:val="auto"/>
              </w:rPr>
              <w:t>Weighted-average common shares outstanding, basic and diluted</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28,935,289</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28,823,480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77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-2193925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-1628140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-788035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-496570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-479425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-153670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6" w:name="page127"/>
    <w:bookmarkEnd w:id="126"/>
    <w:p>
      <w:pPr>
        <w:jc w:val="center"/>
        <w:ind w:right="4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80" w:type="dxa"/>
            <w:vAlign w:val="bottom"/>
          </w:tcPr>
          <w:p>
            <w:pPr>
              <w:spacing w:after="0"/>
              <w:rPr>
                <w:sz w:val="15"/>
                <w:szCs w:val="15"/>
                <w:color w:val="auto"/>
              </w:rPr>
            </w:pPr>
          </w:p>
        </w:tc>
        <w:tc>
          <w:tcPr>
            <w:tcW w:w="2120" w:type="dxa"/>
            <w:vAlign w:val="bottom"/>
            <w:gridSpan w:val="4"/>
          </w:tcPr>
          <w:p>
            <w:pPr>
              <w:jc w:val="right"/>
              <w:ind w:right="413"/>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5"/>
                <w:szCs w:val="15"/>
                <w:color w:val="auto"/>
              </w:rPr>
            </w:pPr>
          </w:p>
        </w:tc>
        <w:tc>
          <w:tcPr>
            <w:tcW w:w="224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2"/>
                <w:szCs w:val="12"/>
                <w:color w:val="auto"/>
              </w:rPr>
            </w:pPr>
          </w:p>
        </w:tc>
        <w:tc>
          <w:tcPr>
            <w:tcW w:w="148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2"/>
                <w:szCs w:val="12"/>
                <w:color w:val="auto"/>
              </w:rPr>
            </w:pPr>
          </w:p>
        </w:tc>
        <w:tc>
          <w:tcPr>
            <w:tcW w:w="154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04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2"/>
                <w:szCs w:val="12"/>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2"/>
                <w:szCs w:val="12"/>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5"/>
                <w:szCs w:val="15"/>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5"/>
                <w:szCs w:val="15"/>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1"/>
        </w:trPr>
        <w:tc>
          <w:tcPr>
            <w:tcW w:w="2080" w:type="dxa"/>
            <w:vAlign w:val="bottom"/>
            <w:shd w:val="clear" w:color="auto" w:fill="CFF0FC"/>
          </w:tcPr>
          <w:p>
            <w:pPr>
              <w:ind w:left="20"/>
              <w:spacing w:after="0" w:line="141" w:lineRule="exact"/>
              <w:rPr>
                <w:sz w:val="20"/>
                <w:szCs w:val="20"/>
                <w:color w:val="auto"/>
              </w:rPr>
            </w:pPr>
            <w:r>
              <w:rPr>
                <w:rFonts w:ascii="Arial" w:cs="Arial" w:eastAsia="Arial" w:hAnsi="Arial"/>
                <w:sz w:val="13"/>
                <w:szCs w:val="13"/>
                <w:b w:val="1"/>
                <w:bCs w:val="1"/>
                <w:color w:val="auto"/>
              </w:rPr>
              <w:t>Balance as of December 31,</w:t>
            </w:r>
          </w:p>
        </w:tc>
        <w:tc>
          <w:tcPr>
            <w:tcW w:w="10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4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2021</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28,689,842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144,146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(80,295 )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64,137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rPr>
                <w:sz w:val="20"/>
                <w:szCs w:val="20"/>
                <w:color w:val="auto"/>
              </w:rPr>
            </w:pPr>
            <w:r>
              <w:rPr>
                <w:rFonts w:ascii="Arial" w:cs="Arial" w:eastAsia="Arial" w:hAnsi="Arial"/>
                <w:sz w:val="13"/>
                <w:szCs w:val="13"/>
                <w:color w:val="auto"/>
              </w:rPr>
              <w:t>Options exercised</w:t>
            </w:r>
          </w:p>
        </w:tc>
        <w:tc>
          <w:tcPr>
            <w:tcW w:w="1040" w:type="dxa"/>
            <w:vAlign w:val="bottom"/>
          </w:tcPr>
          <w:p>
            <w:pPr>
              <w:jc w:val="right"/>
              <w:spacing w:after="0"/>
              <w:rPr>
                <w:sz w:val="20"/>
                <w:szCs w:val="20"/>
                <w:color w:val="auto"/>
              </w:rPr>
            </w:pPr>
            <w:r>
              <w:rPr>
                <w:rFonts w:ascii="Arial" w:cs="Arial" w:eastAsia="Arial" w:hAnsi="Arial"/>
                <w:sz w:val="13"/>
                <w:szCs w:val="13"/>
                <w:color w:val="auto"/>
              </w:rPr>
              <w:t>352,576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Treasury stock acquired</w:t>
            </w: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40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(122,608 )</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(448 )</w:t>
            </w: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(448 )</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3,145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3,145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Change in fair value of</w:t>
            </w: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NC Ohio Trust Warrants</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(838 )</w:t>
            </w:r>
          </w:p>
        </w:tc>
        <w:tc>
          <w:tcPr>
            <w:tcW w:w="1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(838 )</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(18,794 )</w:t>
            </w:r>
          </w:p>
        </w:tc>
        <w:tc>
          <w:tcPr>
            <w:tcW w:w="140" w:type="dxa"/>
            <w:vAlign w:val="bottom"/>
          </w:tcPr>
          <w:p>
            <w:pPr>
              <w:spacing w:after="0"/>
              <w:rPr>
                <w:sz w:val="15"/>
                <w:szCs w:val="15"/>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3"/>
                <w:szCs w:val="13"/>
                <w:color w:val="auto"/>
              </w:rPr>
              <w:t>(18,794 )</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80" w:type="dxa"/>
            <w:vAlign w:val="bottom"/>
            <w:shd w:val="clear" w:color="auto" w:fill="CFF0FC"/>
          </w:tcPr>
          <w:p>
            <w:pPr>
              <w:ind w:left="20"/>
              <w:spacing w:after="0" w:line="141" w:lineRule="exact"/>
              <w:rPr>
                <w:sz w:val="20"/>
                <w:szCs w:val="20"/>
                <w:color w:val="auto"/>
              </w:rPr>
            </w:pPr>
            <w:r>
              <w:rPr>
                <w:rFonts w:ascii="Arial" w:cs="Arial" w:eastAsia="Arial" w:hAnsi="Arial"/>
                <w:sz w:val="13"/>
                <w:szCs w:val="13"/>
                <w:b w:val="1"/>
                <w:bCs w:val="1"/>
                <w:color w:val="auto"/>
              </w:rPr>
              <w:t>Balance as of December 31,</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29,042,418</w:t>
            </w:r>
          </w:p>
        </w:tc>
        <w:tc>
          <w:tcPr>
            <w:tcW w:w="240" w:type="dxa"/>
            <w:vAlign w:val="bottom"/>
            <w:vMerge w:val="restart"/>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290</w:t>
            </w:r>
          </w:p>
        </w:tc>
        <w:tc>
          <w:tcPr>
            <w:tcW w:w="240" w:type="dxa"/>
            <w:vAlign w:val="bottom"/>
            <w:vMerge w:val="restart"/>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(122,608 )</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(448 )</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146,961</w:t>
            </w:r>
          </w:p>
        </w:tc>
        <w:tc>
          <w:tcPr>
            <w:tcW w:w="22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(99,089 )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47,714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80" w:type="dxa"/>
            <w:vAlign w:val="bottom"/>
            <w:shd w:val="clear" w:color="auto" w:fill="CFF0FC"/>
          </w:tcPr>
          <w:p>
            <w:pPr>
              <w:ind w:left="20"/>
              <w:spacing w:after="0" w:line="116" w:lineRule="exact"/>
              <w:rPr>
                <w:sz w:val="20"/>
                <w:szCs w:val="20"/>
                <w:color w:val="auto"/>
              </w:rPr>
            </w:pPr>
            <w:r>
              <w:rPr>
                <w:rFonts w:ascii="Arial" w:cs="Arial" w:eastAsia="Arial" w:hAnsi="Arial"/>
                <w:sz w:val="13"/>
                <w:szCs w:val="13"/>
                <w:b w:val="1"/>
                <w:bCs w:val="1"/>
                <w:color w:val="auto"/>
              </w:rPr>
              <w:t>2022</w:t>
            </w:r>
          </w:p>
        </w:tc>
        <w:tc>
          <w:tcPr>
            <w:tcW w:w="1040" w:type="dxa"/>
            <w:vAlign w:val="bottom"/>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1160" w:type="dxa"/>
            <w:vAlign w:val="bottom"/>
            <w:gridSpan w:val="2"/>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980" w:type="dxa"/>
            <w:vAlign w:val="bottom"/>
            <w:gridSpan w:val="2"/>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96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1480" w:type="dxa"/>
            <w:vAlign w:val="bottom"/>
            <w:gridSpan w:val="2"/>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14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8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Stock-based compensation</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3,137</w:t>
            </w: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3,137</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Restricted stock unit vesting, net</w:t>
            </w: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of shares withheld for taxes</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171,209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(121 )</w:t>
            </w:r>
          </w:p>
        </w:tc>
        <w:tc>
          <w:tcPr>
            <w:tcW w:w="1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(121 )</w:t>
            </w:r>
          </w:p>
        </w:tc>
        <w:tc>
          <w:tcPr>
            <w:tcW w:w="0" w:type="dxa"/>
            <w:vAlign w:val="bottom"/>
          </w:tcPr>
          <w:p>
            <w:pPr>
              <w:spacing w:after="0"/>
              <w:rPr>
                <w:sz w:val="1"/>
                <w:szCs w:val="1"/>
                <w:color w:val="auto"/>
              </w:rPr>
            </w:pPr>
          </w:p>
        </w:tc>
      </w:tr>
      <w:tr>
        <w:trPr>
          <w:trHeight w:val="149"/>
        </w:trPr>
        <w:tc>
          <w:tcPr>
            <w:tcW w:w="2080" w:type="dxa"/>
            <w:vAlign w:val="bottom"/>
          </w:tcPr>
          <w:p>
            <w:pPr>
              <w:ind w:left="20"/>
              <w:spacing w:after="0"/>
              <w:rPr>
                <w:sz w:val="20"/>
                <w:szCs w:val="20"/>
                <w:color w:val="auto"/>
              </w:rPr>
            </w:pPr>
            <w:r>
              <w:rPr>
                <w:rFonts w:ascii="Arial" w:cs="Arial" w:eastAsia="Arial" w:hAnsi="Arial"/>
                <w:sz w:val="13"/>
                <w:szCs w:val="13"/>
                <w:color w:val="auto"/>
              </w:rPr>
              <w:t>Change in fair value of</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rPr>
                <w:sz w:val="20"/>
                <w:szCs w:val="20"/>
                <w:color w:val="auto"/>
              </w:rPr>
            </w:pPr>
            <w:r>
              <w:rPr>
                <w:rFonts w:ascii="Arial" w:cs="Arial" w:eastAsia="Arial" w:hAnsi="Arial"/>
                <w:sz w:val="13"/>
                <w:szCs w:val="13"/>
                <w:color w:val="auto"/>
              </w:rPr>
              <w:t>NC Ohio Trust Warrants</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(46 )</w:t>
            </w:r>
          </w:p>
        </w:tc>
        <w:tc>
          <w:tcPr>
            <w:tcW w:w="12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3"/>
                <w:szCs w:val="13"/>
                <w:color w:val="auto"/>
              </w:rPr>
              <w:t>(46 )</w:t>
            </w:r>
          </w:p>
        </w:tc>
        <w:tc>
          <w:tcPr>
            <w:tcW w:w="0" w:type="dxa"/>
            <w:vAlign w:val="bottom"/>
          </w:tcPr>
          <w:p>
            <w:pPr>
              <w:spacing w:after="0"/>
              <w:rPr>
                <w:sz w:val="1"/>
                <w:szCs w:val="1"/>
                <w:color w:val="auto"/>
              </w:rPr>
            </w:pPr>
          </w:p>
        </w:tc>
      </w:tr>
      <w:tr>
        <w:trPr>
          <w:trHeight w:val="175"/>
        </w:trPr>
        <w:tc>
          <w:tcPr>
            <w:tcW w:w="2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(37,939 )</w:t>
            </w:r>
          </w:p>
        </w:tc>
        <w:tc>
          <w:tcPr>
            <w:tcW w:w="14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(37,939 )</w:t>
            </w:r>
          </w:p>
        </w:tc>
        <w:tc>
          <w:tcPr>
            <w:tcW w:w="0" w:type="dxa"/>
            <w:vAlign w:val="bottom"/>
          </w:tcPr>
          <w:p>
            <w:pPr>
              <w:spacing w:after="0"/>
              <w:rPr>
                <w:sz w:val="1"/>
                <w:szCs w:val="1"/>
                <w:color w:val="auto"/>
              </w:rPr>
            </w:pPr>
          </w:p>
        </w:tc>
      </w:tr>
      <w:tr>
        <w:trPr>
          <w:trHeight w:val="20"/>
        </w:trPr>
        <w:tc>
          <w:tcPr>
            <w:tcW w:w="20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80" w:type="dxa"/>
            <w:vAlign w:val="bottom"/>
          </w:tcPr>
          <w:p>
            <w:pPr>
              <w:ind w:left="20"/>
              <w:spacing w:after="0" w:line="141" w:lineRule="exact"/>
              <w:rPr>
                <w:sz w:val="20"/>
                <w:szCs w:val="20"/>
                <w:color w:val="auto"/>
              </w:rPr>
            </w:pPr>
            <w:r>
              <w:rPr>
                <w:rFonts w:ascii="Arial" w:cs="Arial" w:eastAsia="Arial" w:hAnsi="Arial"/>
                <w:sz w:val="13"/>
                <w:szCs w:val="13"/>
                <w:b w:val="1"/>
                <w:bCs w:val="1"/>
                <w:color w:val="auto"/>
              </w:rPr>
              <w:t>Balance as of December 31,</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29,213,627</w:t>
            </w:r>
          </w:p>
        </w:tc>
        <w:tc>
          <w:tcPr>
            <w:tcW w:w="240" w:type="dxa"/>
            <w:vAlign w:val="bottom"/>
            <w:vMerge w:val="restart"/>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290</w:t>
            </w:r>
          </w:p>
        </w:tc>
        <w:tc>
          <w:tcPr>
            <w:tcW w:w="240" w:type="dxa"/>
            <w:vAlign w:val="bottom"/>
            <w:vMerge w:val="restart"/>
          </w:tcPr>
          <w:p>
            <w:pPr>
              <w:spacing w:after="0"/>
              <w:rPr>
                <w:sz w:val="12"/>
                <w:szCs w:val="12"/>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(122,608 )</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(448 )</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149,931</w:t>
            </w:r>
          </w:p>
        </w:tc>
        <w:tc>
          <w:tcPr>
            <w:tcW w:w="2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(137,028 )</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12,745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16" w:lineRule="exact"/>
              <w:rPr>
                <w:sz w:val="20"/>
                <w:szCs w:val="20"/>
                <w:color w:val="auto"/>
              </w:rPr>
            </w:pPr>
            <w:r>
              <w:rPr>
                <w:rFonts w:ascii="Arial" w:cs="Arial" w:eastAsia="Arial" w:hAnsi="Arial"/>
                <w:sz w:val="13"/>
                <w:szCs w:val="13"/>
                <w:b w:val="1"/>
                <w:bCs w:val="1"/>
                <w:color w:val="auto"/>
              </w:rPr>
              <w:t>2023</w:t>
            </w:r>
          </w:p>
        </w:tc>
        <w:tc>
          <w:tcPr>
            <w:tcW w:w="104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-950595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-934085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-950595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-934085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-950595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-934085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-950595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-934085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-950595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-934085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-950595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-934085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-290830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-290830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-290830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-290830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-290830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-290830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7" w:name="page128"/>
    <w:bookmarkEnd w:id="127"/>
    <w:p>
      <w:pPr>
        <w:jc w:val="center"/>
        <w:ind w:right="4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2"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0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7"/>
                <w:szCs w:val="17"/>
                <w:color w:val="auto"/>
              </w:rPr>
              <w:t>Net loss</w:t>
            </w:r>
          </w:p>
        </w:tc>
        <w:tc>
          <w:tcPr>
            <w:tcW w:w="980" w:type="dxa"/>
            <w:vAlign w:val="bottom"/>
          </w:tcPr>
          <w:p>
            <w:pPr>
              <w:jc w:val="right"/>
              <w:ind w:right="776"/>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6"/>
              </w:rPr>
              <w:t>(37,939 )</w:t>
            </w:r>
          </w:p>
        </w:tc>
        <w:tc>
          <w:tcPr>
            <w:tcW w:w="360" w:type="dxa"/>
            <w:vAlign w:val="bottom"/>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(18,794 )</w:t>
            </w:r>
          </w:p>
        </w:tc>
      </w:tr>
      <w:tr>
        <w:trPr>
          <w:trHeight w:val="216"/>
        </w:trPr>
        <w:tc>
          <w:tcPr>
            <w:tcW w:w="7700" w:type="dxa"/>
            <w:vAlign w:val="bottom"/>
            <w:shd w:val="clear" w:color="auto" w:fill="CFF0FC"/>
          </w:tcPr>
          <w:p>
            <w:pPr>
              <w:ind w:left="5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780"/>
              <w:spacing w:after="0"/>
              <w:rPr>
                <w:sz w:val="20"/>
                <w:szCs w:val="20"/>
                <w:color w:val="auto"/>
              </w:rPr>
            </w:pPr>
            <w:r>
              <w:rPr>
                <w:rFonts w:ascii="Arial" w:cs="Arial" w:eastAsia="Arial" w:hAnsi="Arial"/>
                <w:sz w:val="17"/>
                <w:szCs w:val="17"/>
                <w:color w:val="auto"/>
              </w:rPr>
              <w:t>Depreciation expense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960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778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780"/>
              <w:spacing w:after="0"/>
              <w:rPr>
                <w:sz w:val="20"/>
                <w:szCs w:val="20"/>
                <w:color w:val="auto"/>
              </w:rPr>
            </w:pPr>
            <w:r>
              <w:rPr>
                <w:rFonts w:ascii="Arial" w:cs="Arial" w:eastAsia="Arial" w:hAnsi="Arial"/>
                <w:sz w:val="17"/>
                <w:szCs w:val="17"/>
                <w:color w:val="auto"/>
              </w:rPr>
              <w:t>Impairment of fixed assets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390</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7700" w:type="dxa"/>
            <w:vAlign w:val="bottom"/>
          </w:tcPr>
          <w:p>
            <w:pPr>
              <w:ind w:left="780"/>
              <w:spacing w:after="0"/>
              <w:rPr>
                <w:sz w:val="20"/>
                <w:szCs w:val="20"/>
                <w:color w:val="auto"/>
              </w:rPr>
            </w:pPr>
            <w:r>
              <w:rPr>
                <w:rFonts w:ascii="Arial" w:cs="Arial" w:eastAsia="Arial" w:hAnsi="Arial"/>
                <w:sz w:val="17"/>
                <w:szCs w:val="17"/>
                <w:color w:val="auto"/>
              </w:rPr>
              <w:t>Loss on the sale of fixed assets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7700" w:type="dxa"/>
            <w:vAlign w:val="bottom"/>
            <w:shd w:val="clear" w:color="auto" w:fill="CFF0FC"/>
          </w:tcPr>
          <w:p>
            <w:pPr>
              <w:ind w:left="780"/>
              <w:spacing w:after="0"/>
              <w:rPr>
                <w:sz w:val="20"/>
                <w:szCs w:val="20"/>
                <w:color w:val="auto"/>
              </w:rPr>
            </w:pPr>
            <w:r>
              <w:rPr>
                <w:rFonts w:ascii="Arial" w:cs="Arial" w:eastAsia="Arial" w:hAnsi="Arial"/>
                <w:sz w:val="17"/>
                <w:szCs w:val="17"/>
                <w:color w:val="auto"/>
              </w:rPr>
              <w:t>Non-cash stock compensation expense</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3,091</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2,307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780"/>
              <w:spacing w:after="0"/>
              <w:rPr>
                <w:sz w:val="20"/>
                <w:szCs w:val="20"/>
                <w:color w:val="auto"/>
              </w:rPr>
            </w:pPr>
            <w:r>
              <w:rPr>
                <w:rFonts w:ascii="Arial" w:cs="Arial" w:eastAsia="Arial" w:hAnsi="Arial"/>
                <w:sz w:val="17"/>
                <w:szCs w:val="17"/>
                <w:color w:val="auto"/>
              </w:rPr>
              <w:t>Non-cash lease expense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240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780"/>
              <w:spacing w:after="0"/>
              <w:rPr>
                <w:sz w:val="20"/>
                <w:szCs w:val="20"/>
                <w:color w:val="auto"/>
              </w:rPr>
            </w:pPr>
            <w:r>
              <w:rPr>
                <w:rFonts w:ascii="Arial" w:cs="Arial" w:eastAsia="Arial" w:hAnsi="Arial"/>
                <w:sz w:val="17"/>
                <w:szCs w:val="17"/>
                <w:color w:val="auto"/>
              </w:rPr>
              <w:t>Non-cash interest expense</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780"/>
              <w:spacing w:after="0"/>
              <w:rPr>
                <w:sz w:val="20"/>
                <w:szCs w:val="20"/>
                <w:color w:val="auto"/>
              </w:rPr>
            </w:pPr>
            <w:r>
              <w:rPr>
                <w:rFonts w:ascii="Arial" w:cs="Arial" w:eastAsia="Arial" w:hAnsi="Arial"/>
                <w:sz w:val="17"/>
                <w:szCs w:val="17"/>
                <w:color w:val="auto"/>
              </w:rPr>
              <w:t>Change in fair value of warrant liability</w:t>
            </w: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(966 )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(16,370 )</w:t>
            </w:r>
          </w:p>
        </w:tc>
      </w:tr>
      <w:tr>
        <w:trPr>
          <w:trHeight w:val="216"/>
        </w:trPr>
        <w:tc>
          <w:tcPr>
            <w:tcW w:w="7700" w:type="dxa"/>
            <w:vAlign w:val="bottom"/>
            <w:shd w:val="clear" w:color="auto" w:fill="CFF0FC"/>
          </w:tcPr>
          <w:p>
            <w:pPr>
              <w:ind w:left="780"/>
              <w:spacing w:after="0"/>
              <w:rPr>
                <w:sz w:val="20"/>
                <w:szCs w:val="20"/>
                <w:color w:val="auto"/>
              </w:rPr>
            </w:pPr>
            <w:r>
              <w:rPr>
                <w:rFonts w:ascii="Arial" w:cs="Arial" w:eastAsia="Arial" w:hAnsi="Arial"/>
                <w:sz w:val="17"/>
                <w:szCs w:val="17"/>
                <w:color w:val="auto"/>
              </w:rPr>
              <w:t>Accretion of debt discount</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323</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520"/>
              <w:spacing w:after="0"/>
              <w:rPr>
                <w:sz w:val="20"/>
                <w:szCs w:val="20"/>
                <w:color w:val="auto"/>
              </w:rPr>
            </w:pPr>
            <w:r>
              <w:rPr>
                <w:rFonts w:ascii="Arial" w:cs="Arial" w:eastAsia="Arial" w:hAnsi="Arial"/>
                <w:sz w:val="17"/>
                <w:szCs w:val="17"/>
                <w:color w:val="auto"/>
              </w:rPr>
              <w:t>Changes in operating assets and liabilities: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780"/>
              <w:spacing w:after="0"/>
              <w:rPr>
                <w:sz w:val="20"/>
                <w:szCs w:val="20"/>
                <w:color w:val="auto"/>
              </w:rPr>
            </w:pPr>
            <w:r>
              <w:rPr>
                <w:rFonts w:ascii="Arial" w:cs="Arial" w:eastAsia="Arial" w:hAnsi="Arial"/>
                <w:sz w:val="17"/>
                <w:szCs w:val="17"/>
                <w:color w:val="auto"/>
              </w:rPr>
              <w:t>Prepaid expenses and other current assets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503</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780"/>
              <w:spacing w:after="0"/>
              <w:rPr>
                <w:sz w:val="20"/>
                <w:szCs w:val="20"/>
                <w:color w:val="auto"/>
              </w:rPr>
            </w:pPr>
            <w:r>
              <w:rPr>
                <w:rFonts w:ascii="Arial" w:cs="Arial" w:eastAsia="Arial" w:hAnsi="Arial"/>
                <w:sz w:val="17"/>
                <w:szCs w:val="17"/>
                <w:color w:val="auto"/>
              </w:rPr>
              <w:t>Other assets</w:t>
            </w: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(116 )</w:t>
            </w: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7700" w:type="dxa"/>
            <w:vAlign w:val="bottom"/>
            <w:shd w:val="clear" w:color="auto" w:fill="CFF0FC"/>
          </w:tcPr>
          <w:p>
            <w:pPr>
              <w:ind w:left="780"/>
              <w:spacing w:after="0"/>
              <w:rPr>
                <w:sz w:val="20"/>
                <w:szCs w:val="20"/>
                <w:color w:val="auto"/>
              </w:rPr>
            </w:pPr>
            <w:r>
              <w:rPr>
                <w:rFonts w:ascii="Arial" w:cs="Arial" w:eastAsia="Arial" w:hAnsi="Arial"/>
                <w:sz w:val="17"/>
                <w:szCs w:val="17"/>
                <w:color w:val="auto"/>
              </w:rPr>
              <w:t>Accounts payable</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(1,213 )</w:t>
            </w:r>
          </w:p>
        </w:tc>
      </w:tr>
      <w:tr>
        <w:trPr>
          <w:trHeight w:val="216"/>
        </w:trPr>
        <w:tc>
          <w:tcPr>
            <w:tcW w:w="7700" w:type="dxa"/>
            <w:vAlign w:val="bottom"/>
          </w:tcPr>
          <w:p>
            <w:pPr>
              <w:ind w:left="780"/>
              <w:spacing w:after="0"/>
              <w:rPr>
                <w:sz w:val="20"/>
                <w:szCs w:val="20"/>
                <w:color w:val="auto"/>
              </w:rPr>
            </w:pPr>
            <w:r>
              <w:rPr>
                <w:rFonts w:ascii="Arial" w:cs="Arial" w:eastAsia="Arial" w:hAnsi="Arial"/>
                <w:sz w:val="17"/>
                <w:szCs w:val="17"/>
                <w:color w:val="auto"/>
              </w:rPr>
              <w:t>Accrued expenses</w:t>
            </w: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(301 )</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1,265</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780"/>
              <w:spacing w:after="0"/>
              <w:rPr>
                <w:sz w:val="20"/>
                <w:szCs w:val="20"/>
                <w:color w:val="auto"/>
              </w:rPr>
            </w:pPr>
            <w:r>
              <w:rPr>
                <w:rFonts w:ascii="Arial" w:cs="Arial" w:eastAsia="Arial" w:hAnsi="Arial"/>
                <w:sz w:val="17"/>
                <w:szCs w:val="17"/>
                <w:color w:val="auto"/>
              </w:rPr>
              <w:t>Deferred revenue</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(192 )</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780"/>
              <w:spacing w:after="0"/>
              <w:rPr>
                <w:sz w:val="20"/>
                <w:szCs w:val="20"/>
                <w:color w:val="auto"/>
              </w:rPr>
            </w:pPr>
            <w:r>
              <w:rPr>
                <w:rFonts w:ascii="Arial" w:cs="Arial" w:eastAsia="Arial" w:hAnsi="Arial"/>
                <w:sz w:val="17"/>
                <w:szCs w:val="17"/>
                <w:color w:val="auto"/>
              </w:rPr>
              <w:t>Lease liability</w:t>
            </w: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(464 )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(464 )</w:t>
            </w:r>
          </w:p>
        </w:tc>
      </w:tr>
      <w:tr>
        <w:trPr>
          <w:trHeight w:val="20"/>
        </w:trPr>
        <w:tc>
          <w:tcPr>
            <w:tcW w:w="77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cash used in operating activities</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w w:val="96"/>
              </w:rPr>
              <w:t>(34,244 )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b w:val="1"/>
                <w:bCs w:val="1"/>
                <w:color w:val="auto"/>
              </w:rPr>
              <w:t>(31,419 )</w:t>
            </w:r>
          </w:p>
        </w:tc>
      </w:tr>
      <w:tr>
        <w:trPr>
          <w:trHeight w:val="209"/>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Purchase of fixed assets</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(457 )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(1,297 )</w:t>
            </w:r>
          </w:p>
        </w:tc>
      </w:tr>
      <w:tr>
        <w:trPr>
          <w:trHeight w:val="216"/>
        </w:trPr>
        <w:tc>
          <w:tcPr>
            <w:tcW w:w="7700" w:type="dxa"/>
            <w:vAlign w:val="bottom"/>
          </w:tcPr>
          <w:p>
            <w:pPr>
              <w:ind w:left="280"/>
              <w:spacing w:after="0"/>
              <w:rPr>
                <w:sz w:val="20"/>
                <w:szCs w:val="20"/>
                <w:color w:val="auto"/>
              </w:rPr>
            </w:pPr>
            <w:r>
              <w:rPr>
                <w:rFonts w:ascii="Arial" w:cs="Arial" w:eastAsia="Arial" w:hAnsi="Arial"/>
                <w:sz w:val="17"/>
                <w:szCs w:val="17"/>
                <w:color w:val="auto"/>
              </w:rPr>
              <w:t>Proceeds from the sale of fixed assets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cash used in investing activities</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(280 )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b w:val="1"/>
                <w:bCs w:val="1"/>
                <w:color w:val="auto"/>
              </w:rPr>
              <w:t>(1,297 )</w:t>
            </w:r>
          </w:p>
        </w:tc>
      </w:tr>
      <w:tr>
        <w:trPr>
          <w:trHeight w:val="210"/>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Net proceeds from bank term loan</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19,910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7"/>
                <w:szCs w:val="17"/>
                <w:color w:val="auto"/>
              </w:rPr>
              <w:t>Payments related to tax withholding for vested restricted stock units</w:t>
            </w: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(121 )</w:t>
            </w: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7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7"/>
                <w:szCs w:val="17"/>
                <w:color w:val="auto"/>
              </w:rPr>
              <w:t>Proceeds from option exercises</w:t>
            </w: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(121 )</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19,974</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decrease in cash</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w w:val="96"/>
              </w:rPr>
              <w:t>(34,645 )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b w:val="1"/>
                <w:bCs w:val="1"/>
                <w:color w:val="auto"/>
              </w:rPr>
              <w:t>(12,742 )</w:t>
            </w:r>
          </w:p>
        </w:tc>
      </w:tr>
      <w:tr>
        <w:trPr>
          <w:trHeight w:val="216"/>
        </w:trPr>
        <w:tc>
          <w:tcPr>
            <w:tcW w:w="770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70,324</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83,066</w:t>
            </w:r>
          </w:p>
        </w:tc>
        <w:tc>
          <w:tcPr>
            <w:tcW w:w="10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98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35,679</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70,324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Supplemental cash flow information:</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Cash paid for taxes</w:t>
            </w:r>
          </w:p>
        </w:tc>
        <w:tc>
          <w:tcPr>
            <w:tcW w:w="980" w:type="dxa"/>
            <w:vAlign w:val="bottom"/>
            <w:shd w:val="clear" w:color="auto" w:fill="CFF0FC"/>
          </w:tcPr>
          <w:p>
            <w:pPr>
              <w:jc w:val="right"/>
              <w:ind w:right="776"/>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7"/>
                <w:szCs w:val="17"/>
                <w:color w:val="auto"/>
              </w:rPr>
              <w:t>Cash paid for interest</w:t>
            </w:r>
          </w:p>
        </w:tc>
        <w:tc>
          <w:tcPr>
            <w:tcW w:w="980" w:type="dxa"/>
            <w:vAlign w:val="bottom"/>
          </w:tcPr>
          <w:p>
            <w:pPr>
              <w:jc w:val="right"/>
              <w:ind w:right="776"/>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2,148</w:t>
            </w:r>
          </w:p>
        </w:tc>
        <w:tc>
          <w:tcPr>
            <w:tcW w:w="300" w:type="dxa"/>
            <w:vAlign w:val="bottom"/>
          </w:tcPr>
          <w:p>
            <w:pPr>
              <w:spacing w:after="0"/>
              <w:rPr>
                <w:sz w:val="18"/>
                <w:szCs w:val="18"/>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1,152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Supplemental disclosures of non-cash information:</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7"/>
                <w:szCs w:val="17"/>
                <w:color w:val="auto"/>
              </w:rPr>
              <w:t>Lease liability arising from obtaining right-of-use assets</w:t>
            </w:r>
          </w:p>
        </w:tc>
        <w:tc>
          <w:tcPr>
            <w:tcW w:w="980" w:type="dxa"/>
            <w:vAlign w:val="bottom"/>
          </w:tcPr>
          <w:p>
            <w:pPr>
              <w:jc w:val="right"/>
              <w:ind w:right="776"/>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2,368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Capital expenditures in accounts payable and accrued expenses</w:t>
            </w:r>
          </w:p>
        </w:tc>
        <w:tc>
          <w:tcPr>
            <w:tcW w:w="980" w:type="dxa"/>
            <w:vAlign w:val="bottom"/>
            <w:shd w:val="clear" w:color="auto" w:fill="CFF0FC"/>
          </w:tcPr>
          <w:p>
            <w:pPr>
              <w:jc w:val="right"/>
              <w:ind w:right="776"/>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FF0FC"/>
          </w:tcPr>
          <w:p>
            <w:pPr>
              <w:spacing w:after="0"/>
              <w:rPr>
                <w:sz w:val="18"/>
                <w:szCs w:val="18"/>
                <w:color w:val="auto"/>
              </w:rPr>
            </w:pPr>
          </w:p>
        </w:tc>
      </w:tr>
      <w:tr>
        <w:trPr>
          <w:trHeight w:val="225"/>
        </w:trPr>
        <w:tc>
          <w:tcPr>
            <w:tcW w:w="7700" w:type="dxa"/>
            <w:vAlign w:val="bottom"/>
          </w:tcPr>
          <w:p>
            <w:pPr>
              <w:ind w:left="280"/>
              <w:spacing w:after="0"/>
              <w:rPr>
                <w:sz w:val="20"/>
                <w:szCs w:val="20"/>
                <w:color w:val="auto"/>
              </w:rPr>
            </w:pPr>
            <w:r>
              <w:rPr>
                <w:rFonts w:ascii="Arial" w:cs="Arial" w:eastAsia="Arial" w:hAnsi="Arial"/>
                <w:sz w:val="17"/>
                <w:szCs w:val="17"/>
                <w:color w:val="auto"/>
              </w:rPr>
              <w:t>Common stock exchange for option exercise</w:t>
            </w:r>
          </w:p>
        </w:tc>
        <w:tc>
          <w:tcPr>
            <w:tcW w:w="980" w:type="dxa"/>
            <w:vAlign w:val="bottom"/>
          </w:tcPr>
          <w:p>
            <w:pPr>
              <w:jc w:val="right"/>
              <w:ind w:right="776"/>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448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-2687955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-2687955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-2122170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-2122170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-1565275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-1565275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-990600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-973455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-990600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-973455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8" w:name="page129"/>
    <w:bookmarkEnd w:id="128"/>
    <w:p>
      <w:pPr>
        <w:jc w:val="center"/>
        <w:ind w:right="40"/>
        <w:spacing w:after="0"/>
        <w:rPr>
          <w:sz w:val="20"/>
          <w:szCs w:val="20"/>
          <w:color w:val="auto"/>
        </w:rPr>
      </w:pPr>
      <w:r>
        <w:rPr>
          <w:rFonts w:ascii="Arial" w:cs="Arial" w:eastAsia="Arial" w:hAnsi="Arial"/>
          <w:sz w:val="17"/>
          <w:szCs w:val="17"/>
          <w:b w:val="1"/>
          <w:bCs w:val="1"/>
          <w:color w:val="auto"/>
        </w:rPr>
        <w:t>CANDEL THERAPEUTICS, INC.</w:t>
      </w:r>
    </w:p>
    <w:p>
      <w:pPr>
        <w:spacing w:after="0" w:line="10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10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Candel Therapeutics, Inc., formerly known as Advantagene, Inc. (the Company), is a clinical stage biopharmaceutical company that was incorporated in Delaware in June 2003. On November 30, 2020, the Company changed its name to Candel Therapeutics, Inc. The Company is focused on developing off-the-shelf viral immunotherapies that elicit an individualized, systemic anti-tumor immune response to help patients fight cancer. The Company’s engineered viruses are designed to induce immunogenic cell death through direct viral-mediated cytotoxicity in cancer cells, thus releasing tumor neo-antigens and creating a pro-inflammatory microenvironment at the site of injection. This is intended to lead to in-situ vaccination against the injected tumor and uninjected distant metastases. The Company has established two off-the-shelf viral immunotherapy platforms and its two product candidates, CAN-2409 and CAN-3110, are in clinical trials for a number of tumor types. Additionally, the Company and the University of Pennsylvania (UPenn) are collaborating to study the impact of novel viral immunotherapies based on Candel's propriety enLIGHTEN™ Discovery Platform, a systematic, iterative herpes simplex virus based platform leveraging human biology and advanced analytics, to strengthen the effects of UPenn's investigational CAR-T cell therapies in solid tumors.</w:t>
      </w:r>
    </w:p>
    <w:p>
      <w:pPr>
        <w:spacing w:after="0" w:line="103"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15"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Since inception, the Company has funded its operations primarily with proceeds from the sale of its convertible notes and capital stock and from debt borrowings. The Company has incurred recurring losses since its inception, including a net loss of $37.9 million and $18.8 million for the years ended December 31, 2023, and 2022, respectively. In addition, as of December 31, 2023, the Company had an accumulated deficit of $137.0 million. The Company expects to continue to generate operating losses and negative cash flows from operations for the foreseeable future.</w:t>
      </w:r>
    </w:p>
    <w:p>
      <w:pPr>
        <w:spacing w:after="0" w:line="69"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On August 5, 2022, the Company filed a shelf registration statement on Form S-3 (as amended to date,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Subsequent to December 31, 2023 and through March 21, 2024, we have sold and issued 109,485 shares of common stock under the ATM Program, with total net proceeds of $0.2 million.</w:t>
      </w:r>
    </w:p>
    <w:p>
      <w:pPr>
        <w:spacing w:after="0" w:line="74"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Company’s cash and cash equivalents were $35.4 million as of December 31, 2023. In accordance with the Financial Accounting Standards Board (FASB) Accounting Standards Codification, 205-40, Presentation of Financial Statements - Going Concern, management is required to assess the Company’s ability to continue as a going concern for the one-year look forward period following the date that the consolidated financial statements are issued. The Company's expects to continue to generate operating losses and negative cash flows from operations. Based on these conditions, the Company has determined that substantial doubt exists regarding its ability to continue as a going concern for the one-year period following the date these consolidated financial statements are issued. To sustain its future operations beyond such one-year period, the Company will require additional funding. The Company expects to finance its cash needs through a combination of public or private equity or debt financings, government grants, and other sources, which may include collaborations, strategic alliances and licensing arrangements with third parties. There is no assurance that the Company will be successful in obtaining sufficient funding on acceptable terms, if at all, and the Company could be forced to delay, reduce, or eliminate some or all of its research, clinical trials, product development or future commercialization efforts, which could materially adversely affect its business prospects or its ability to continue as a going concern.</w:t>
      </w:r>
    </w:p>
    <w:p>
      <w:pPr>
        <w:spacing w:after="0" w:line="73" w:lineRule="exact"/>
        <w:rPr>
          <w:sz w:val="20"/>
          <w:szCs w:val="20"/>
          <w:color w:val="auto"/>
        </w:rPr>
      </w:pPr>
    </w:p>
    <w:p>
      <w:pPr>
        <w:ind w:right="660"/>
        <w:spacing w:after="0" w:line="249" w:lineRule="auto"/>
        <w:rPr>
          <w:sz w:val="20"/>
          <w:szCs w:val="20"/>
          <w:color w:val="auto"/>
        </w:rPr>
      </w:pPr>
      <w:r>
        <w:rPr>
          <w:rFonts w:ascii="Arial" w:cs="Arial" w:eastAsia="Arial" w:hAnsi="Arial"/>
          <w:sz w:val="17"/>
          <w:szCs w:val="17"/>
          <w:color w:val="auto"/>
        </w:rPr>
        <w:t>The consolidated financial statements do not include any adjustments that might result from the outcome of this uncertainty. Accordingly, the consolidated financial statements have been prepared on a basis that assumes the Company will continue as a going concern and that contemplates the realization of assets and satisfaction of liabilities and commitments in the ordinary course of business.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29"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standards set by the Financial Accounting Standards Board (FASB). The FASB sets generally accepted accounting principles (GAAP) that the Company follows to ensure its financial condition, results of operations, and cash flows are consistently reported. References to GAAP issued by the FASB in these notes to the financial statements are to the FASB Accounting Standards Codification (ASC). The Company has reclassified certain amounts relating to its prior period results to conform to its current period presentation.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42"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color w:val="auto"/>
        </w:rPr>
        <w:t>The consolidated financial statements include the accounts of Candel Therapeutics, Inc. and its wholly owned subsidiary Candel Therapeutics Securities Corporation. All intercompany transactions and balances have been eliminated.</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decision-maker in deciding how to allocate resources and assess performance. The Company and the Company's chief operating decision maker, the Company's chief executive officer, views the Company's operations and manages its business as a single operating segment. The Company only operates in the United States.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12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is (i)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4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preparation of the Company’s consolidated financial statements in conformity with GAAP requires management to make estimates and assumptions that affect the reported amounts of assets, liabilities, and related disclosure of contingent assets and liabilities at the date of the financial statements and reported amounts of revenue and expenses during the reporting period. On an ongoing basis, the Company’s management evaluates its estimates, which include but are not limited to management’s judgments of accrued expenses, valuation of stock-based option awards, valuations of warrants, and income taxes. Actual results could differ from those estimates.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4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The Company considers all highly liquid investments purchased with original final maturities of three months or less from the date of purchase to be cash equivalents. Cash and cash equivalents comprise marketable securities with maturities of less than three months when purchased. Cash equivalents are reported at fair value.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129"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Company had $0.3 million of restricted cash as of both December 31, 2023 and 2022, which represents cash held as a security deposit under the terms of the Company’s Needham, Massachusetts facility lease.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3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14" w:lineRule="exact"/>
        <w:rPr>
          <w:sz w:val="20"/>
          <w:szCs w:val="20"/>
          <w:color w:val="auto"/>
        </w:rPr>
      </w:pPr>
    </w:p>
    <w:p>
      <w:pPr>
        <w:ind w:left="5500" w:right="4940" w:hanging="5118"/>
        <w:spacing w:after="0" w:line="548" w:lineRule="auto"/>
        <w:tabs>
          <w:tab w:leader="none" w:pos="76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Level 1—Quoted prices in active markets for identical assets or liabilities. 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130" w:name="page131"/>
    <w:bookmarkEnd w:id="130"/>
    <w:p>
      <w:pPr>
        <w:ind w:left="760" w:right="420" w:hanging="378"/>
        <w:spacing w:after="0" w:line="238" w:lineRule="auto"/>
        <w:tabs>
          <w:tab w:leader="none" w:pos="76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ind w:left="760" w:hanging="378"/>
        <w:spacing w:after="0" w:line="247" w:lineRule="auto"/>
        <w:tabs>
          <w:tab w:leader="none" w:pos="76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07" w:lineRule="exact"/>
        <w:rPr>
          <w:sz w:val="20"/>
          <w:szCs w:val="20"/>
          <w:color w:val="auto"/>
        </w:rPr>
      </w:pPr>
    </w:p>
    <w:p>
      <w:pPr>
        <w:jc w:val="both"/>
        <w:ind w:right="240"/>
        <w:spacing w:after="0" w:line="249" w:lineRule="auto"/>
        <w:rPr>
          <w:sz w:val="20"/>
          <w:szCs w:val="20"/>
          <w:color w:val="auto"/>
        </w:rPr>
      </w:pPr>
      <w:r>
        <w:rPr>
          <w:rFonts w:ascii="Arial" w:cs="Arial" w:eastAsia="Arial" w:hAnsi="Arial"/>
          <w:sz w:val="17"/>
          <w:szCs w:val="17"/>
          <w:color w:val="auto"/>
        </w:rPr>
        <w:t>The carrying values of cash and cash equivalents (considered as Level 1 measurements), accounts payable, and accrued expenses approximate their fair values due to the short-term nature of these assets and liabilities. The carrying value of the Company's term loan approximates fair value due to the variable interest rate. The Company’s warrant liability is carried at fair value and is classified as Level 3 measurement.</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42"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color w:val="auto"/>
        </w:rPr>
        <w:t>Property and equipment consist of laboratory and manufacturing equipment, networking and computer equipment, furniture and fixtures and leasehold improvements. Property and equipment are recorded at cost, and depreciated using the straight-line method over the estimated useful lives of the respective assets: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w:t>
            </w:r>
          </w:p>
        </w:tc>
        <w:tc>
          <w:tcPr>
            <w:tcW w:w="200" w:type="dxa"/>
            <w:vAlign w:val="bottom"/>
          </w:tcPr>
          <w:p>
            <w:pPr>
              <w:spacing w:after="0"/>
              <w:rPr>
                <w:sz w:val="16"/>
                <w:szCs w:val="16"/>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ESTIMATED USEFUL LIFE</w:t>
            </w: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Networking and computer equipment</w:t>
            </w:r>
          </w:p>
        </w:tc>
        <w:tc>
          <w:tcPr>
            <w:tcW w:w="200" w:type="dxa"/>
            <w:vAlign w:val="bottom"/>
            <w:shd w:val="clear" w:color="auto" w:fill="CFF0FC"/>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5 years</w:t>
            </w:r>
          </w:p>
        </w:tc>
      </w:tr>
      <w:tr>
        <w:trPr>
          <w:trHeight w:val="216"/>
        </w:trPr>
        <w:tc>
          <w:tcPr>
            <w:tcW w:w="5820" w:type="dxa"/>
            <w:vAlign w:val="bottom"/>
          </w:tcPr>
          <w:p>
            <w:pPr>
              <w:ind w:left="20"/>
              <w:spacing w:after="0"/>
              <w:rPr>
                <w:sz w:val="20"/>
                <w:szCs w:val="20"/>
                <w:color w:val="auto"/>
              </w:rPr>
            </w:pPr>
            <w:r>
              <w:rPr>
                <w:rFonts w:ascii="Arial" w:cs="Arial" w:eastAsia="Arial" w:hAnsi="Arial"/>
                <w:sz w:val="17"/>
                <w:szCs w:val="17"/>
                <w:color w:val="auto"/>
              </w:rPr>
              <w:t>Laboratory equipment</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5 years</w:t>
            </w: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7"/>
                <w:szCs w:val="17"/>
                <w:color w:val="auto"/>
              </w:rPr>
              <w:t>Manufacturing equipment</w:t>
            </w:r>
          </w:p>
        </w:tc>
        <w:tc>
          <w:tcPr>
            <w:tcW w:w="200" w:type="dxa"/>
            <w:vAlign w:val="bottom"/>
            <w:shd w:val="clear" w:color="auto" w:fill="CFF0FC"/>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5 years</w:t>
            </w:r>
          </w:p>
        </w:tc>
      </w:tr>
      <w:tr>
        <w:trPr>
          <w:trHeight w:val="216"/>
        </w:trPr>
        <w:tc>
          <w:tcPr>
            <w:tcW w:w="582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5 years</w:t>
            </w: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Leasehold improvements</w:t>
            </w:r>
          </w:p>
        </w:tc>
        <w:tc>
          <w:tcPr>
            <w:tcW w:w="200" w:type="dxa"/>
            <w:vAlign w:val="bottom"/>
            <w:shd w:val="clear" w:color="auto" w:fill="CFF0FC"/>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Shorter of the useful life or remaining lease term</w:t>
            </w:r>
          </w:p>
        </w:tc>
      </w:tr>
      <w:tr>
        <w:trPr>
          <w:trHeight w:val="203"/>
        </w:trPr>
        <w:tc>
          <w:tcPr>
            <w:tcW w:w="5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20" w:type="dxa"/>
            <w:vAlign w:val="bottom"/>
            <w:tcBorders>
              <w:bottom w:val="single" w:sz="8" w:color="auto"/>
            </w:tcBorders>
          </w:tcPr>
          <w:p>
            <w:pPr>
              <w:spacing w:after="0"/>
              <w:rPr>
                <w:sz w:val="17"/>
                <w:szCs w:val="17"/>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4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Company adopted ASC 842 as of January 1, 2022 and elected the transition method under ASU 2016-02 whereby the Company records a right-of-use asset and a lease liability on the balance sheet for all leases with terms longer than 12 months. The Company also elected to apply the practical expedients intended to ease transition. Accordingly, the Company has only applied ASC 842 to leases existing as of January 1, 2022. The Company determines if an arrangement is, or contains, a lease at inception.</w:t>
      </w:r>
    </w:p>
    <w:p>
      <w:pPr>
        <w:spacing w:after="0" w:line="9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Lease right of use assets represent the Company’s right to use an underlying asset for the lease term and lease liabilities represent the Company’s obligation to make lease payments arising from the lease. Lease right of use assets and lease liabilities are recognized at the lease commencement date based on the present value of lease payments to be made over the lease term. The lease right of use asset is equal to the lease liability and adjusted for prepaid rent, initial direct costs, and incentives. As the Company’s leases do not provide an implicit rate, the Company uses its incremental borrowing rate based on the information available at the lease commencement date in determining the present value of lease payments. The lease terms may include options to extend or terminate the lease when it is reasonably certain that the Company will exercise that option. Operating lease expense is recognized on a straight-line basis over the lease term. The Company has elected to not apply the recognition requirements of ASC 842 for short-term leases, which is defined as a lease that, at the lease commencement date, has a lease term of 12 months or less and does not include an option to purchase the underlying asset that the Company is reasonably certain to exercise.</w:t>
      </w:r>
    </w:p>
    <w:p>
      <w:pPr>
        <w:spacing w:after="0" w:line="120" w:lineRule="exact"/>
        <w:rPr>
          <w:sz w:val="20"/>
          <w:szCs w:val="20"/>
          <w:color w:val="auto"/>
        </w:rPr>
      </w:pPr>
    </w:p>
    <w:p>
      <w:pPr>
        <w:jc w:val="both"/>
        <w:ind w:right="760"/>
        <w:spacing w:after="0" w:line="249" w:lineRule="auto"/>
        <w:rPr>
          <w:sz w:val="20"/>
          <w:szCs w:val="20"/>
          <w:color w:val="auto"/>
        </w:rPr>
      </w:pPr>
      <w:r>
        <w:rPr>
          <w:rFonts w:ascii="Arial" w:cs="Arial" w:eastAsia="Arial" w:hAnsi="Arial"/>
          <w:sz w:val="17"/>
          <w:szCs w:val="17"/>
          <w:color w:val="auto"/>
        </w:rPr>
        <w:t>For real estate lease agreements entered into or modified after the adoption of ASC 842 that include lease and non-lease components, the Company has elected to account for the lease and non-lease components, such as common area maintenance charges, as a single lease component term.</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2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and cash equivalents. Periodically, the Company maintains deposits in accredited financial institutions in-excess of the federally insured limits. The Company deposits its cash in financial institutions with a high credit quality and has not experienced any losses on such accounts and does not believe it is exposed to any unusual credit risk beyond the normal risk associated with commercial banking relationships.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4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1" w:name="page132"/>
    <w:bookmarkEnd w:id="131"/>
    <w:p>
      <w:pPr>
        <w:ind w:right="140"/>
        <w:spacing w:after="0" w:line="244" w:lineRule="auto"/>
        <w:rPr>
          <w:sz w:val="20"/>
          <w:szCs w:val="20"/>
          <w:color w:val="auto"/>
        </w:rPr>
      </w:pPr>
      <w:r>
        <w:rPr>
          <w:rFonts w:ascii="Arial" w:cs="Arial" w:eastAsia="Arial" w:hAnsi="Arial"/>
          <w:sz w:val="17"/>
          <w:szCs w:val="17"/>
          <w:color w:val="auto"/>
        </w:rPr>
        <w:t>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Long-lived assets consist of fixed assets and operating lease assets.</w:t>
      </w:r>
    </w:p>
    <w:p>
      <w:pPr>
        <w:spacing w:after="0" w:line="96"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In the third and fourth quarters of 2023, the Company recorded impairment charges totaling approximately $0.4 million related to manufacturing equipment that the Company has determined it does not plan to use for its intended use, and the Company recorded an impairment to reduce the carrying value to its estimated fair value. The Company has not recorded any other impairment losses on such long-lived assets.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4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Company applies Accounting Standards Codification (ASC), Topic 606, Revenue from Contracts with Customers,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then assesses whether or not each promised good or service is distinct. The Company then recognizes as revenue the amount of the transaction price that is allocated to the respective performance obligation when (or as) the performance obligation is satisfied.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 and Accruals</w:t>
      </w:r>
    </w:p>
    <w:p>
      <w:pPr>
        <w:spacing w:after="0" w:line="14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Research and development expenses include salaries and benefits, materials and supplies, preclinical and clinical trial expenses, stock-based compensation expense, depreciation of equipment, contract services and other outside expenses. The Company has entered into various research and development-related contracts with clinical and research institutions, contract research organizations, and other companies. These agreements are generally cancelable, and related payments are recorded as research and development expenses as incurred. Costs of certain development activities, such as manufacturing, pre-clinical and clinical trial expenses, are recognized based on an evaluation of the progress to completion of specific tasks. Payments for these activities are based on the terms of the individual arrangements, which may differ from the pattern of costs incurred, and are reflected in the financial statements as prepaid or accrued research and development costs. Nonrefundable advance payments for goods or services to be received in the future for use in research and development activities are deferred and capitalized. The capitalized amounts are expensed as the related goods are delivered or the services are performed. Costs incurred in obtaining technology licenses and intellectual property are charged to research and development expenses as acquired in-process research and development if the technology licensed or intellectual property acquired has not reached technological feasibility and has no alternative future use.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Costs</w:t>
      </w:r>
    </w:p>
    <w:p>
      <w:pPr>
        <w:spacing w:after="0" w:line="1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All patent-related costs incurred in connection with preparing, filing, maintaining and prosecuting patent applications are expensed as incurred due to the uncertainty about the recovery of the expenditure. Amounts incurred are classified in general and administrative expenses.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4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accounts for its stock-based compensation in accordance with ASC Topic 718, Compensation—Stock Compensation (ASC 718). ASC 718 requires all share-based payments to employees and directors to be recognized as expense in the consolidated statements of operations based on their grant date fair values. In addition, in accordance with FASB Accounting Standards Update (ASU) 2016-09 which identifies areas for simplification of several areas of share-based payment transactions, the Company treats non-employee grants the same as employee grants. The Company estimates the fair value of options granted using the Black-Scholes option pricing model for stock option grants to both employees and non-employees. The Company believes the fair value of the stock options granted to non-employees is more reliably determinable than the fair value of the services provided.</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32" w:name="page133"/>
    <w:bookmarkEnd w:id="132"/>
    <w:p>
      <w:pPr>
        <w:spacing w:after="0" w:line="235" w:lineRule="auto"/>
        <w:rPr>
          <w:sz w:val="20"/>
          <w:szCs w:val="20"/>
          <w:color w:val="auto"/>
        </w:rPr>
      </w:pPr>
      <w:r>
        <w:rPr>
          <w:rFonts w:ascii="Arial" w:cs="Arial" w:eastAsia="Arial" w:hAnsi="Arial"/>
          <w:sz w:val="17"/>
          <w:szCs w:val="17"/>
          <w:color w:val="auto"/>
        </w:rPr>
        <w:t>The Black-Scholes option pricing model requires inputs based on certain subjective assumptions, including (a) the expected stock price volatility, (b) the expected term of the award, (c) the risk-free interest rate and (d) expected dividends. Due to a lack of company-specific historical and implied volatility data, the Company has based its computation of expected volatility on a combination of the historical volatility of the Company and of a representative group of public companies with similar characteristics to the Company, including stage of product development and life science industry focus. The historical volatility is calculated based on a period of time commensurate with the expected term assumption. The Company uses the simplified method as prescribed by the SEC Staff Accounting Bulletin No. 107, Share-Based Payment, to calculate the expected term for options granted to employees as it does not have sufficient historical exercise data to provide a reasonable basis upon which to estimate the expected term. The expected term is applied to the stock option grant group as a whole, as the Company does not expect substantially different exercise or post-vesting termination behavior among its employee population. For options granted to non-employees, the Company utilizes the contractual term of the share-based payment as the basis for the expected term assumption. The risk-free interest rate is based on a treasury instrument whose term is consistent with the expected term of the stock options. The expected dividend yield is assumed to be zero as the Company has never paid dividends and has no current plans to pay any dividends on its common stock.</w:t>
      </w:r>
    </w:p>
    <w:p>
      <w:pPr>
        <w:spacing w:after="0" w:line="106"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Company generally expenses the fair value of its share-based compensation awards to employees and non-employees on a straight-line basis over the requisite service period, which is generally the vesting period.</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Grants</w:t>
      </w:r>
    </w:p>
    <w:p>
      <w:pPr>
        <w:spacing w:after="0" w:line="142"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The Company has applied for grants for the reimbursement of expenditures with the Massachusetts Life Sciences Center for certain qualified operating expenditures, including employee related costs. The Company recognizes government grants when there is reasonable assurance that the Company will comply with the conditions attached to the grant arrangement and the grant will be received.</w:t>
      </w:r>
    </w:p>
    <w:p>
      <w:pPr>
        <w:spacing w:after="0" w:line="94"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Government grants are recorded as grant income and classified in other income in the consolidated statements of operations. The Company recognized government grants of zero and $48,000 for the years ended December 31, 2023 and 2022, respectively. Grant income is recognized as a component of other income/(expense), net in the consolidated statements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4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Company accounts for income taxes using the asset and liability method in accordance with ASC Topic 740, Income Taxes (ASC 740) which requires the recognition of deferred tax assets and liabilities for the expected future tax consequences of events that have been recognized in the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At December 31, 2023 and 2022, the Company has concluded that a full valuation allowance is necessary for its deferred tax assets (see Note 12).</w:t>
      </w:r>
    </w:p>
    <w:p>
      <w:pPr>
        <w:spacing w:after="0" w:line="103"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Company accounts for uncertainty in income taxes, by applying the two-step process to determine the amount of tax benefit to be recognized in the financial statements. First, the tax position must be evaluated to determine the likelihood that it will be sustained upon external examination by the taxing authorities. If the tax position is deemed more-likely-than-not to be sustained, the tax is then assessed as the amount of benefits to be recognized in the consolidated financial statements. The amount of benefits that may be used are the largest amounts that have a greater than 50% likelihood of being realized upon ultimate settlement. The provision for income taxes includes the effects of any resulting tax reserves or unrecognized tax benefits that are considered appropriate as well as the related net interest received.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4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Basic net loss per share is computed by dividing net loss attributable to common stockholders by the weighted-average number of shares of common stock outstanding during the period. Diluted net loss per share is computed using the weighted-average number of shares of common stock outstanding during the period and, if dilutive, the weighted-average number of potential shares of common stock. In periods where the Company reports a net loss attributable to common stockholders, diluted net loss per share is the same as basic net loss per share, since dilutive shares of common stock are not assumed to have been issued if their effect is anti-dilutive. Diluted net loss per share is the same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33" w:name="page134"/>
    <w:bookmarkEnd w:id="133"/>
    <w:p>
      <w:pPr>
        <w:ind w:right="500"/>
        <w:spacing w:after="0" w:line="267" w:lineRule="auto"/>
        <w:rPr>
          <w:sz w:val="20"/>
          <w:szCs w:val="20"/>
          <w:color w:val="auto"/>
        </w:rPr>
      </w:pPr>
      <w:r>
        <w:rPr>
          <w:rFonts w:ascii="Arial" w:cs="Arial" w:eastAsia="Arial" w:hAnsi="Arial"/>
          <w:sz w:val="17"/>
          <w:szCs w:val="17"/>
          <w:color w:val="auto"/>
        </w:rPr>
        <w:t>as basic net loss per share for the years ended December 31, 2023 and 2022 since all potential shares of common stock instruments are anti-dilutive as a result of the loss for such periods.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142"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October 2023, the FASB issued ASU 2023-06, Disclosure Improvements: Codification Amendments in Response to the SEC's Disclosure Update and Simplification Initiative, which modifies the disclosure or presentation requirements related to a variety of FASB Accounting Standard Codification topics. The effective date for each amendment will be the date on which the SEC's removal of that related disclosure from Regulation S-X or Regulation S-K is effective, with early adoption prohibited. If by June 30, 2027, the SEC has not removed the applicable requirement from Regulation S-X or Regulation S-K, the pending content of the associated amendment will be removed from the Codification and will not become effective for any entities. The Company is currently evaluating the potential impact that ASU 2023-06 may have on its consolidated financial statements and related disclosures.</w:t>
      </w:r>
    </w:p>
    <w:p>
      <w:pPr>
        <w:spacing w:after="0" w:line="115"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November 2023, the FASB issued ASU 2023-07, Segment Reporting: Improvements to Reportable Segment Disclosures, which amends guidance in ASC 280, Segment Reporting The amendments in this ASU expand segment disclosure requirements, including new segment disclosure requirements for entities with a single reportable segment, among other disclosure requirements. The ASU’s amendments are effective for public business entities for annual periods beginning after December 15, 2023. Early adoption is permitted. The Company is currently evaluating the potential impact that the adoption of ASU 2023-07 may have have on its consolidated financial statements and related disclosures.</w:t>
      </w:r>
    </w:p>
    <w:p>
      <w:pPr>
        <w:spacing w:after="0" w:line="9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December 2023, the FASB issued ASU 2023-09, Improvements to Income Tax Disclosures, which amends the guidance in ASC 740, Income Taxes. The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ASU’s amendments are effective for public business entities for annual periods beginning after December 15, 2024. Early adoption is permitted. Adoption can be either prospectively or retrospectively applied, and the Company will adopt this ASU on a prospective basis. The Company is currently evaluating the potential impact that ASU 2023-09 may have on its consolidated financial statements and related disclosures.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of Financial Assets and Liabilities</w:t>
      </w:r>
    </w:p>
    <w:p>
      <w:pPr>
        <w:spacing w:after="0" w:line="14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159"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FAIR VALUE MEASUREMENTS AS OF</w:t>
      </w:r>
    </w:p>
    <w:p>
      <w:pPr>
        <w:spacing w:after="0" w:line="15"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DECEMBER 31, 2023 USING: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2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Liabilities:</w:t>
            </w: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80"/>
              <w:spacing w:after="0"/>
              <w:rPr>
                <w:sz w:val="20"/>
                <w:szCs w:val="20"/>
                <w:color w:val="auto"/>
              </w:rPr>
            </w:pPr>
            <w:r>
              <w:rPr>
                <w:rFonts w:ascii="Arial" w:cs="Arial" w:eastAsia="Arial" w:hAnsi="Arial"/>
                <w:sz w:val="17"/>
                <w:szCs w:val="17"/>
                <w:color w:val="auto"/>
              </w:rPr>
              <w:t>Warrant liability</w:t>
            </w: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w w:val="93"/>
              </w:rPr>
              <w:t>—</w:t>
            </w: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916</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916</w:t>
            </w:r>
          </w:p>
        </w:tc>
        <w:tc>
          <w:tcPr>
            <w:tcW w:w="100" w:type="dxa"/>
            <w:vAlign w:val="bottom"/>
          </w:tcPr>
          <w:p>
            <w:pPr>
              <w:spacing w:after="0"/>
              <w:rPr>
                <w:sz w:val="18"/>
                <w:szCs w:val="18"/>
                <w:color w:val="auto"/>
              </w:rPr>
            </w:pPr>
          </w:p>
        </w:tc>
      </w:tr>
      <w:tr>
        <w:trPr>
          <w:trHeight w:val="250"/>
        </w:trPr>
        <w:tc>
          <w:tcPr>
            <w:tcW w:w="5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7"/>
                <w:szCs w:val="17"/>
                <w:color w:val="auto"/>
              </w:rPr>
              <w:t>Total</w:t>
            </w:r>
          </w:p>
        </w:tc>
        <w:tc>
          <w:tcPr>
            <w:tcW w:w="940" w:type="dxa"/>
            <w:vAlign w:val="bottom"/>
            <w:tcBorders>
              <w:bottom w:val="single" w:sz="8" w:color="auto"/>
            </w:tcBorders>
            <w:shd w:val="clear" w:color="auto" w:fill="CFF0FC"/>
          </w:tcPr>
          <w:p>
            <w:pPr>
              <w:jc w:val="right"/>
              <w:ind w:right="741"/>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7"/>
                <w:szCs w:val="17"/>
                <w:color w:val="auto"/>
                <w:w w:val="93"/>
              </w:rPr>
              <w:t>—</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0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7"/>
                <w:szCs w:val="17"/>
                <w:color w:val="auto"/>
                <w:w w:val="93"/>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916</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70"/>
        </w:trPr>
        <w:tc>
          <w:tcPr>
            <w:tcW w:w="58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7"/>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362"/>
        </w:trPr>
        <w:tc>
          <w:tcPr>
            <w:tcW w:w="5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7"/>
          </w:tcPr>
          <w:p>
            <w:pPr>
              <w:ind w:left="200"/>
              <w:spacing w:after="0"/>
              <w:rPr>
                <w:sz w:val="20"/>
                <w:szCs w:val="20"/>
                <w:color w:val="auto"/>
              </w:rPr>
            </w:pPr>
            <w:r>
              <w:rPr>
                <w:rFonts w:ascii="Arial" w:cs="Arial" w:eastAsia="Arial" w:hAnsi="Arial"/>
                <w:sz w:val="14"/>
                <w:szCs w:val="14"/>
                <w:b w:val="1"/>
                <w:bCs w:val="1"/>
                <w:color w:val="auto"/>
              </w:rPr>
              <w:t>FAIR VALUE MEASUREMENTS AS OF</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58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DECEMBER 31, 2022 USING:</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Liabilities:</w:t>
            </w: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80"/>
              <w:spacing w:after="0"/>
              <w:rPr>
                <w:sz w:val="20"/>
                <w:szCs w:val="20"/>
                <w:color w:val="auto"/>
              </w:rPr>
            </w:pPr>
            <w:r>
              <w:rPr>
                <w:rFonts w:ascii="Arial" w:cs="Arial" w:eastAsia="Arial" w:hAnsi="Arial"/>
                <w:sz w:val="17"/>
                <w:szCs w:val="17"/>
                <w:color w:val="auto"/>
              </w:rPr>
              <w:t>Warrant liability</w:t>
            </w: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w w:val="93"/>
              </w:rPr>
              <w:t>—</w:t>
            </w: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1,882</w:t>
            </w:r>
          </w:p>
        </w:tc>
        <w:tc>
          <w:tcPr>
            <w:tcW w:w="100" w:type="dxa"/>
            <w:vAlign w:val="bottom"/>
          </w:tcPr>
          <w:p>
            <w:pPr>
              <w:spacing w:after="0"/>
              <w:rPr>
                <w:sz w:val="18"/>
                <w:szCs w:val="18"/>
                <w:color w:val="auto"/>
              </w:rPr>
            </w:pPr>
          </w:p>
        </w:tc>
      </w:tr>
      <w:tr>
        <w:trPr>
          <w:trHeight w:val="249"/>
        </w:trPr>
        <w:tc>
          <w:tcPr>
            <w:tcW w:w="5820" w:type="dxa"/>
            <w:vAlign w:val="bottom"/>
            <w:shd w:val="clear" w:color="auto" w:fill="CFF0FC"/>
          </w:tcPr>
          <w:p>
            <w:pPr>
              <w:ind w:left="280"/>
              <w:spacing w:after="0"/>
              <w:rPr>
                <w:sz w:val="20"/>
                <w:szCs w:val="20"/>
                <w:color w:val="auto"/>
              </w:rPr>
            </w:pPr>
            <w:r>
              <w:rPr>
                <w:rFonts w:ascii="Arial" w:cs="Arial" w:eastAsia="Arial" w:hAnsi="Arial"/>
                <w:sz w:val="17"/>
                <w:szCs w:val="17"/>
                <w:color w:val="auto"/>
              </w:rPr>
              <w:t>Total</w:t>
            </w:r>
          </w:p>
        </w:tc>
        <w:tc>
          <w:tcPr>
            <w:tcW w:w="940" w:type="dxa"/>
            <w:vAlign w:val="bottom"/>
            <w:shd w:val="clear" w:color="auto" w:fill="CFF0FC"/>
          </w:tcPr>
          <w:p>
            <w:pPr>
              <w:jc w:val="right"/>
              <w:ind w:right="741"/>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7"/>
                <w:szCs w:val="17"/>
                <w:color w:val="auto"/>
                <w:w w:val="93"/>
              </w:rPr>
              <w:t>—</w:t>
            </w:r>
          </w:p>
        </w:tc>
        <w:tc>
          <w:tcPr>
            <w:tcW w:w="1160" w:type="dxa"/>
            <w:vAlign w:val="bottom"/>
            <w:gridSpan w:val="2"/>
            <w:shd w:val="clear" w:color="auto" w:fill="CFF0FC"/>
          </w:tcPr>
          <w:p>
            <w:pPr>
              <w:jc w:val="right"/>
              <w:ind w:right="705"/>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7"/>
                <w:szCs w:val="17"/>
                <w:color w:val="auto"/>
                <w:w w:val="93"/>
              </w:rPr>
              <w:t>—</w:t>
            </w:r>
          </w:p>
        </w:tc>
        <w:tc>
          <w:tcPr>
            <w:tcW w:w="440" w:type="dxa"/>
            <w:vAlign w:val="bottom"/>
            <w:gridSpan w:val="2"/>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1,882</w:t>
            </w:r>
          </w:p>
        </w:tc>
        <w:tc>
          <w:tcPr>
            <w:tcW w:w="100" w:type="dxa"/>
            <w:vAlign w:val="bottom"/>
            <w:shd w:val="clear" w:color="auto" w:fill="CFF0FC"/>
          </w:tcPr>
          <w:p>
            <w:pPr>
              <w:spacing w:after="0"/>
              <w:rPr>
                <w:sz w:val="21"/>
                <w:szCs w:val="21"/>
                <w:color w:val="auto"/>
              </w:rPr>
            </w:pPr>
          </w:p>
        </w:tc>
      </w:tr>
      <w:tr>
        <w:trPr>
          <w:trHeight w:val="183"/>
        </w:trPr>
        <w:tc>
          <w:tcPr>
            <w:tcW w:w="5820" w:type="dxa"/>
            <w:vAlign w:val="bottom"/>
            <w:tcBorders>
              <w:top w:val="single" w:sz="8" w:color="CFF0FC"/>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CFF0FC"/>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CFF0FC"/>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CFF0FC"/>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FF0FC"/>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-1224915</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-1207770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-1224915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-1207770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-1224915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-1207770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-162560</wp:posOffset>
            </wp:positionV>
            <wp:extent cx="768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-145415</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-162560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-145415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-162560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-145415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Warrant Liability</w:t>
      </w:r>
    </w:p>
    <w:p>
      <w:pPr>
        <w:spacing w:after="0" w:line="142"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connection with the November 13, 2018 issuance of Series B convertible preferred stock, the Company issued warrants to purchase shares of common stock of which certain warrants are shown as a liability on the balance sheet, see Note 10. The fair value of the warrant liability was determined based on significant inputs not observable in the market, which represents a Level 3 measurement within the fair value hierarchy. The fair value of the warrant liability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expected volatility of the price of the underlying common stock, and the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34" w:name="page135"/>
    <w:bookmarkEnd w:id="134"/>
    <w:p>
      <w:pPr>
        <w:ind w:right="220"/>
        <w:spacing w:after="0" w:line="267" w:lineRule="auto"/>
        <w:rPr>
          <w:sz w:val="20"/>
          <w:szCs w:val="20"/>
          <w:color w:val="auto"/>
        </w:rPr>
      </w:pPr>
      <w:r>
        <w:rPr>
          <w:rFonts w:ascii="Arial" w:cs="Arial" w:eastAsia="Arial" w:hAnsi="Arial"/>
          <w:sz w:val="17"/>
          <w:szCs w:val="17"/>
          <w:color w:val="auto"/>
        </w:rPr>
        <w:t>remaining contractual term of the warrants. The most significant assumption in the model impacting the fair value of the common stock warrants is the fair value of the Company’s common stock as of each remeasurement date.</w:t>
      </w:r>
    </w:p>
    <w:p>
      <w:pPr>
        <w:spacing w:after="0" w:line="5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following table provides a roll forward of the aggregate fair values of the Company’s warrant liability, for which fair value is determined by Level 3 inputs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ind w:left="181"/>
              <w:spacing w:after="0"/>
              <w:rPr>
                <w:sz w:val="20"/>
                <w:szCs w:val="20"/>
                <w:color w:val="auto"/>
              </w:rPr>
            </w:pPr>
            <w:r>
              <w:rPr>
                <w:rFonts w:ascii="Arial" w:cs="Arial" w:eastAsia="Arial" w:hAnsi="Arial"/>
                <w:sz w:val="14"/>
                <w:szCs w:val="14"/>
                <w:b w:val="1"/>
                <w:bCs w:val="1"/>
                <w:color w:val="auto"/>
              </w:rPr>
              <w:t>SERIES B</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WARRANT</w:t>
            </w:r>
          </w:p>
        </w:tc>
      </w:tr>
      <w:tr>
        <w:trPr>
          <w:trHeight w:val="185"/>
        </w:trPr>
        <w:tc>
          <w:tcPr>
            <w:tcW w:w="7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rPr>
              <w:t>LIABILITY</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color w:val="auto"/>
              </w:rPr>
              <w:t>Balance at December 31, 2021</w:t>
            </w:r>
          </w:p>
        </w:tc>
        <w:tc>
          <w:tcPr>
            <w:tcW w:w="102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18,252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7"/>
                <w:szCs w:val="17"/>
                <w:color w:val="auto"/>
              </w:rPr>
              <w:t>Change in fair value</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w w:val="93"/>
              </w:rPr>
              <w:t>(16,370 )</w:t>
            </w: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color w:val="auto"/>
              </w:rPr>
              <w:t>Balance at December 31, 2022</w:t>
            </w: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20" w:type="dxa"/>
            <w:vAlign w:val="bottom"/>
            <w:tcBorders>
              <w:top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7"/>
                <w:szCs w:val="17"/>
                <w:color w:val="auto"/>
              </w:rPr>
              <w:t>Change in fair value</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(966 )</w:t>
            </w: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Balance at December 31, 2023</w:t>
            </w:r>
          </w:p>
        </w:tc>
        <w:tc>
          <w:tcPr>
            <w:tcW w:w="10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3"/>
        </w:trPr>
        <w:tc>
          <w:tcPr>
            <w:tcW w:w="77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314"/>
        </w:trPr>
        <w:tc>
          <w:tcPr>
            <w:tcW w:w="7720" w:type="dxa"/>
            <w:vAlign w:val="bottom"/>
          </w:tcPr>
          <w:p>
            <w:pPr>
              <w:spacing w:after="0"/>
              <w:rPr>
                <w:sz w:val="20"/>
                <w:szCs w:val="20"/>
                <w:color w:val="auto"/>
              </w:rPr>
            </w:pPr>
            <w:r>
              <w:rPr>
                <w:rFonts w:ascii="Arial" w:cs="Arial" w:eastAsia="Arial" w:hAnsi="Arial"/>
                <w:sz w:val="17"/>
                <w:szCs w:val="17"/>
                <w:b w:val="1"/>
                <w:bCs w:val="1"/>
                <w:color w:val="auto"/>
              </w:rPr>
              <w:t>4. Fixed Assets, Net</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7"/>
        </w:trPr>
        <w:tc>
          <w:tcPr>
            <w:tcW w:w="7720" w:type="dxa"/>
            <w:vAlign w:val="bottom"/>
          </w:tcPr>
          <w:p>
            <w:pPr>
              <w:spacing w:after="0"/>
              <w:rPr>
                <w:sz w:val="20"/>
                <w:szCs w:val="20"/>
                <w:color w:val="auto"/>
              </w:rPr>
            </w:pPr>
            <w:r>
              <w:rPr>
                <w:rFonts w:ascii="Arial" w:cs="Arial" w:eastAsia="Arial" w:hAnsi="Arial"/>
                <w:sz w:val="17"/>
                <w:szCs w:val="17"/>
                <w:color w:val="auto"/>
              </w:rPr>
              <w:t>Fixed assets, net consisted of the following (in thousands):</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5"/>
        </w:trPr>
        <w:tc>
          <w:tcPr>
            <w:tcW w:w="77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24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r>
        <w:trPr>
          <w:trHeight w:val="277"/>
        </w:trPr>
        <w:tc>
          <w:tcPr>
            <w:tcW w:w="77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77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color w:val="auto"/>
              </w:rPr>
              <w:t>Laboratory equipment</w:t>
            </w:r>
          </w:p>
        </w:tc>
        <w:tc>
          <w:tcPr>
            <w:tcW w:w="1020" w:type="dxa"/>
            <w:vAlign w:val="bottom"/>
            <w:shd w:val="clear" w:color="auto" w:fill="CFF0FC"/>
          </w:tcPr>
          <w:p>
            <w:pPr>
              <w:jc w:val="right"/>
              <w:ind w:right="818"/>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1,209</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81"/>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7"/>
                <w:szCs w:val="17"/>
                <w:color w:val="auto"/>
              </w:rPr>
              <w:t>Manufacturing equipment</w:t>
            </w:r>
          </w:p>
        </w:tc>
        <w:tc>
          <w:tcPr>
            <w:tcW w:w="10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730</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1,201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color w:val="auto"/>
              </w:rPr>
              <w:t>Furniture and fixtures</w:t>
            </w:r>
          </w:p>
        </w:tc>
        <w:tc>
          <w:tcPr>
            <w:tcW w:w="10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159</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7"/>
                <w:szCs w:val="17"/>
                <w:color w:val="auto"/>
              </w:rPr>
              <w:t>Networking and computer equipment</w:t>
            </w:r>
          </w:p>
        </w:tc>
        <w:tc>
          <w:tcPr>
            <w:tcW w:w="10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88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Leasehold improvements</w:t>
            </w: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3,109</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7"/>
                <w:szCs w:val="17"/>
                <w:color w:val="auto"/>
              </w:rPr>
              <w:t>Total fixed assets</w:t>
            </w:r>
          </w:p>
        </w:tc>
        <w:tc>
          <w:tcPr>
            <w:tcW w:w="1020" w:type="dxa"/>
            <w:vAlign w:val="bottom"/>
          </w:tcPr>
          <w:p>
            <w:pPr>
              <w:jc w:val="right"/>
              <w:ind w:right="818"/>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5,295</w:t>
            </w:r>
          </w:p>
        </w:tc>
        <w:tc>
          <w:tcPr>
            <w:tcW w:w="280" w:type="dxa"/>
            <w:vAlign w:val="bottom"/>
          </w:tcPr>
          <w:p>
            <w:pPr>
              <w:spacing w:after="0"/>
              <w:rPr>
                <w:sz w:val="18"/>
                <w:szCs w:val="18"/>
                <w:color w:val="auto"/>
              </w:rPr>
            </w:pPr>
          </w:p>
        </w:tc>
        <w:tc>
          <w:tcPr>
            <w:tcW w:w="960" w:type="dxa"/>
            <w:vAlign w:val="bottom"/>
          </w:tcPr>
          <w:p>
            <w:pPr>
              <w:jc w:val="right"/>
              <w:ind w:right="781"/>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5,553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Less: accumulated depreciation</w:t>
            </w:r>
          </w:p>
        </w:tc>
        <w:tc>
          <w:tcPr>
            <w:tcW w:w="102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7"/>
                <w:szCs w:val="17"/>
                <w:color w:val="auto"/>
              </w:rPr>
              <w:t>(2,089 )</w:t>
            </w: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(1,129 )</w:t>
            </w:r>
          </w:p>
        </w:tc>
      </w:tr>
      <w:tr>
        <w:trPr>
          <w:trHeight w:val="210"/>
        </w:trPr>
        <w:tc>
          <w:tcPr>
            <w:tcW w:w="7720" w:type="dxa"/>
            <w:vAlign w:val="bottom"/>
            <w:tcBorders>
              <w:top w:val="single" w:sz="8" w:color="CFF0FC"/>
            </w:tcBorders>
          </w:tcPr>
          <w:p>
            <w:pPr>
              <w:ind w:left="280"/>
              <w:spacing w:after="0"/>
              <w:rPr>
                <w:sz w:val="20"/>
                <w:szCs w:val="20"/>
                <w:color w:val="auto"/>
              </w:rPr>
            </w:pPr>
            <w:r>
              <w:rPr>
                <w:rFonts w:ascii="Arial" w:cs="Arial" w:eastAsia="Arial" w:hAnsi="Arial"/>
                <w:sz w:val="17"/>
                <w:szCs w:val="17"/>
                <w:b w:val="1"/>
                <w:bCs w:val="1"/>
                <w:color w:val="auto"/>
              </w:rPr>
              <w:t>Fixed assets, net</w:t>
            </w:r>
          </w:p>
        </w:tc>
        <w:tc>
          <w:tcPr>
            <w:tcW w:w="1020" w:type="dxa"/>
            <w:vAlign w:val="bottom"/>
            <w:tcBorders>
              <w:top w:val="single" w:sz="8" w:color="auto"/>
              <w:bottom w:val="single" w:sz="8" w:color="auto"/>
            </w:tcBorders>
          </w:tcPr>
          <w:p>
            <w:pPr>
              <w:jc w:val="right"/>
              <w:ind w:right="818"/>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3,206</w:t>
            </w:r>
          </w:p>
        </w:tc>
        <w:tc>
          <w:tcPr>
            <w:tcW w:w="28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4,424</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9580" w:type="dxa"/>
            <w:vAlign w:val="bottom"/>
            <w:tcBorders>
              <w:bottom w:val="single" w:sz="8" w:color="auto"/>
            </w:tcBorders>
            <w:gridSpan w:val="5"/>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r>
        <w:trPr>
          <w:trHeight w:val="277"/>
        </w:trPr>
        <w:tc>
          <w:tcPr>
            <w:tcW w:w="9580" w:type="dxa"/>
            <w:vAlign w:val="bottom"/>
            <w:gridSpan w:val="5"/>
          </w:tcPr>
          <w:p>
            <w:pPr>
              <w:spacing w:after="0"/>
              <w:rPr>
                <w:sz w:val="20"/>
                <w:szCs w:val="20"/>
                <w:color w:val="auto"/>
              </w:rPr>
            </w:pPr>
            <w:r>
              <w:rPr>
                <w:rFonts w:ascii="Arial" w:cs="Arial" w:eastAsia="Arial" w:hAnsi="Arial"/>
                <w:sz w:val="17"/>
                <w:szCs w:val="17"/>
                <w:color w:val="auto"/>
              </w:rPr>
              <w:t>Depreciation expense was $1.0 million and $0.8 million for the years ended December 31, 2023 and 2022, respectively.</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7"/>
        </w:trPr>
        <w:tc>
          <w:tcPr>
            <w:tcW w:w="7720" w:type="dxa"/>
            <w:vAlign w:val="bottom"/>
          </w:tcPr>
          <w:p>
            <w:pPr>
              <w:spacing w:after="0"/>
              <w:rPr>
                <w:sz w:val="20"/>
                <w:szCs w:val="20"/>
                <w:color w:val="auto"/>
              </w:rPr>
            </w:pPr>
            <w:r>
              <w:rPr>
                <w:rFonts w:ascii="Arial" w:cs="Arial" w:eastAsia="Arial" w:hAnsi="Arial"/>
                <w:sz w:val="17"/>
                <w:szCs w:val="17"/>
                <w:b w:val="1"/>
                <w:bCs w:val="1"/>
                <w:color w:val="auto"/>
              </w:rPr>
              <w:t>5. Accrued Expenses</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7"/>
        </w:trPr>
        <w:tc>
          <w:tcPr>
            <w:tcW w:w="7720" w:type="dxa"/>
            <w:vAlign w:val="bottom"/>
          </w:tcPr>
          <w:p>
            <w:pPr>
              <w:spacing w:after="0"/>
              <w:rPr>
                <w:sz w:val="20"/>
                <w:szCs w:val="20"/>
                <w:color w:val="auto"/>
              </w:rPr>
            </w:pPr>
            <w:r>
              <w:rPr>
                <w:rFonts w:ascii="Arial" w:cs="Arial" w:eastAsia="Arial" w:hAnsi="Arial"/>
                <w:sz w:val="17"/>
                <w:szCs w:val="17"/>
                <w:color w:val="auto"/>
              </w:rPr>
              <w:t>Accrued expenses consisted of the following (in thousands):</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77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77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color w:val="auto"/>
              </w:rPr>
              <w:t>Payroll and employee related expenses</w:t>
            </w:r>
          </w:p>
        </w:tc>
        <w:tc>
          <w:tcPr>
            <w:tcW w:w="1020" w:type="dxa"/>
            <w:vAlign w:val="bottom"/>
            <w:shd w:val="clear" w:color="auto" w:fill="CFF0FC"/>
          </w:tcPr>
          <w:p>
            <w:pPr>
              <w:jc w:val="right"/>
              <w:ind w:right="818"/>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2,017</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81"/>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2,647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7"/>
                <w:szCs w:val="17"/>
                <w:color w:val="auto"/>
              </w:rPr>
              <w:t>Third-party research and development expenses</w:t>
            </w:r>
          </w:p>
        </w:tc>
        <w:tc>
          <w:tcPr>
            <w:tcW w:w="10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1,811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1,486</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Professional fees and other</w:t>
            </w: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528</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18"/>
                <w:szCs w:val="18"/>
                <w:color w:val="auto"/>
              </w:rPr>
            </w:pPr>
          </w:p>
        </w:tc>
        <w:tc>
          <w:tcPr>
            <w:tcW w:w="1020" w:type="dxa"/>
            <w:vAlign w:val="bottom"/>
            <w:tcBorders>
              <w:bottom w:val="single" w:sz="8" w:color="auto"/>
            </w:tcBorders>
          </w:tcPr>
          <w:p>
            <w:pPr>
              <w:jc w:val="right"/>
              <w:ind w:right="818"/>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4,356</w:t>
            </w:r>
          </w:p>
        </w:tc>
        <w:tc>
          <w:tcPr>
            <w:tcW w:w="280" w:type="dxa"/>
            <w:vAlign w:val="bottom"/>
          </w:tcPr>
          <w:p>
            <w:pPr>
              <w:spacing w:after="0"/>
              <w:rPr>
                <w:sz w:val="18"/>
                <w:szCs w:val="18"/>
                <w:color w:val="auto"/>
              </w:rPr>
            </w:pP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4,723</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77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-3728720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-3710940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-2108200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-1824990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-239395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Term Loan</w:t>
      </w:r>
    </w:p>
    <w:p>
      <w:pPr>
        <w:spacing w:after="0" w:line="12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On February 24, 2022, the Company entered into a four-year loan and security agreement (the Loan Agreement) with Silicon Valley Bank (SVB) pursuant to which SVB has agreed to provide term loans to the Company in an aggregate principal amount of up to $25.0 million. The Company borrowed $20.0 million upon entering into the Loan Agreement. The Company could have borrowed up to an additional aggregate principal amount not to exceed $5.0 million, at any time on or prior to December 31, 2022, upon achievement of all of the following milestones, inclusively: (a) positive phase 2 clinical activity data from the Company’s CAN-2409 NSCLC clinical trial, (b) dosing of its first patient in its phase 3 CAN-2409 high-grade glioma clinical trial, and (c) receipt on or prior to December 31, 2022, of net cash proceeds in an amount equal to at least $75.0 million from the issuance and sale of equity securities to investors acceptable to SVB. The Company did not borrow any of the additional aggregate principal amount on or prior to December 31, 2022. The term loan is secured by substantially all of the Company’s properties, rights and assets, except for its intellectual property, which is subject to a negative pledge under the Loan Agreement.</w:t>
      </w:r>
    </w:p>
    <w:p>
      <w:pPr>
        <w:spacing w:after="0" w:line="120"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The term loans bear interest at a floating rate per annum equal to the greater of (A) 5.75% and (B) the prime rate (as published in the money rates section of The Wall Street Journal) plus 2.50%. The Company is required to make monthly interest payments, and commencing on February 1, 2024, 24 consecutive installments of principal plus monthly payments of accrued interest. The term loans mature on January 1, 2026. Upon repayment in full of the term loans, the Company will be required to pay a final payment fee equal to 4.50% of the original principal amount of any funded term</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35" w:name="page136"/>
    <w:bookmarkEnd w:id="135"/>
    <w:p>
      <w:pPr>
        <w:ind w:right="280"/>
        <w:spacing w:after="0" w:line="267" w:lineRule="auto"/>
        <w:rPr>
          <w:sz w:val="20"/>
          <w:szCs w:val="20"/>
          <w:color w:val="auto"/>
        </w:rPr>
      </w:pPr>
      <w:r>
        <w:rPr>
          <w:rFonts w:ascii="Arial" w:cs="Arial" w:eastAsia="Arial" w:hAnsi="Arial"/>
          <w:sz w:val="17"/>
          <w:szCs w:val="17"/>
          <w:color w:val="auto"/>
        </w:rPr>
        <w:t>loan being repaid. The Loan Agreement permits voluntary prepayment of all, but not less than all, of the SVB term loans, subject to a prepayment premium of 1% to 3% based upon the timing of the repayment.</w:t>
      </w:r>
    </w:p>
    <w:p>
      <w:pPr>
        <w:spacing w:after="0" w:line="78"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During the years ended December 31, 2023 and 2022, the Company recorded interest expense relating to the Loan Agreement of $2.5 million and $1.6 million, respectively. The weighted average effective interest rate as of December 31, 2023 was 11.19%.</w:t>
      </w:r>
    </w:p>
    <w:p>
      <w:pPr>
        <w:spacing w:after="0" w:line="92" w:lineRule="exact"/>
        <w:rPr>
          <w:sz w:val="20"/>
          <w:szCs w:val="20"/>
          <w:color w:val="auto"/>
        </w:rPr>
      </w:pPr>
    </w:p>
    <w:p>
      <w:pPr>
        <w:jc w:val="both"/>
        <w:ind w:right="40"/>
        <w:spacing w:after="0" w:line="249" w:lineRule="auto"/>
        <w:rPr>
          <w:sz w:val="20"/>
          <w:szCs w:val="20"/>
          <w:color w:val="auto"/>
        </w:rPr>
      </w:pPr>
      <w:r>
        <w:rPr>
          <w:rFonts w:ascii="Arial" w:cs="Arial" w:eastAsia="Arial" w:hAnsi="Arial"/>
          <w:sz w:val="17"/>
          <w:szCs w:val="17"/>
          <w:color w:val="auto"/>
        </w:rPr>
        <w:t>The Company incurred $89,000 of debt issuance costs and will incur a $0.9 million final payment fee, which were recorded as debt discount and are being amortized over the term of the Loan Agreement. The scheduled principal payments and net carrying amount of the term loan are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8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128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9,167</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r>
      <w:tr>
        <w:trPr>
          <w:trHeight w:val="230"/>
        </w:trPr>
        <w:tc>
          <w:tcPr>
            <w:tcW w:w="8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3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420" w:type="dxa"/>
            <w:vAlign w:val="bottom"/>
          </w:tcPr>
          <w:p>
            <w:pPr>
              <w:ind w:left="280"/>
              <w:spacing w:after="0"/>
              <w:rPr>
                <w:sz w:val="20"/>
                <w:szCs w:val="20"/>
                <w:color w:val="auto"/>
              </w:rPr>
            </w:pPr>
            <w:r>
              <w:rPr>
                <w:rFonts w:ascii="Arial" w:cs="Arial" w:eastAsia="Arial" w:hAnsi="Arial"/>
                <w:sz w:val="18"/>
                <w:szCs w:val="18"/>
                <w:color w:val="auto"/>
              </w:rPr>
              <w:t>Total principal</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Final payment fee</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Less: debt discount</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(989 )</w:t>
            </w:r>
          </w:p>
        </w:tc>
      </w:tr>
      <w:tr>
        <w:trPr>
          <w:trHeight w:val="229"/>
        </w:trPr>
        <w:tc>
          <w:tcPr>
            <w:tcW w:w="8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Accretion of debt discount</w:t>
            </w:r>
          </w:p>
        </w:tc>
        <w:tc>
          <w:tcPr>
            <w:tcW w:w="3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color w:val="auto"/>
              </w:rPr>
              <w:t>Net carrying amount</w:t>
            </w:r>
          </w:p>
        </w:tc>
        <w:tc>
          <w:tcPr>
            <w:tcW w:w="12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20,525</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current portion</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(8,893 )</w:t>
            </w:r>
          </w:p>
        </w:tc>
      </w:tr>
      <w:tr>
        <w:trPr>
          <w:trHeight w:val="223"/>
        </w:trPr>
        <w:tc>
          <w:tcPr>
            <w:tcW w:w="84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Long-term portion</w:t>
            </w:r>
          </w:p>
        </w:tc>
        <w:tc>
          <w:tcPr>
            <w:tcW w:w="300" w:type="dxa"/>
            <w:vAlign w:val="bottom"/>
            <w:tcBorders>
              <w:top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11,632</w:t>
            </w:r>
          </w:p>
        </w:tc>
        <w:tc>
          <w:tcPr>
            <w:tcW w:w="100" w:type="dxa"/>
            <w:vAlign w:val="bottom"/>
            <w:tcBorders>
              <w:top w:val="single" w:sz="8" w:color="CFF0FC"/>
            </w:tcBorders>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of the Company's term loan approximates fair value.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Other Long-Term Debt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Periphagen Note</w:t>
      </w:r>
    </w:p>
    <w:p>
      <w:pPr>
        <w:spacing w:after="0" w:line="142"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On December 9, 2019, the Company entered into a series of asset purchase agreements with Periphagen, Inc. (Periphagen), a biopharmaceutical company focused on the development of gene therapy vectors. Under the terms of the asset purchase agreements, the Company assumed a $1.0 million promissory note bearing a contractual interest rate of 2% compounded annually, with the outstanding balance and accrued interest due upon maturity in November 2027, with no interim installments due. The estimated market rate for the Company for an unsecured loan with a maturity in November 2027 was determined to be 15.83% as of December 9, 2019. Although the Company does not have a public credit rating, management estimates a CCC credit rating based on the Company’s financial position and stage of development. Using the commensurate rate for a CCC rated company and based on the amount due at maturity, the present value of the future cash outflow was determined to be $0.4 million at the transaction date. As of December 31, 2023, the carrying value of the note is $0.8 million. The carrying value of the note approximates fair value. Upon maturity, the Company will pay Periphagen $1.4 million for the outstanding balance and accrued interest due.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Lease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On February 4, 2019, the Company signed a lease agreement for its corporate headquarters at 117 Kendrick Street in Needham, Massachusetts.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The facility consists of a 15,197 square foot property which houses the corporate, clinical, laboratory and manufacturing operations for the Company.</w:t>
      </w:r>
    </w:p>
    <w:p>
      <w:pPr>
        <w:spacing w:after="0"/>
        <w:rPr>
          <w:sz w:val="20"/>
          <w:szCs w:val="20"/>
          <w:color w:val="auto"/>
        </w:rPr>
      </w:pPr>
      <w:r>
        <w:rPr>
          <w:rFonts w:ascii="Arial" w:cs="Arial" w:eastAsia="Arial" w:hAnsi="Arial"/>
          <w:sz w:val="17"/>
          <w:szCs w:val="17"/>
          <w:color w:val="auto"/>
        </w:rPr>
        <w:t>The lease term ends on August 31, 2026.</w:t>
      </w:r>
    </w:p>
    <w:p>
      <w:pPr>
        <w:spacing w:after="0" w:line="126"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For each of the years ended December 31, 2023 and 2022, the Company recorded $0.4 million of operating lease cost and $0.1 million of variable lease cost. The total lease expense for each of the years ended December 31, 2023 and 2022 was $0.5 million.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Cash paid for amounts included in the lease liability for each of the years ended December 31, 2023 and 2022 was $0.6 million.</w:t>
      </w:r>
    </w:p>
    <w:p>
      <w:pPr>
        <w:spacing w:after="0" w:line="303" w:lineRule="exact"/>
        <w:rPr>
          <w:sz w:val="20"/>
          <w:szCs w:val="20"/>
          <w:color w:val="auto"/>
        </w:rPr>
      </w:pPr>
    </w:p>
    <w:tbl>
      <w:tblPr>
        <w:tblLayout w:type="fixed"/>
        <w:tblInd w:w="120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548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Other Information</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0"/>
        </w:trPr>
        <w:tc>
          <w:tcPr>
            <w:tcW w:w="56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Operating cash flows used for operating leases (in thousands)</w:t>
            </w:r>
          </w:p>
        </w:tc>
        <w:tc>
          <w:tcPr>
            <w:tcW w:w="340" w:type="dxa"/>
            <w:vAlign w:val="bottom"/>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740" w:type="dxa"/>
            <w:vAlign w:val="bottom"/>
            <w:gridSpan w:val="3"/>
            <w:shd w:val="clear" w:color="auto" w:fill="CFF0FC"/>
          </w:tcPr>
          <w:p>
            <w:pPr>
              <w:jc w:val="right"/>
              <w:ind w:right="220"/>
              <w:spacing w:after="0"/>
              <w:rPr>
                <w:sz w:val="20"/>
                <w:szCs w:val="20"/>
                <w:color w:val="auto"/>
              </w:rPr>
            </w:pPr>
            <w:r>
              <w:rPr>
                <w:rFonts w:ascii="Arial" w:cs="Arial" w:eastAsia="Arial" w:hAnsi="Arial"/>
                <w:sz w:val="17"/>
                <w:szCs w:val="17"/>
                <w:color w:val="auto"/>
              </w:rPr>
              <w:t>583 $</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567</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7"/>
                <w:szCs w:val="17"/>
                <w:color w:val="auto"/>
              </w:rPr>
              <w:t>Weighted-average remaining lease term (years)</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7"/>
                <w:szCs w:val="17"/>
                <w:color w:val="auto"/>
              </w:rPr>
              <w:t>Weighted-average incremental borrowing rate</w:t>
            </w:r>
          </w:p>
        </w:tc>
        <w:tc>
          <w:tcPr>
            <w:tcW w:w="340" w:type="dxa"/>
            <w:vAlign w:val="bottom"/>
          </w:tcPr>
          <w:p>
            <w:pPr>
              <w:spacing w:after="0"/>
              <w:rPr>
                <w:sz w:val="18"/>
                <w:szCs w:val="18"/>
                <w:color w:val="auto"/>
              </w:rPr>
            </w:pPr>
          </w:p>
        </w:tc>
        <w:tc>
          <w:tcPr>
            <w:tcW w:w="1740" w:type="dxa"/>
            <w:vAlign w:val="bottom"/>
            <w:gridSpan w:val="3"/>
          </w:tcPr>
          <w:p>
            <w:pPr>
              <w:jc w:val="right"/>
              <w:ind w:right="240"/>
              <w:spacing w:after="0"/>
              <w:rPr>
                <w:sz w:val="20"/>
                <w:szCs w:val="20"/>
                <w:color w:val="auto"/>
              </w:rPr>
            </w:pPr>
            <w:r>
              <w:rPr>
                <w:rFonts w:ascii="Arial" w:cs="Arial" w:eastAsia="Arial" w:hAnsi="Arial"/>
                <w:sz w:val="17"/>
                <w:szCs w:val="17"/>
                <w:color w:val="auto"/>
              </w:rPr>
              <w:t>7.02 %</w:t>
            </w:r>
          </w:p>
        </w:tc>
        <w:tc>
          <w:tcPr>
            <w:tcW w:w="1260" w:type="dxa"/>
            <w:vAlign w:val="bottom"/>
            <w:gridSpan w:val="3"/>
          </w:tcPr>
          <w:p>
            <w:pPr>
              <w:jc w:val="right"/>
              <w:spacing w:after="0"/>
              <w:rPr>
                <w:sz w:val="20"/>
                <w:szCs w:val="20"/>
                <w:color w:val="auto"/>
              </w:rPr>
            </w:pPr>
            <w:r>
              <w:rPr>
                <w:rFonts w:ascii="Arial" w:cs="Arial" w:eastAsia="Arial" w:hAnsi="Arial"/>
                <w:sz w:val="17"/>
                <w:szCs w:val="17"/>
                <w:color w:val="auto"/>
              </w:rPr>
              <w:t>7.02 %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-136525</wp:posOffset>
            </wp:positionV>
            <wp:extent cx="5631815"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7">
                      <a:extLst>
                        <a:ext uri="{28A0092B-C50C-407E-A947-70E740481C1C}"/>
                      </a:extLst>
                    </a:blip>
                    <a:srcRect/>
                    <a:stretch>
                      <a:fillRect/>
                    </a:stretch>
                  </pic:blipFill>
                  <pic:spPr bwMode="auto">
                    <a:xfrm>
                      <a:off x="0" y="0"/>
                      <a:ext cx="5631815"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future lease payments under non-cancelable leases at December 31, 2023, are as follows (in thousands):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ind w:left="20"/>
              <w:spacing w:after="0"/>
              <w:rPr>
                <w:sz w:val="20"/>
                <w:szCs w:val="20"/>
                <w:color w:val="auto"/>
              </w:rPr>
            </w:pPr>
            <w:r>
              <w:rPr>
                <w:rFonts w:ascii="Arial" w:cs="Arial" w:eastAsia="Arial" w:hAnsi="Arial"/>
                <w:sz w:val="17"/>
                <w:szCs w:val="17"/>
                <w:color w:val="auto"/>
              </w:rPr>
              <w:t>2024</w:t>
            </w:r>
          </w:p>
        </w:tc>
        <w:tc>
          <w:tcPr>
            <w:tcW w:w="7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598</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7"/>
                <w:szCs w:val="17"/>
                <w:color w:val="auto"/>
              </w:rPr>
              <w:t>2025</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613</w:t>
            </w:r>
          </w:p>
        </w:tc>
        <w:tc>
          <w:tcPr>
            <w:tcW w:w="10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2026</w:t>
            </w:r>
          </w:p>
        </w:tc>
        <w:tc>
          <w:tcPr>
            <w:tcW w:w="7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40" w:type="dxa"/>
            <w:vAlign w:val="bottom"/>
          </w:tcPr>
          <w:p>
            <w:pPr>
              <w:ind w:left="280"/>
              <w:spacing w:after="0"/>
              <w:rPr>
                <w:sz w:val="20"/>
                <w:szCs w:val="20"/>
                <w:color w:val="auto"/>
              </w:rPr>
            </w:pPr>
            <w:r>
              <w:rPr>
                <w:rFonts w:ascii="Arial" w:cs="Arial" w:eastAsia="Arial" w:hAnsi="Arial"/>
                <w:sz w:val="17"/>
                <w:szCs w:val="17"/>
                <w:color w:val="auto"/>
              </w:rPr>
              <w:t>Total future lease payments</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1,626</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Less: imputed interest</w:t>
            </w:r>
          </w:p>
        </w:tc>
        <w:tc>
          <w:tcPr>
            <w:tcW w:w="7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(140 )</w:t>
            </w:r>
          </w:p>
        </w:tc>
      </w:tr>
      <w:tr>
        <w:trPr>
          <w:trHeight w:val="209"/>
        </w:trPr>
        <w:tc>
          <w:tcPr>
            <w:tcW w:w="9240" w:type="dxa"/>
            <w:vAlign w:val="bottom"/>
            <w:tcBorders>
              <w:top w:val="single" w:sz="8" w:color="CFF0FC"/>
            </w:tcBorders>
          </w:tcPr>
          <w:p>
            <w:pPr>
              <w:ind w:left="20"/>
              <w:spacing w:after="0"/>
              <w:rPr>
                <w:sz w:val="20"/>
                <w:szCs w:val="20"/>
                <w:color w:val="auto"/>
              </w:rPr>
            </w:pPr>
            <w:r>
              <w:rPr>
                <w:rFonts w:ascii="Arial" w:cs="Arial" w:eastAsia="Arial" w:hAnsi="Arial"/>
                <w:sz w:val="17"/>
                <w:szCs w:val="17"/>
                <w:color w:val="auto"/>
              </w:rPr>
              <w:t>Total lease liability</w:t>
            </w:r>
          </w:p>
        </w:tc>
        <w:tc>
          <w:tcPr>
            <w:tcW w:w="7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1,486</w:t>
            </w:r>
          </w:p>
        </w:tc>
        <w:tc>
          <w:tcPr>
            <w:tcW w:w="10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Common Stock and Preferred Stock</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authorized 10,000,000 shares of $0.01 par value preferred stock at December 31, 2023 and 2022.</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29"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The Company has authorized 150,000,000 shares of $0.01 par value common stock at December 31, 2023 and 2022 of which 29,213,627 and 29,042,418 were issued as of December 31, 2023 and 2022, respectively. The Company had 29,091,019 and 28,919,810 outstanding shares as of December 31, 2023 and 2022, respectively. Common shares are voting and dividends may be paid when, as and if declared by the board of directors.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Reserved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reserved the following shares of common stock for future issuance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38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Stock options outstanding</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5,666,621</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5,645,420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Unvested restricted stock</w:t>
            </w:r>
          </w:p>
        </w:tc>
        <w:tc>
          <w:tcPr>
            <w:tcW w:w="1620" w:type="dxa"/>
            <w:vAlign w:val="bottom"/>
          </w:tcPr>
          <w:p>
            <w:pPr>
              <w:jc w:val="right"/>
              <w:spacing w:after="0"/>
              <w:rPr>
                <w:sz w:val="20"/>
                <w:szCs w:val="20"/>
                <w:color w:val="auto"/>
              </w:rPr>
            </w:pPr>
            <w:r>
              <w:rPr>
                <w:rFonts w:ascii="Arial" w:cs="Arial" w:eastAsia="Arial" w:hAnsi="Arial"/>
                <w:sz w:val="17"/>
                <w:szCs w:val="17"/>
                <w:color w:val="auto"/>
              </w:rPr>
              <w:t>2,526,432</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612,366</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Shares available for future grant under stock option plan</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252,053</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1,311,915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Warrants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7,507,708</w:t>
            </w:r>
          </w:p>
        </w:tc>
        <w:tc>
          <w:tcPr>
            <w:tcW w:w="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7,507,708</w:t>
            </w:r>
          </w:p>
        </w:tc>
        <w:tc>
          <w:tcPr>
            <w:tcW w:w="100" w:type="dxa"/>
            <w:vAlign w:val="bottom"/>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15,952,814</w:t>
            </w:r>
          </w:p>
        </w:tc>
        <w:tc>
          <w:tcPr>
            <w:tcW w:w="2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15,077,409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3"/>
        </w:trPr>
        <w:tc>
          <w:tcPr>
            <w:tcW w:w="76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-162560</wp:posOffset>
            </wp:positionV>
            <wp:extent cx="768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-145415</wp:posOffset>
            </wp:positionV>
            <wp:extent cx="768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Shelf Registration and At-the-Market Offerings</w:t>
      </w:r>
    </w:p>
    <w:p>
      <w:pPr>
        <w:spacing w:after="0" w:line="142"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On August 5, 2022, the Company filed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Shelf was declared effective by the SEC on August 12, 2022. Due to the SEC’s “baby shelf rules,” which prohibit companies with a public float of less than $75.0 million from issuing securities under a shelf registration statement in excess of one third of such company’s public float in a 12-month period, the Company is currently only able to issue a limited number of shares which aggregate to no more than one-third of its public float using the Shelf. As of December 31, 2023, no sales had been made pursuant to the ATM Program. Subsequent to December 31, 2023 and through March 21, 2024, we have sold and issued 109,485 shares of common stock under the ATM Program, with total net proceeds of $0.2 million.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Warrants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the following warrants outstanding for the purchase of common stock as of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2"/>
        </w:trPr>
        <w:tc>
          <w:tcPr>
            <w:tcW w:w="38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01"/>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2"/>
        </w:trPr>
        <w:tc>
          <w:tcPr>
            <w:tcW w:w="38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STOCK SUBJECT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01"/>
              <w:spacing w:after="0"/>
              <w:rPr>
                <w:sz w:val="20"/>
                <w:szCs w:val="20"/>
                <w:color w:val="auto"/>
              </w:rPr>
            </w:pPr>
            <w:r>
              <w:rPr>
                <w:rFonts w:ascii="Arial" w:cs="Arial" w:eastAsia="Arial" w:hAnsi="Arial"/>
                <w:sz w:val="14"/>
                <w:szCs w:val="14"/>
                <w:b w:val="1"/>
                <w:bCs w:val="1"/>
                <w:color w:val="auto"/>
              </w:rPr>
              <w:t>PRICE PER</w:t>
            </w: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8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WARRANTS</w:t>
            </w:r>
          </w:p>
        </w:tc>
        <w:tc>
          <w:tcPr>
            <w:tcW w:w="2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WARRANTS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SHARE</w:t>
            </w:r>
          </w:p>
        </w:tc>
        <w:tc>
          <w:tcPr>
            <w:tcW w:w="220" w:type="dxa"/>
            <w:vAlign w:val="bottom"/>
          </w:tcPr>
          <w:p>
            <w:pPr>
              <w:spacing w:after="0"/>
              <w:rPr>
                <w:sz w:val="16"/>
                <w:szCs w:val="16"/>
                <w:color w:val="auto"/>
              </w:rPr>
            </w:pPr>
          </w:p>
        </w:tc>
        <w:tc>
          <w:tcPr>
            <w:tcW w:w="18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EXPIRATION DATES</w:t>
            </w:r>
          </w:p>
        </w:tc>
      </w:tr>
      <w:tr>
        <w:trPr>
          <w:trHeight w:val="210"/>
        </w:trPr>
        <w:tc>
          <w:tcPr>
            <w:tcW w:w="38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Series B Warrants</w:t>
            </w:r>
          </w:p>
        </w:tc>
        <w:tc>
          <w:tcPr>
            <w:tcW w:w="38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3,672,484</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6.81</w:t>
            </w:r>
          </w:p>
        </w:tc>
        <w:tc>
          <w:tcPr>
            <w:tcW w:w="220" w:type="dxa"/>
            <w:vAlign w:val="bottom"/>
            <w:shd w:val="clear" w:color="auto" w:fill="CFF0FC"/>
          </w:tcPr>
          <w:p>
            <w:pPr>
              <w:spacing w:after="0"/>
              <w:rPr>
                <w:sz w:val="18"/>
                <w:szCs w:val="18"/>
                <w:color w:val="auto"/>
              </w:rPr>
            </w:pPr>
          </w:p>
        </w:tc>
        <w:tc>
          <w:tcPr>
            <w:tcW w:w="1860" w:type="dxa"/>
            <w:vAlign w:val="bottom"/>
            <w:shd w:val="clear" w:color="auto" w:fill="CFF0FC"/>
          </w:tcPr>
          <w:p>
            <w:pPr>
              <w:ind w:left="20"/>
              <w:spacing w:after="0"/>
              <w:rPr>
                <w:sz w:val="20"/>
                <w:szCs w:val="20"/>
                <w:color w:val="auto"/>
              </w:rPr>
            </w:pPr>
            <w:r>
              <w:rPr>
                <w:rFonts w:ascii="Arial" w:cs="Arial" w:eastAsia="Arial" w:hAnsi="Arial"/>
                <w:sz w:val="17"/>
                <w:szCs w:val="17"/>
                <w:color w:val="auto"/>
              </w:rPr>
              <w:t>November 2025</w:t>
            </w:r>
          </w:p>
        </w:tc>
      </w:tr>
      <w:tr>
        <w:trPr>
          <w:trHeight w:val="216"/>
        </w:trPr>
        <w:tc>
          <w:tcPr>
            <w:tcW w:w="3880" w:type="dxa"/>
            <w:vAlign w:val="bottom"/>
          </w:tcPr>
          <w:p>
            <w:pPr>
              <w:ind w:left="20"/>
              <w:spacing w:after="0"/>
              <w:rPr>
                <w:sz w:val="20"/>
                <w:szCs w:val="20"/>
                <w:color w:val="auto"/>
              </w:rPr>
            </w:pPr>
            <w:r>
              <w:rPr>
                <w:rFonts w:ascii="Arial" w:cs="Arial" w:eastAsia="Arial" w:hAnsi="Arial"/>
                <w:sz w:val="17"/>
                <w:szCs w:val="17"/>
                <w:color w:val="auto"/>
              </w:rPr>
              <w:t>Conditional Series B Warrants</w:t>
            </w:r>
          </w:p>
        </w:tc>
        <w:tc>
          <w:tcPr>
            <w:tcW w:w="3840" w:type="dxa"/>
            <w:vAlign w:val="bottom"/>
            <w:gridSpan w:val="3"/>
          </w:tcPr>
          <w:p>
            <w:pPr>
              <w:jc w:val="right"/>
              <w:spacing w:after="0"/>
              <w:rPr>
                <w:sz w:val="20"/>
                <w:szCs w:val="20"/>
                <w:color w:val="auto"/>
              </w:rPr>
            </w:pPr>
            <w:r>
              <w:rPr>
                <w:rFonts w:ascii="Arial" w:cs="Arial" w:eastAsia="Arial" w:hAnsi="Arial"/>
                <w:sz w:val="17"/>
                <w:szCs w:val="17"/>
                <w:color w:val="auto"/>
              </w:rPr>
              <w:t>3,672,484</w:t>
            </w: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6.81</w:t>
            </w:r>
          </w:p>
        </w:tc>
        <w:tc>
          <w:tcPr>
            <w:tcW w:w="22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7"/>
                <w:szCs w:val="17"/>
                <w:color w:val="auto"/>
              </w:rPr>
              <w:t>November 2025</w:t>
            </w:r>
          </w:p>
        </w:tc>
      </w:tr>
      <w:tr>
        <w:trPr>
          <w:trHeight w:val="216"/>
        </w:trPr>
        <w:tc>
          <w:tcPr>
            <w:tcW w:w="3880" w:type="dxa"/>
            <w:vAlign w:val="bottom"/>
            <w:shd w:val="clear" w:color="auto" w:fill="CFF0FC"/>
          </w:tcPr>
          <w:p>
            <w:pPr>
              <w:ind w:left="20"/>
              <w:spacing w:after="0"/>
              <w:rPr>
                <w:sz w:val="20"/>
                <w:szCs w:val="20"/>
                <w:color w:val="auto"/>
              </w:rPr>
            </w:pPr>
            <w:r>
              <w:rPr>
                <w:rFonts w:ascii="Arial" w:cs="Arial" w:eastAsia="Arial" w:hAnsi="Arial"/>
                <w:sz w:val="17"/>
                <w:szCs w:val="17"/>
                <w:color w:val="auto"/>
              </w:rPr>
              <w:t>NC Ohio Trust</w:t>
            </w:r>
          </w:p>
        </w:tc>
        <w:tc>
          <w:tcPr>
            <w:tcW w:w="38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162,740</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w:t>
            </w:r>
          </w:p>
        </w:tc>
        <w:tc>
          <w:tcPr>
            <w:tcW w:w="220" w:type="dxa"/>
            <w:vAlign w:val="bottom"/>
            <w:shd w:val="clear" w:color="auto" w:fill="CFF0FC"/>
          </w:tcPr>
          <w:p>
            <w:pPr>
              <w:spacing w:after="0"/>
              <w:rPr>
                <w:sz w:val="18"/>
                <w:szCs w:val="18"/>
                <w:color w:val="auto"/>
              </w:rPr>
            </w:pPr>
          </w:p>
        </w:tc>
        <w:tc>
          <w:tcPr>
            <w:tcW w:w="1860" w:type="dxa"/>
            <w:vAlign w:val="bottom"/>
            <w:shd w:val="clear" w:color="auto" w:fill="CFF0FC"/>
          </w:tcPr>
          <w:p>
            <w:pPr>
              <w:ind w:left="20"/>
              <w:spacing w:after="0"/>
              <w:rPr>
                <w:sz w:val="20"/>
                <w:szCs w:val="20"/>
                <w:color w:val="auto"/>
              </w:rPr>
            </w:pPr>
            <w:r>
              <w:rPr>
                <w:rFonts w:ascii="Arial" w:cs="Arial" w:eastAsia="Arial" w:hAnsi="Arial"/>
                <w:sz w:val="17"/>
                <w:szCs w:val="17"/>
                <w:color w:val="auto"/>
              </w:rPr>
              <w:t>March 2029</w:t>
            </w:r>
          </w:p>
        </w:tc>
      </w:tr>
      <w:tr>
        <w:trPr>
          <w:trHeight w:val="361"/>
        </w:trPr>
        <w:tc>
          <w:tcPr>
            <w:tcW w:w="3880" w:type="dxa"/>
            <w:vAlign w:val="bottom"/>
          </w:tcPr>
          <w:p>
            <w:pPr>
              <w:spacing w:after="0"/>
              <w:rPr>
                <w:sz w:val="20"/>
                <w:szCs w:val="20"/>
                <w:color w:val="auto"/>
              </w:rPr>
            </w:pPr>
            <w:r>
              <w:rPr>
                <w:rFonts w:ascii="Arial" w:cs="Arial" w:eastAsia="Arial" w:hAnsi="Arial"/>
                <w:sz w:val="17"/>
                <w:szCs w:val="17"/>
                <w:b w:val="1"/>
                <w:bCs w:val="1"/>
                <w:i w:val="1"/>
                <w:iCs w:val="1"/>
                <w:color w:val="auto"/>
              </w:rPr>
              <w:t>Series B Warrants</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503"/>
        </w:trPr>
        <w:tc>
          <w:tcPr>
            <w:tcW w:w="3880" w:type="dxa"/>
            <w:vAlign w:val="bottom"/>
          </w:tcPr>
          <w:p>
            <w:pPr>
              <w:spacing w:after="0"/>
              <w:rPr>
                <w:sz w:val="24"/>
                <w:szCs w:val="24"/>
                <w:color w:val="auto"/>
              </w:rPr>
            </w:pPr>
          </w:p>
        </w:tc>
        <w:tc>
          <w:tcPr>
            <w:tcW w:w="3840" w:type="dxa"/>
            <w:vAlign w:val="bottom"/>
            <w:gridSpan w:val="3"/>
          </w:tcPr>
          <w:p>
            <w:pPr>
              <w:jc w:val="right"/>
              <w:ind w:right="1848"/>
              <w:spacing w:after="0"/>
              <w:rPr>
                <w:sz w:val="20"/>
                <w:szCs w:val="20"/>
                <w:color w:val="auto"/>
              </w:rPr>
            </w:pPr>
            <w:r>
              <w:rPr>
                <w:rFonts w:ascii="Arial" w:cs="Arial" w:eastAsia="Arial" w:hAnsi="Arial"/>
                <w:sz w:val="17"/>
                <w:szCs w:val="17"/>
                <w:color w:val="auto"/>
              </w:rPr>
              <w:t>F-15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723"/>
        </w:trPr>
        <w:tc>
          <w:tcPr>
            <w:tcW w:w="38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37" w:name="page138"/>
    <w:bookmarkEnd w:id="137"/>
    <w:p>
      <w:pPr>
        <w:jc w:val="both"/>
        <w:ind w:right="340"/>
        <w:spacing w:after="0" w:line="249" w:lineRule="auto"/>
        <w:rPr>
          <w:sz w:val="20"/>
          <w:szCs w:val="20"/>
          <w:color w:val="auto"/>
        </w:rPr>
      </w:pPr>
      <w:r>
        <w:rPr>
          <w:rFonts w:ascii="Arial" w:cs="Arial" w:eastAsia="Arial" w:hAnsi="Arial"/>
          <w:sz w:val="17"/>
          <w:szCs w:val="17"/>
          <w:color w:val="auto"/>
        </w:rPr>
        <w:t>In connection with the November 13, 2018 issuance of Series B convertible preferred stock (the Series B Preferred), the Company issued to the purchaser of the Series B Preferred warrants to purchase 3,672,484 shares of common stock for $6.81 per share (the Series B Warrants), which became fully exercisable upon issuance. The Series B Warrants contain provisions allowing cashless exercise.</w:t>
      </w:r>
    </w:p>
    <w:p>
      <w:pPr>
        <w:spacing w:after="0" w:line="94" w:lineRule="exact"/>
        <w:rPr>
          <w:sz w:val="20"/>
          <w:szCs w:val="20"/>
          <w:color w:val="auto"/>
        </w:rPr>
      </w:pPr>
    </w:p>
    <w:p>
      <w:pPr>
        <w:jc w:val="both"/>
        <w:ind w:right="320"/>
        <w:spacing w:after="0" w:line="249" w:lineRule="auto"/>
        <w:rPr>
          <w:sz w:val="20"/>
          <w:szCs w:val="20"/>
          <w:color w:val="auto"/>
        </w:rPr>
      </w:pPr>
      <w:r>
        <w:rPr>
          <w:rFonts w:ascii="Arial" w:cs="Arial" w:eastAsia="Arial" w:hAnsi="Arial"/>
          <w:sz w:val="17"/>
          <w:szCs w:val="17"/>
          <w:color w:val="auto"/>
        </w:rPr>
        <w:t>In addition, the Company issued to the same stockholder additional five-year warrants for the purchase of 3,672,484 shares of common stock for $6.81 per share (the Conditional Series B Warrants), which become exercisable in the event that the Company completes a future financing that meets certain financial milestones or achieves certain share prices as follows:</w:t>
      </w:r>
    </w:p>
    <w:p>
      <w:pPr>
        <w:spacing w:after="0" w:line="67" w:lineRule="exact"/>
        <w:rPr>
          <w:sz w:val="20"/>
          <w:szCs w:val="20"/>
          <w:color w:val="auto"/>
        </w:rPr>
      </w:pPr>
    </w:p>
    <w:p>
      <w:pPr>
        <w:ind w:left="1020" w:hanging="503"/>
        <w:spacing w:after="0"/>
        <w:tabs>
          <w:tab w:leader="none" w:pos="102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w:t>
      </w:r>
    </w:p>
    <w:p>
      <w:pPr>
        <w:spacing w:after="0" w:line="8" w:lineRule="exact"/>
        <w:rPr>
          <w:rFonts w:ascii="Times New Roman" w:cs="Times New Roman" w:eastAsia="Times New Roman" w:hAnsi="Times New Roman"/>
          <w:sz w:val="17"/>
          <w:szCs w:val="17"/>
          <w:color w:val="auto"/>
        </w:rPr>
      </w:pPr>
    </w:p>
    <w:p>
      <w:pPr>
        <w:ind w:left="1020" w:right="40"/>
        <w:spacing w:after="0" w:line="248" w:lineRule="auto"/>
        <w:rPr>
          <w:rFonts w:ascii="Times New Roman" w:cs="Times New Roman" w:eastAsia="Times New Roman" w:hAnsi="Times New Roman"/>
          <w:sz w:val="17"/>
          <w:szCs w:val="17"/>
          <w:color w:val="auto"/>
        </w:rPr>
      </w:pPr>
      <w:r>
        <w:rPr>
          <w:rFonts w:ascii="Arial" w:cs="Arial" w:eastAsia="Arial" w:hAnsi="Arial"/>
          <w:sz w:val="17"/>
          <w:szCs w:val="17"/>
          <w:color w:val="auto"/>
        </w:rPr>
        <w:t>$20,000,000 in gross proceeds with a per share price of $12.47, or (2) an average market price (determined over a consecutive 10-day period) of $12.47 per share;</w:t>
      </w:r>
    </w:p>
    <w:p>
      <w:pPr>
        <w:spacing w:after="0" w:line="66"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9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On June 24, 2021, the Company’s board of directors approved and on July 14, 2021 the stockholders approved, effective upon the closing of the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w:t>
      </w:r>
    </w:p>
    <w:p>
      <w:pPr>
        <w:spacing w:after="0" w:line="11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Company recorded the Series B Warrants as a component of stockholder’s equity at the time of issuance at their estimated fair value of $2.1 million and recorded the Conditional Series B Warrants as a liability on the consolidated balance sheet as the number of shares used to calculate the settlement is not a fixed number of shares. The Conditional Series B Warrants are remeasured to their fair value at each reporting date with changes in the fair value recognized as a component of other income (expense), net in the consolidated statements of operations. The Company will continue to recognize changes in the fair value of the Conditional Series B Warrants until each Conditional Series B Warrant is exercised, expires or qualifies for equity classification. The warrant liability fair value was $0.9 million and $1.9 million as of December 31, 2023 and 2022,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NC Ohio Trust Warrants</w:t>
      </w:r>
    </w:p>
    <w:p>
      <w:pPr>
        <w:spacing w:after="0" w:line="14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On March 20, 2019, the Company established the NC Incorporated Ohio Trust, an irrevocable trust funded by the Company. The beneficiary in the trust agreement has provided past services to the Company for more than 15 years and is a non-employee. The warrant provides the beneficiary the right to purchase 162,740 shares of the Company’s common stock, $0.01 par value at an exercise price of $1.46 per share, subject to adjustments as specified in the warrant agreement. The Company recognizes the warrants as compensation expense within the consolidated statement of operations when the warrants are granted or at the service inception date if the service inception date precedes the grant date. In the period in which the grant date occurs, cumulative compensation cost shall be adjusted to reflect the cumulative effect of measuring compensation cost based on the fair value at the grant date rather than the fair value previously used at the service inception date or subsequent reporting dates. As of December 31, 2023 and 2022, a grant date was not established as there was not a mutual understanding of key terms. The Company remeasures the fair value of the award at each reporting date, as the service date preceded the grant date. The value of the warrants for 162,740 shares of common stock was $0.2 million as of both December 31, 2023 and 2022, and was recorded as stock compensation expense within research and development expense and a credit to stockholders’ equity in the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Options, Restricted Stock and Stock-Based Compensation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Company’s 2015 Stock Plan, as amended, (the 2015 Plan) provides for the Company to sell or issue common shares or restricted common stock, or to grant incentive stock options or nonqualified stock options for the purchase of common stock, to employees, members of the board of directors and consultants of the Company. The 2015 Plan is administered by the board of directors and exercise prices, vesting and other restrictions are determined at its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38" w:name="page139"/>
    <w:bookmarkEnd w:id="138"/>
    <w:p>
      <w:pPr>
        <w:ind w:right="80"/>
        <w:spacing w:after="0" w:line="238" w:lineRule="auto"/>
        <w:rPr>
          <w:sz w:val="20"/>
          <w:szCs w:val="20"/>
          <w:color w:val="auto"/>
        </w:rPr>
      </w:pPr>
      <w:r>
        <w:rPr>
          <w:rFonts w:ascii="Arial" w:cs="Arial" w:eastAsia="Arial" w:hAnsi="Arial"/>
          <w:sz w:val="17"/>
          <w:szCs w:val="17"/>
          <w:color w:val="auto"/>
        </w:rPr>
        <w:t>discretion. All stock option grants are non-statutory stock options except option grants to employees intended to qualify as incentive stock options under the Internal Revenue Code of 1986, as amended. Incentive stock options may not be granted at less than the fair market value of the Company’s common stock on the date of grant, as determined in good faith by the board of directors at its sole discretion. Nonqualified stock options may be granted at an exercise price established by the board of directors at its sole discretion and the vesting periods may vary. Vesting periods are generally four years and are determined by the board of directors. Stock options become exercisable as they vest. Options granted under the 2015 Plan expire no more than ten years from the date of grant. As of December 31, 2023, there are no shares available for grants under the 2015 Plan and the 2015 Plan continues to govern the terms and conditions of the outstanding awards under the 2015 Plan.</w:t>
      </w:r>
    </w:p>
    <w:p>
      <w:pPr>
        <w:spacing w:after="0" w:line="101"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On July 14, 2021, the Company’s 2021 Equity Incentive Plan (the 2021 Plan) was approved by the Company’s stockholders, and became effective upon completion of the IPO and serves as the successor to the 2015 Plan. 5,321,447 shares of common stock are reserved under the 2021 Plan, of which 252,053 shares remain available for future grants as of December 31, 2023.</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574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r>
      <w:tr>
        <w:trPr>
          <w:trHeight w:val="162"/>
        </w:trPr>
        <w:tc>
          <w:tcPr>
            <w:tcW w:w="574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TERM (IN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w:t>
            </w:r>
          </w:p>
        </w:tc>
      </w:tr>
      <w:tr>
        <w:trPr>
          <w:trHeight w:val="185"/>
        </w:trPr>
        <w:tc>
          <w:tcPr>
            <w:tcW w:w="574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6"/>
                <w:szCs w:val="16"/>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Arial" w:cs="Arial" w:eastAsia="Arial" w:hAnsi="Arial"/>
                <w:sz w:val="17"/>
                <w:szCs w:val="17"/>
                <w:color w:val="auto"/>
              </w:rPr>
              <w:t>Outstanding as of December 31, 2022</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5,645,420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2.77</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7.73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7"/>
                <w:szCs w:val="17"/>
                <w:color w:val="auto"/>
              </w:rPr>
              <w:t>Granted</w:t>
            </w:r>
          </w:p>
        </w:tc>
        <w:tc>
          <w:tcPr>
            <w:tcW w:w="1220" w:type="dxa"/>
            <w:vAlign w:val="bottom"/>
          </w:tcPr>
          <w:p>
            <w:pPr>
              <w:jc w:val="right"/>
              <w:spacing w:after="0"/>
              <w:rPr>
                <w:sz w:val="20"/>
                <w:szCs w:val="20"/>
                <w:color w:val="auto"/>
              </w:rPr>
            </w:pPr>
            <w:r>
              <w:rPr>
                <w:rFonts w:ascii="Arial" w:cs="Arial" w:eastAsia="Arial" w:hAnsi="Arial"/>
                <w:sz w:val="17"/>
                <w:szCs w:val="17"/>
                <w:color w:val="auto"/>
              </w:rPr>
              <w:t>1,313,203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1.30</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7"/>
                <w:szCs w:val="17"/>
                <w:color w:val="auto"/>
              </w:rPr>
              <w:t>Exercised</w:t>
            </w: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7"/>
                <w:szCs w:val="17"/>
                <w:color w:val="auto"/>
              </w:rPr>
              <w:t>Cancelled, forfeited or expired</w:t>
            </w: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(1,292,002 )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2.60</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Outstanding as of December 31, 2023</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5,666,621</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2.47</w:t>
            </w:r>
          </w:p>
        </w:tc>
        <w:tc>
          <w:tcPr>
            <w:tcW w:w="2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6.61</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740" w:type="dxa"/>
            <w:vAlign w:val="bottom"/>
          </w:tcPr>
          <w:p>
            <w:pPr>
              <w:ind w:left="20"/>
              <w:spacing w:after="0"/>
              <w:rPr>
                <w:sz w:val="20"/>
                <w:szCs w:val="20"/>
                <w:color w:val="auto"/>
              </w:rPr>
            </w:pPr>
            <w:r>
              <w:rPr>
                <w:rFonts w:ascii="Arial" w:cs="Arial" w:eastAsia="Arial" w:hAnsi="Arial"/>
                <w:sz w:val="17"/>
                <w:szCs w:val="17"/>
                <w:color w:val="auto"/>
              </w:rPr>
              <w:t>Exercisable as of December 31, 2023</w:t>
            </w:r>
          </w:p>
        </w:tc>
        <w:tc>
          <w:tcPr>
            <w:tcW w:w="1220" w:type="dxa"/>
            <w:vAlign w:val="bottom"/>
          </w:tcPr>
          <w:p>
            <w:pPr>
              <w:jc w:val="right"/>
              <w:spacing w:after="0"/>
              <w:rPr>
                <w:sz w:val="20"/>
                <w:szCs w:val="20"/>
                <w:color w:val="auto"/>
              </w:rPr>
            </w:pPr>
            <w:r>
              <w:rPr>
                <w:rFonts w:ascii="Arial" w:cs="Arial" w:eastAsia="Arial" w:hAnsi="Arial"/>
                <w:sz w:val="17"/>
                <w:szCs w:val="17"/>
                <w:color w:val="auto"/>
              </w:rPr>
              <w:t>3,656,582</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2.49</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5.55</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740" w:type="dxa"/>
            <w:vAlign w:val="bottom"/>
            <w:shd w:val="clear" w:color="auto" w:fill="CFF0FC"/>
          </w:tcPr>
          <w:p>
            <w:pPr>
              <w:ind w:left="20"/>
              <w:spacing w:after="0"/>
              <w:rPr>
                <w:sz w:val="20"/>
                <w:szCs w:val="20"/>
                <w:color w:val="auto"/>
              </w:rPr>
            </w:pPr>
            <w:r>
              <w:rPr>
                <w:rFonts w:ascii="Arial" w:cs="Arial" w:eastAsia="Arial" w:hAnsi="Arial"/>
                <w:sz w:val="17"/>
                <w:szCs w:val="17"/>
                <w:color w:val="auto"/>
              </w:rPr>
              <w:t>Unvested as of December 31, 2023</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2,010,039</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2.44</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8.54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FF0FC"/>
          </w:tcPr>
          <w:p>
            <w:pPr>
              <w:spacing w:after="0"/>
              <w:rPr>
                <w:sz w:val="20"/>
                <w:szCs w:val="20"/>
                <w:color w:val="auto"/>
              </w:rPr>
            </w:pPr>
          </w:p>
        </w:tc>
      </w:tr>
      <w:tr>
        <w:trPr>
          <w:trHeight w:val="75"/>
        </w:trPr>
        <w:tc>
          <w:tcPr>
            <w:tcW w:w="5740" w:type="dxa"/>
            <w:vAlign w:val="bottom"/>
            <w:tcBorders>
              <w:top w:val="single" w:sz="8" w:color="CFF0FC"/>
              <w:bottom w:val="single" w:sz="8" w:color="auto"/>
            </w:tcBorders>
          </w:tcPr>
          <w:p>
            <w:pPr>
              <w:spacing w:after="0"/>
              <w:rPr>
                <w:sz w:val="6"/>
                <w:szCs w:val="6"/>
                <w:color w:val="auto"/>
              </w:rPr>
            </w:pPr>
          </w:p>
        </w:tc>
        <w:tc>
          <w:tcPr>
            <w:tcW w:w="122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CFF0FC"/>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CFF0FC"/>
              <w:bottom w:val="single" w:sz="8" w:color="auto"/>
            </w:tcBorders>
          </w:tcPr>
          <w:p>
            <w:pPr>
              <w:spacing w:after="0"/>
              <w:rPr>
                <w:sz w:val="6"/>
                <w:szCs w:val="6"/>
                <w:color w:val="auto"/>
              </w:rPr>
            </w:pPr>
          </w:p>
        </w:tc>
        <w:tc>
          <w:tcPr>
            <w:tcW w:w="1200" w:type="dxa"/>
            <w:vAlign w:val="bottom"/>
            <w:tcBorders>
              <w:top w:val="single" w:sz="8" w:color="auto"/>
              <w:bottom w:val="single" w:sz="8" w:color="auto"/>
            </w:tcBorders>
          </w:tcPr>
          <w:p>
            <w:pPr>
              <w:spacing w:after="0"/>
              <w:rPr>
                <w:sz w:val="6"/>
                <w:szCs w:val="6"/>
                <w:color w:val="auto"/>
              </w:rPr>
            </w:pPr>
          </w:p>
        </w:tc>
        <w:tc>
          <w:tcPr>
            <w:tcW w:w="240" w:type="dxa"/>
            <w:vAlign w:val="bottom"/>
            <w:tcBorders>
              <w:top w:val="single" w:sz="8" w:color="CFF0FC"/>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04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CFF0FC"/>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-419735</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-401955</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-419735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-401955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-419735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-401955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-93980</wp:posOffset>
            </wp:positionV>
            <wp:extent cx="768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-76835</wp:posOffset>
            </wp:positionV>
            <wp:extent cx="768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-93980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-76835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-93980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-76835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-93980</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-76835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The 2015 Plan permits participants to use common stock they previously acquired to pay for the exercise of stock options based upon the fair value on the date of exercise. In connection with the exercise of a stock options to purchase 306,518 shares of our common stock at an exercise price of $1.46, option holders tendered 122,608 shares of our common stock previously acquired in consideration of the full aggregate exercise price in accordance with the terms of the option and the 2015 Plan. The shares tendered are recorded as treasury stock within the Company's consolidated financial statements at December 31, 2023.</w:t>
      </w:r>
    </w:p>
    <w:p>
      <w:pPr>
        <w:spacing w:after="0" w:line="112" w:lineRule="exact"/>
        <w:rPr>
          <w:sz w:val="20"/>
          <w:szCs w:val="20"/>
          <w:color w:val="auto"/>
        </w:rPr>
      </w:pPr>
    </w:p>
    <w:p>
      <w:pPr>
        <w:ind w:right="720"/>
        <w:spacing w:after="0" w:line="267" w:lineRule="auto"/>
        <w:rPr>
          <w:sz w:val="20"/>
          <w:szCs w:val="20"/>
          <w:color w:val="auto"/>
        </w:rPr>
      </w:pPr>
      <w:r>
        <w:rPr>
          <w:rFonts w:ascii="Arial" w:cs="Arial" w:eastAsia="Arial" w:hAnsi="Arial"/>
          <w:sz w:val="17"/>
          <w:szCs w:val="17"/>
          <w:color w:val="auto"/>
        </w:rPr>
        <w:t>The fair value of stock options granted was estimated on the grant date using the Black-Scholes option pricing model based on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60" w:type="dxa"/>
            <w:vAlign w:val="bottom"/>
          </w:tcPr>
          <w:p>
            <w:pPr>
              <w:spacing w:after="0"/>
              <w:rPr>
                <w:sz w:val="16"/>
                <w:szCs w:val="16"/>
                <w:color w:val="auto"/>
              </w:rPr>
            </w:pPr>
          </w:p>
        </w:tc>
        <w:tc>
          <w:tcPr>
            <w:tcW w:w="344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6360" w:type="dxa"/>
            <w:vAlign w:val="bottom"/>
          </w:tcPr>
          <w:p>
            <w:pPr>
              <w:spacing w:after="0"/>
              <w:rPr>
                <w:sz w:val="15"/>
                <w:szCs w:val="15"/>
                <w:color w:val="auto"/>
              </w:rPr>
            </w:pPr>
          </w:p>
        </w:tc>
        <w:tc>
          <w:tcPr>
            <w:tcW w:w="226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0"/>
        </w:trPr>
        <w:tc>
          <w:tcPr>
            <w:tcW w:w="6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Expected option life (years)</w:t>
            </w:r>
          </w:p>
        </w:tc>
        <w:tc>
          <w:tcPr>
            <w:tcW w:w="2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5.48 - 6.08</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5.33 - 6.08</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2260" w:type="dxa"/>
            <w:vAlign w:val="bottom"/>
          </w:tcPr>
          <w:p>
            <w:pPr>
              <w:jc w:val="right"/>
              <w:spacing w:after="0"/>
              <w:rPr>
                <w:sz w:val="20"/>
                <w:szCs w:val="20"/>
                <w:color w:val="auto"/>
              </w:rPr>
            </w:pPr>
            <w:r>
              <w:rPr>
                <w:rFonts w:ascii="Arial" w:cs="Arial" w:eastAsia="Arial" w:hAnsi="Arial"/>
                <w:sz w:val="17"/>
                <w:szCs w:val="17"/>
                <w:color w:val="auto"/>
              </w:rPr>
              <w:t>3.50% - 4.86%</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1.69% - 4.23%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Expected volatility</w:t>
            </w:r>
          </w:p>
        </w:tc>
        <w:tc>
          <w:tcPr>
            <w:tcW w:w="2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91.33% - 94.51%</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9"/>
              </w:rPr>
              <w:t>85.09% - 87.67%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2540" w:type="dxa"/>
            <w:vAlign w:val="bottom"/>
            <w:gridSpan w:val="2"/>
          </w:tcPr>
          <w:p>
            <w:pPr>
              <w:jc w:val="right"/>
              <w:ind w:right="120"/>
              <w:spacing w:after="0"/>
              <w:rPr>
                <w:sz w:val="20"/>
                <w:szCs w:val="20"/>
                <w:color w:val="auto"/>
              </w:rPr>
            </w:pPr>
            <w:r>
              <w:rPr>
                <w:rFonts w:ascii="Arial" w:cs="Arial" w:eastAsia="Arial" w:hAnsi="Arial"/>
                <w:sz w:val="17"/>
                <w:szCs w:val="17"/>
                <w:color w:val="auto"/>
              </w:rPr>
              <w:t>0 %</w:t>
            </w:r>
          </w:p>
        </w:tc>
        <w:tc>
          <w:tcPr>
            <w:tcW w:w="9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7"/>
                <w:szCs w:val="17"/>
                <w:color w:val="auto"/>
              </w:rPr>
              <w:t>0 %</w:t>
            </w:r>
          </w:p>
        </w:tc>
      </w:tr>
      <w:tr>
        <w:trPr>
          <w:trHeight w:val="86"/>
        </w:trPr>
        <w:tc>
          <w:tcPr>
            <w:tcW w:w="636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The total intrinsic value of stock options vested during each of the years ended December 31, 2023 and 2022 was zero.</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29" w:lineRule="exact"/>
        <w:rPr>
          <w:sz w:val="20"/>
          <w:szCs w:val="20"/>
          <w:color w:val="auto"/>
        </w:rPr>
      </w:pPr>
    </w:p>
    <w:p>
      <w:pPr>
        <w:jc w:val="both"/>
        <w:ind w:right="340"/>
        <w:spacing w:after="0" w:line="249" w:lineRule="auto"/>
        <w:rPr>
          <w:sz w:val="20"/>
          <w:szCs w:val="20"/>
          <w:color w:val="auto"/>
        </w:rPr>
      </w:pPr>
      <w:r>
        <w:rPr>
          <w:rFonts w:ascii="Arial" w:cs="Arial" w:eastAsia="Arial" w:hAnsi="Arial"/>
          <w:sz w:val="17"/>
          <w:szCs w:val="17"/>
          <w:color w:val="auto"/>
        </w:rPr>
        <w:t>Under the terms of the restricted stock unit agreements covering the common stock, shares of common stock related to restricted stock units are subject to time-based vesting. The restricted stock units will immediately be forfeited to the Company if the relationship between the recipient and the Company ceases.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activity is summarized as follows:</w:t>
      </w: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38" w:right="27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28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400" w:type="dxa"/>
            <w:vAlign w:val="bottom"/>
          </w:tcPr>
          <w:p>
            <w:pPr>
              <w:spacing w:after="0"/>
              <w:rPr>
                <w:sz w:val="14"/>
                <w:szCs w:val="14"/>
                <w:color w:val="auto"/>
              </w:rPr>
            </w:pPr>
          </w:p>
        </w:tc>
        <w:tc>
          <w:tcPr>
            <w:tcW w:w="28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 GRANT</w:t>
            </w:r>
          </w:p>
        </w:tc>
      </w:tr>
      <w:tr>
        <w:trPr>
          <w:trHeight w:val="185"/>
        </w:trPr>
        <w:tc>
          <w:tcPr>
            <w:tcW w:w="6400" w:type="dxa"/>
            <w:vAlign w:val="bottom"/>
          </w:tcPr>
          <w:p>
            <w:pPr>
              <w:spacing w:after="0"/>
              <w:rPr>
                <w:sz w:val="16"/>
                <w:szCs w:val="16"/>
                <w:color w:val="auto"/>
              </w:rPr>
            </w:pPr>
          </w:p>
        </w:tc>
        <w:tc>
          <w:tcPr>
            <w:tcW w:w="28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DATE FAIR VALUE</w:t>
            </w:r>
          </w:p>
        </w:tc>
      </w:tr>
      <w:tr>
        <w:trPr>
          <w:trHeight w:val="210"/>
        </w:trPr>
        <w:tc>
          <w:tcPr>
            <w:tcW w:w="6400" w:type="dxa"/>
            <w:vAlign w:val="bottom"/>
            <w:shd w:val="clear" w:color="auto" w:fill="CFF0FC"/>
          </w:tcPr>
          <w:p>
            <w:pPr>
              <w:ind w:left="20"/>
              <w:spacing w:after="0"/>
              <w:rPr>
                <w:sz w:val="20"/>
                <w:szCs w:val="20"/>
                <w:color w:val="auto"/>
              </w:rPr>
            </w:pPr>
            <w:r>
              <w:rPr>
                <w:rFonts w:ascii="Arial" w:cs="Arial" w:eastAsia="Arial" w:hAnsi="Arial"/>
                <w:sz w:val="17"/>
                <w:szCs w:val="17"/>
                <w:color w:val="auto"/>
              </w:rPr>
              <w:t>Unvested at December 31, 2022</w:t>
            </w:r>
          </w:p>
        </w:tc>
        <w:tc>
          <w:tcPr>
            <w:tcW w:w="2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612,366</w:t>
            </w:r>
          </w:p>
        </w:tc>
        <w:tc>
          <w:tcPr>
            <w:tcW w:w="5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7"/>
                <w:szCs w:val="17"/>
                <w:color w:val="auto"/>
              </w:rPr>
              <w:t>Granted</w:t>
            </w:r>
          </w:p>
        </w:tc>
        <w:tc>
          <w:tcPr>
            <w:tcW w:w="2360" w:type="dxa"/>
            <w:vAlign w:val="bottom"/>
          </w:tcPr>
          <w:p>
            <w:pPr>
              <w:jc w:val="right"/>
              <w:spacing w:after="0"/>
              <w:rPr>
                <w:sz w:val="20"/>
                <w:szCs w:val="20"/>
                <w:color w:val="auto"/>
              </w:rPr>
            </w:pPr>
            <w:r>
              <w:rPr>
                <w:rFonts w:ascii="Arial" w:cs="Arial" w:eastAsia="Arial" w:hAnsi="Arial"/>
                <w:sz w:val="17"/>
                <w:szCs w:val="17"/>
                <w:color w:val="auto"/>
              </w:rPr>
              <w:t>2,242,509</w:t>
            </w:r>
          </w:p>
        </w:tc>
        <w:tc>
          <w:tcPr>
            <w:tcW w:w="50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0.98</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20"/>
              <w:spacing w:after="0"/>
              <w:rPr>
                <w:sz w:val="20"/>
                <w:szCs w:val="20"/>
                <w:color w:val="auto"/>
              </w:rPr>
            </w:pPr>
            <w:r>
              <w:rPr>
                <w:rFonts w:ascii="Arial" w:cs="Arial" w:eastAsia="Arial" w:hAnsi="Arial"/>
                <w:sz w:val="17"/>
                <w:szCs w:val="17"/>
                <w:color w:val="auto"/>
              </w:rPr>
              <w:t>Vested</w:t>
            </w:r>
          </w:p>
        </w:tc>
        <w:tc>
          <w:tcPr>
            <w:tcW w:w="2860" w:type="dxa"/>
            <w:vAlign w:val="bottom"/>
            <w:gridSpan w:val="2"/>
            <w:shd w:val="clear" w:color="auto" w:fill="CFF0FC"/>
          </w:tcPr>
          <w:p>
            <w:pPr>
              <w:jc w:val="right"/>
              <w:ind w:right="420"/>
              <w:spacing w:after="0"/>
              <w:rPr>
                <w:sz w:val="20"/>
                <w:szCs w:val="20"/>
                <w:color w:val="auto"/>
              </w:rPr>
            </w:pPr>
            <w:r>
              <w:rPr>
                <w:rFonts w:ascii="Arial" w:cs="Arial" w:eastAsia="Arial" w:hAnsi="Arial"/>
                <w:sz w:val="17"/>
                <w:szCs w:val="17"/>
                <w:color w:val="auto"/>
              </w:rPr>
              <w:t>(306,185 )</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7"/>
                <w:szCs w:val="17"/>
                <w:color w:val="auto"/>
              </w:rPr>
              <w:t>Forfeited</w:t>
            </w:r>
          </w:p>
        </w:tc>
        <w:tc>
          <w:tcPr>
            <w:tcW w:w="2860" w:type="dxa"/>
            <w:vAlign w:val="bottom"/>
            <w:gridSpan w:val="2"/>
          </w:tcPr>
          <w:p>
            <w:pPr>
              <w:jc w:val="right"/>
              <w:ind w:right="420"/>
              <w:spacing w:after="0"/>
              <w:rPr>
                <w:sz w:val="20"/>
                <w:szCs w:val="20"/>
                <w:color w:val="auto"/>
              </w:rPr>
            </w:pPr>
            <w:r>
              <w:rPr>
                <w:rFonts w:ascii="Arial" w:cs="Arial" w:eastAsia="Arial" w:hAnsi="Arial"/>
                <w:sz w:val="17"/>
                <w:szCs w:val="17"/>
                <w:color w:val="auto"/>
              </w:rPr>
              <w:t>(22,258 )</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8"/>
                <w:szCs w:val="18"/>
                <w:color w:val="auto"/>
              </w:rPr>
            </w:pPr>
          </w:p>
        </w:tc>
      </w:tr>
      <w:tr>
        <w:trPr>
          <w:trHeight w:val="250"/>
        </w:trPr>
        <w:tc>
          <w:tcPr>
            <w:tcW w:w="6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Unvested at December 31, 2023</w:t>
            </w:r>
          </w:p>
        </w:tc>
        <w:tc>
          <w:tcPr>
            <w:tcW w:w="2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2,526,432</w:t>
            </w:r>
          </w:p>
        </w:tc>
        <w:tc>
          <w:tcPr>
            <w:tcW w:w="5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0" w:lineRule="exact"/>
        <w:rPr>
          <w:sz w:val="20"/>
          <w:szCs w:val="20"/>
          <w:color w:val="auto"/>
        </w:rPr>
      </w:pPr>
    </w:p>
    <w:p>
      <w:pPr>
        <w:jc w:val="both"/>
        <w:ind w:right="500"/>
        <w:spacing w:after="0" w:line="267" w:lineRule="auto"/>
        <w:rPr>
          <w:sz w:val="20"/>
          <w:szCs w:val="20"/>
          <w:color w:val="auto"/>
        </w:rPr>
      </w:pPr>
      <w:r>
        <w:rPr>
          <w:rFonts w:ascii="Arial" w:cs="Arial" w:eastAsia="Arial" w:hAnsi="Arial"/>
          <w:sz w:val="17"/>
          <w:szCs w:val="17"/>
          <w:color w:val="auto"/>
        </w:rPr>
        <w:t>The aggregate fair value of restricted stock units that vested during each of the years ended December 31, 2023 and 2022 was $0.5 million and zero,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29"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Stock-based compensation expense for the years ended December 31, 2023 and 2022 was classified in the consolidated statements of operations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720" w:type="dxa"/>
            <w:vAlign w:val="bottom"/>
          </w:tcPr>
          <w:p>
            <w:pPr>
              <w:spacing w:after="0"/>
              <w:rPr>
                <w:sz w:val="15"/>
                <w:szCs w:val="15"/>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Research and development</w:t>
            </w:r>
          </w:p>
        </w:tc>
        <w:tc>
          <w:tcPr>
            <w:tcW w:w="1040" w:type="dxa"/>
            <w:vAlign w:val="bottom"/>
            <w:shd w:val="clear" w:color="auto" w:fill="CFF0FC"/>
          </w:tcPr>
          <w:p>
            <w:pPr>
              <w:jc w:val="right"/>
              <w:ind w:right="841"/>
              <w:spacing w:after="0"/>
              <w:rPr>
                <w:sz w:val="20"/>
                <w:szCs w:val="20"/>
                <w:color w:val="auto"/>
              </w:rPr>
            </w:pPr>
            <w:r>
              <w:rPr>
                <w:rFonts w:ascii="Arial" w:cs="Arial" w:eastAsia="Arial" w:hAnsi="Arial"/>
                <w:sz w:val="17"/>
                <w:szCs w:val="17"/>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1,347</w:t>
            </w:r>
          </w:p>
        </w:tc>
        <w:tc>
          <w:tcPr>
            <w:tcW w:w="1300" w:type="dxa"/>
            <w:vAlign w:val="bottom"/>
            <w:gridSpan w:val="2"/>
            <w:shd w:val="clear" w:color="auto" w:fill="CFF0FC"/>
          </w:tcPr>
          <w:p>
            <w:pPr>
              <w:jc w:val="right"/>
              <w:ind w:right="848"/>
              <w:spacing w:after="0"/>
              <w:rPr>
                <w:sz w:val="20"/>
                <w:szCs w:val="20"/>
                <w:color w:val="auto"/>
              </w:rPr>
            </w:pPr>
            <w:r>
              <w:rPr>
                <w:rFonts w:ascii="Arial" w:cs="Arial" w:eastAsia="Arial" w:hAnsi="Arial"/>
                <w:sz w:val="17"/>
                <w:szCs w:val="17"/>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1,744</w:t>
            </w:r>
          </w:p>
        </w:tc>
        <w:tc>
          <w:tcPr>
            <w:tcW w:w="2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1,533</w:t>
            </w:r>
          </w:p>
        </w:tc>
        <w:tc>
          <w:tcPr>
            <w:tcW w:w="100" w:type="dxa"/>
            <w:vAlign w:val="bottom"/>
          </w:tcPr>
          <w:p>
            <w:pPr>
              <w:spacing w:after="0"/>
              <w:rPr>
                <w:sz w:val="18"/>
                <w:szCs w:val="18"/>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color w:val="auto"/>
              </w:rPr>
              <w:t>Total stock based compensation expense</w:t>
            </w:r>
          </w:p>
        </w:tc>
        <w:tc>
          <w:tcPr>
            <w:tcW w:w="1040" w:type="dxa"/>
            <w:vAlign w:val="bottom"/>
            <w:shd w:val="clear" w:color="auto" w:fill="CFF0FC"/>
          </w:tcPr>
          <w:p>
            <w:pPr>
              <w:jc w:val="right"/>
              <w:ind w:right="841"/>
              <w:spacing w:after="0"/>
              <w:rPr>
                <w:sz w:val="20"/>
                <w:szCs w:val="20"/>
                <w:color w:val="auto"/>
              </w:rPr>
            </w:pPr>
            <w:r>
              <w:rPr>
                <w:rFonts w:ascii="Arial" w:cs="Arial" w:eastAsia="Arial" w:hAnsi="Arial"/>
                <w:sz w:val="17"/>
                <w:szCs w:val="17"/>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3,091</w:t>
            </w:r>
          </w:p>
        </w:tc>
        <w:tc>
          <w:tcPr>
            <w:tcW w:w="1300" w:type="dxa"/>
            <w:vAlign w:val="bottom"/>
            <w:gridSpan w:val="2"/>
            <w:shd w:val="clear" w:color="auto" w:fill="CFF0FC"/>
          </w:tcPr>
          <w:p>
            <w:pPr>
              <w:jc w:val="right"/>
              <w:ind w:right="848"/>
              <w:spacing w:after="0"/>
              <w:rPr>
                <w:sz w:val="20"/>
                <w:szCs w:val="20"/>
                <w:color w:val="auto"/>
              </w:rPr>
            </w:pPr>
            <w:r>
              <w:rPr>
                <w:rFonts w:ascii="Arial" w:cs="Arial" w:eastAsia="Arial" w:hAnsi="Arial"/>
                <w:sz w:val="17"/>
                <w:szCs w:val="17"/>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2,307</w:t>
            </w:r>
          </w:p>
        </w:tc>
        <w:tc>
          <w:tcPr>
            <w:tcW w:w="100" w:type="dxa"/>
            <w:vAlign w:val="bottom"/>
            <w:shd w:val="clear" w:color="auto" w:fill="CFF0FC"/>
          </w:tcPr>
          <w:p>
            <w:pPr>
              <w:spacing w:after="0"/>
              <w:rPr>
                <w:sz w:val="21"/>
                <w:szCs w:val="21"/>
                <w:color w:val="auto"/>
              </w:rPr>
            </w:pPr>
          </w:p>
        </w:tc>
      </w:tr>
      <w:tr>
        <w:trPr>
          <w:trHeight w:val="75"/>
        </w:trPr>
        <w:tc>
          <w:tcPr>
            <w:tcW w:w="7720" w:type="dxa"/>
            <w:vAlign w:val="bottom"/>
            <w:tcBorders>
              <w:top w:val="single" w:sz="8" w:color="CFF0FC"/>
              <w:bottom w:val="single" w:sz="8" w:color="auto"/>
            </w:tcBorders>
          </w:tcPr>
          <w:p>
            <w:pPr>
              <w:spacing w:after="0"/>
              <w:rPr>
                <w:sz w:val="6"/>
                <w:szCs w:val="6"/>
                <w:color w:val="auto"/>
              </w:rPr>
            </w:pPr>
          </w:p>
        </w:tc>
        <w:tc>
          <w:tcPr>
            <w:tcW w:w="1040" w:type="dxa"/>
            <w:vAlign w:val="bottom"/>
            <w:tcBorders>
              <w:top w:val="single" w:sz="8" w:color="auto"/>
              <w:bottom w:val="single" w:sz="8" w:color="auto"/>
            </w:tcBorders>
          </w:tcPr>
          <w:p>
            <w:pPr>
              <w:spacing w:after="0"/>
              <w:rPr>
                <w:sz w:val="6"/>
                <w:szCs w:val="6"/>
                <w:color w:val="auto"/>
              </w:rPr>
            </w:pPr>
          </w:p>
        </w:tc>
        <w:tc>
          <w:tcPr>
            <w:tcW w:w="54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CFF0FC"/>
              <w:bottom w:val="single" w:sz="8" w:color="auto"/>
            </w:tcBorders>
          </w:tcPr>
          <w:p>
            <w:pPr>
              <w:spacing w:after="0"/>
              <w:rPr>
                <w:sz w:val="6"/>
                <w:szCs w:val="6"/>
                <w:color w:val="auto"/>
              </w:rPr>
            </w:pPr>
          </w:p>
        </w:tc>
        <w:tc>
          <w:tcPr>
            <w:tcW w:w="1020" w:type="dxa"/>
            <w:vAlign w:val="bottom"/>
            <w:tcBorders>
              <w:top w:val="single" w:sz="8" w:color="auto"/>
              <w:bottom w:val="single" w:sz="8" w:color="auto"/>
            </w:tcBorders>
          </w:tcPr>
          <w:p>
            <w:pPr>
              <w:spacing w:after="0"/>
              <w:rPr>
                <w:sz w:val="6"/>
                <w:szCs w:val="6"/>
                <w:color w:val="auto"/>
              </w:rPr>
            </w:pPr>
          </w:p>
        </w:tc>
        <w:tc>
          <w:tcPr>
            <w:tcW w:w="54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CFF0FC"/>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-93345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-76835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-76835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As of December 31, 2023 and 2022, total unrecognized compensation cost related to the unvested stock-based awards was $6.1 million and $7.6 million, respectively. As of December 31, 2023 and 2022, these amounts are expected to be recognized over a weighted average period of 2.40 and 2.42 years,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w:t>
      </w:r>
    </w:p>
    <w:p>
      <w:pPr>
        <w:spacing w:after="0" w:line="142"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color w:val="auto"/>
        </w:rPr>
        <w:t>Due to the Company's net losses for 2023 and 2022, as well as the full valuation allowance on its net deferred tax assets as discussed below, the Company did not record any income tax expense or benefit for the years ended December 31, 2023 and 2022 .</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Company's statutory income tax rate to the Company’s effective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vMerge w:val="restart"/>
          </w:tcPr>
          <w:p>
            <w:pPr>
              <w:ind w:left="20"/>
              <w:spacing w:after="0"/>
              <w:rPr>
                <w:sz w:val="20"/>
                <w:szCs w:val="20"/>
                <w:color w:val="auto"/>
              </w:rPr>
            </w:pPr>
            <w:r>
              <w:rPr>
                <w:rFonts w:ascii="Arial" w:cs="Arial" w:eastAsia="Arial" w:hAnsi="Arial"/>
                <w:sz w:val="17"/>
                <w:szCs w:val="17"/>
                <w:color w:val="auto"/>
              </w:rPr>
              <w:t>Income at US statutory rate</w:t>
            </w:r>
          </w:p>
        </w:tc>
        <w:tc>
          <w:tcPr>
            <w:tcW w:w="16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vMerge w:val="continue"/>
          </w:tcPr>
          <w:p>
            <w:pPr>
              <w:spacing w:after="0"/>
              <w:rPr>
                <w:sz w:val="18"/>
                <w:szCs w:val="18"/>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7"/>
                <w:szCs w:val="17"/>
                <w:color w:val="auto"/>
              </w:rPr>
              <w:t>21.0 %</w:t>
            </w:r>
          </w:p>
        </w:tc>
        <w:tc>
          <w:tcPr>
            <w:tcW w:w="1800" w:type="dxa"/>
            <w:vAlign w:val="bottom"/>
            <w:gridSpan w:val="3"/>
          </w:tcPr>
          <w:p>
            <w:pPr>
              <w:jc w:val="right"/>
              <w:ind w:right="40"/>
              <w:spacing w:after="0"/>
              <w:rPr>
                <w:sz w:val="20"/>
                <w:szCs w:val="20"/>
                <w:color w:val="auto"/>
              </w:rPr>
            </w:pPr>
            <w:r>
              <w:rPr>
                <w:rFonts w:ascii="Arial" w:cs="Arial" w:eastAsia="Arial" w:hAnsi="Arial"/>
                <w:sz w:val="17"/>
                <w:szCs w:val="17"/>
                <w:color w:val="auto"/>
              </w:rPr>
              <w:t>21.0 %</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Permanent adjustments</w:t>
            </w:r>
          </w:p>
        </w:tc>
        <w:tc>
          <w:tcPr>
            <w:tcW w:w="1860" w:type="dxa"/>
            <w:vAlign w:val="bottom"/>
            <w:gridSpan w:val="2"/>
          </w:tcPr>
          <w:p>
            <w:pPr>
              <w:jc w:val="right"/>
              <w:ind w:right="20"/>
              <w:spacing w:after="0"/>
              <w:rPr>
                <w:sz w:val="20"/>
                <w:szCs w:val="20"/>
                <w:color w:val="auto"/>
              </w:rPr>
            </w:pPr>
            <w:r>
              <w:rPr>
                <w:rFonts w:ascii="Arial" w:cs="Arial" w:eastAsia="Arial" w:hAnsi="Arial"/>
                <w:sz w:val="17"/>
                <w:szCs w:val="17"/>
                <w:color w:val="auto"/>
              </w:rPr>
              <w:t>(1.3 )%</w:t>
            </w:r>
          </w:p>
        </w:tc>
        <w:tc>
          <w:tcPr>
            <w:tcW w:w="1800" w:type="dxa"/>
            <w:vAlign w:val="bottom"/>
            <w:gridSpan w:val="3"/>
          </w:tcPr>
          <w:p>
            <w:pPr>
              <w:jc w:val="right"/>
              <w:spacing w:after="0"/>
              <w:rPr>
                <w:sz w:val="20"/>
                <w:szCs w:val="20"/>
                <w:color w:val="auto"/>
              </w:rPr>
            </w:pPr>
            <w:r>
              <w:rPr>
                <w:rFonts w:ascii="Arial" w:cs="Arial" w:eastAsia="Arial" w:hAnsi="Arial"/>
                <w:sz w:val="17"/>
                <w:szCs w:val="17"/>
                <w:color w:val="auto"/>
              </w:rPr>
              <w:t>(2.8 )%</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Mark to market</w:t>
            </w:r>
          </w:p>
        </w:tc>
        <w:tc>
          <w:tcPr>
            <w:tcW w:w="1860" w:type="dxa"/>
            <w:vAlign w:val="bottom"/>
            <w:gridSpan w:val="2"/>
          </w:tcPr>
          <w:p>
            <w:pPr>
              <w:jc w:val="right"/>
              <w:ind w:right="80"/>
              <w:spacing w:after="0"/>
              <w:rPr>
                <w:sz w:val="20"/>
                <w:szCs w:val="20"/>
                <w:color w:val="auto"/>
              </w:rPr>
            </w:pPr>
            <w:r>
              <w:rPr>
                <w:rFonts w:ascii="Arial" w:cs="Arial" w:eastAsia="Arial" w:hAnsi="Arial"/>
                <w:sz w:val="17"/>
                <w:szCs w:val="17"/>
                <w:color w:val="auto"/>
              </w:rPr>
              <w:t>0.5 %</w:t>
            </w:r>
          </w:p>
        </w:tc>
        <w:tc>
          <w:tcPr>
            <w:tcW w:w="1800" w:type="dxa"/>
            <w:vAlign w:val="bottom"/>
            <w:gridSpan w:val="3"/>
          </w:tcPr>
          <w:p>
            <w:pPr>
              <w:jc w:val="right"/>
              <w:ind w:right="40"/>
              <w:spacing w:after="0"/>
              <w:rPr>
                <w:sz w:val="20"/>
                <w:szCs w:val="20"/>
                <w:color w:val="auto"/>
              </w:rPr>
            </w:pPr>
            <w:r>
              <w:rPr>
                <w:rFonts w:ascii="Arial" w:cs="Arial" w:eastAsia="Arial" w:hAnsi="Arial"/>
                <w:sz w:val="17"/>
                <w:szCs w:val="17"/>
                <w:color w:val="auto"/>
              </w:rPr>
              <w:t>18.3 %</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State taxes, net of federal benefit</w:t>
            </w:r>
          </w:p>
        </w:tc>
        <w:tc>
          <w:tcPr>
            <w:tcW w:w="1860" w:type="dxa"/>
            <w:vAlign w:val="bottom"/>
            <w:gridSpan w:val="2"/>
          </w:tcPr>
          <w:p>
            <w:pPr>
              <w:jc w:val="right"/>
              <w:ind w:right="80"/>
              <w:spacing w:after="0"/>
              <w:rPr>
                <w:sz w:val="20"/>
                <w:szCs w:val="20"/>
                <w:color w:val="auto"/>
              </w:rPr>
            </w:pPr>
            <w:r>
              <w:rPr>
                <w:rFonts w:ascii="Arial" w:cs="Arial" w:eastAsia="Arial" w:hAnsi="Arial"/>
                <w:sz w:val="17"/>
                <w:szCs w:val="17"/>
                <w:color w:val="auto"/>
              </w:rPr>
              <w:t>6.9 %</w:t>
            </w:r>
          </w:p>
        </w:tc>
        <w:tc>
          <w:tcPr>
            <w:tcW w:w="1800" w:type="dxa"/>
            <w:vAlign w:val="bottom"/>
            <w:gridSpan w:val="3"/>
          </w:tcPr>
          <w:p>
            <w:pPr>
              <w:jc w:val="right"/>
              <w:ind w:right="40"/>
              <w:spacing w:after="0"/>
              <w:rPr>
                <w:sz w:val="20"/>
                <w:szCs w:val="20"/>
                <w:color w:val="auto"/>
              </w:rPr>
            </w:pPr>
            <w:r>
              <w:rPr>
                <w:rFonts w:ascii="Arial" w:cs="Arial" w:eastAsia="Arial" w:hAnsi="Arial"/>
                <w:sz w:val="17"/>
                <w:szCs w:val="17"/>
                <w:color w:val="auto"/>
              </w:rPr>
              <w:t>12.8 %</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Valuation allowance</w:t>
            </w:r>
          </w:p>
        </w:tc>
        <w:tc>
          <w:tcPr>
            <w:tcW w:w="1860" w:type="dxa"/>
            <w:vAlign w:val="bottom"/>
            <w:gridSpan w:val="2"/>
          </w:tcPr>
          <w:p>
            <w:pPr>
              <w:jc w:val="right"/>
              <w:ind w:right="20"/>
              <w:spacing w:after="0"/>
              <w:rPr>
                <w:sz w:val="20"/>
                <w:szCs w:val="20"/>
                <w:color w:val="auto"/>
              </w:rPr>
            </w:pPr>
            <w:r>
              <w:rPr>
                <w:rFonts w:ascii="Arial" w:cs="Arial" w:eastAsia="Arial" w:hAnsi="Arial"/>
                <w:sz w:val="17"/>
                <w:szCs w:val="17"/>
                <w:color w:val="auto"/>
              </w:rPr>
              <w:t>(30.0 )%</w:t>
            </w:r>
          </w:p>
        </w:tc>
        <w:tc>
          <w:tcPr>
            <w:tcW w:w="1800" w:type="dxa"/>
            <w:vAlign w:val="bottom"/>
            <w:gridSpan w:val="3"/>
          </w:tcPr>
          <w:p>
            <w:pPr>
              <w:jc w:val="right"/>
              <w:spacing w:after="0"/>
              <w:rPr>
                <w:sz w:val="20"/>
                <w:szCs w:val="20"/>
                <w:color w:val="auto"/>
              </w:rPr>
            </w:pPr>
            <w:r>
              <w:rPr>
                <w:rFonts w:ascii="Arial" w:cs="Arial" w:eastAsia="Arial" w:hAnsi="Arial"/>
                <w:sz w:val="17"/>
                <w:szCs w:val="17"/>
                <w:color w:val="auto"/>
              </w:rPr>
              <w:t>(56.9 )%</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Tax credits</w:t>
            </w:r>
          </w:p>
        </w:tc>
        <w:tc>
          <w:tcPr>
            <w:tcW w:w="1860" w:type="dxa"/>
            <w:vAlign w:val="bottom"/>
            <w:gridSpan w:val="2"/>
          </w:tcPr>
          <w:p>
            <w:pPr>
              <w:jc w:val="right"/>
              <w:ind w:right="80"/>
              <w:spacing w:after="0"/>
              <w:rPr>
                <w:sz w:val="20"/>
                <w:szCs w:val="20"/>
                <w:color w:val="auto"/>
              </w:rPr>
            </w:pPr>
            <w:r>
              <w:rPr>
                <w:rFonts w:ascii="Arial" w:cs="Arial" w:eastAsia="Arial" w:hAnsi="Arial"/>
                <w:sz w:val="17"/>
                <w:szCs w:val="17"/>
                <w:color w:val="auto"/>
              </w:rPr>
              <w:t>2.9 %</w:t>
            </w:r>
          </w:p>
        </w:tc>
        <w:tc>
          <w:tcPr>
            <w:tcW w:w="1800" w:type="dxa"/>
            <w:vAlign w:val="bottom"/>
            <w:gridSpan w:val="3"/>
          </w:tcPr>
          <w:p>
            <w:pPr>
              <w:jc w:val="right"/>
              <w:ind w:right="40"/>
              <w:spacing w:after="0"/>
              <w:rPr>
                <w:sz w:val="20"/>
                <w:szCs w:val="20"/>
                <w:color w:val="auto"/>
              </w:rPr>
            </w:pPr>
            <w:r>
              <w:rPr>
                <w:rFonts w:ascii="Arial" w:cs="Arial" w:eastAsia="Arial" w:hAnsi="Arial"/>
                <w:sz w:val="17"/>
                <w:szCs w:val="17"/>
                <w:color w:val="auto"/>
              </w:rPr>
              <w:t>7.6 %</w:t>
            </w: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768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-1062355</wp:posOffset>
            </wp:positionV>
            <wp:extent cx="713232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13232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-76835</wp:posOffset>
            </wp:positionV>
            <wp:extent cx="768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-76835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On October 4, 2023, the Governor of Massachusetts signed into law a bill that included the adoption of a single sales apportionment factor effective on January 1, 2025. As required under ASC 740, the Company has accounted for the deferred tax impacts of this tax law change in the period the tax law was enacted, which has the impact of reducing its state deferred tax assets. The impact of the tax law change is offset by a change in valuation allowance.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Net deferred tax assets as of December 31, 2023 and 2022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16" w:right="239" w:bottom="1440" w:gutter="0" w:footer="0" w:header="0"/>
        </w:sectPr>
      </w:pPr>
    </w:p>
    <w:bookmarkStart w:id="140" w:name="page141"/>
    <w:bookmarkEnd w:id="140"/>
    <w:p>
      <w:pPr>
        <w:jc w:val="center"/>
        <w:ind w:left="760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20" w:type="dxa"/>
            <w:vAlign w:val="bottom"/>
            <w:vMerge w:val="restart"/>
          </w:tcPr>
          <w:p>
            <w:pPr>
              <w:ind w:left="20"/>
              <w:spacing w:after="0"/>
              <w:rPr>
                <w:sz w:val="20"/>
                <w:szCs w:val="20"/>
                <w:color w:val="auto"/>
              </w:rPr>
            </w:pPr>
            <w:r>
              <w:rPr>
                <w:rFonts w:ascii="Arial" w:cs="Arial" w:eastAsia="Arial" w:hAnsi="Arial"/>
                <w:sz w:val="17"/>
                <w:szCs w:val="17"/>
                <w:color w:val="auto"/>
              </w:rPr>
              <w:t>Deferred tax assets: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Net operating losses</w:t>
            </w:r>
          </w:p>
        </w:tc>
        <w:tc>
          <w:tcPr>
            <w:tcW w:w="960" w:type="dxa"/>
            <w:vAlign w:val="bottom"/>
            <w:shd w:val="clear" w:color="auto" w:fill="CFF0FC"/>
          </w:tcPr>
          <w:p>
            <w:pPr>
              <w:jc w:val="right"/>
              <w:ind w:right="759"/>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23,136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Arial" w:cs="Arial" w:eastAsia="Arial" w:hAnsi="Arial"/>
                <w:sz w:val="17"/>
                <w:szCs w:val="17"/>
                <w:color w:val="auto"/>
              </w:rPr>
              <w:t>Intangibles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506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Accrued expenses and other</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Arial" w:cs="Arial" w:eastAsia="Arial" w:hAnsi="Arial"/>
                <w:sz w:val="17"/>
                <w:szCs w:val="17"/>
                <w:color w:val="auto"/>
              </w:rPr>
              <w:t>Deferred revenue</w:t>
            </w:r>
          </w:p>
        </w:tc>
        <w:tc>
          <w:tcPr>
            <w:tcW w:w="9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Lease liability</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Arial" w:cs="Arial" w:eastAsia="Arial" w:hAnsi="Arial"/>
                <w:sz w:val="17"/>
                <w:szCs w:val="17"/>
                <w:color w:val="auto"/>
              </w:rPr>
              <w:t>Stock compensation</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1,168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Capitalized R&amp;D expenditures</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9,200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Arial" w:cs="Arial" w:eastAsia="Arial" w:hAnsi="Arial"/>
                <w:sz w:val="17"/>
                <w:szCs w:val="17"/>
                <w:color w:val="auto"/>
              </w:rPr>
              <w:t>Credits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6,199</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80"/>
              <w:spacing w:after="0"/>
              <w:rPr>
                <w:sz w:val="20"/>
                <w:szCs w:val="20"/>
                <w:color w:val="auto"/>
              </w:rPr>
            </w:pPr>
            <w:r>
              <w:rPr>
                <w:rFonts w:ascii="Arial" w:cs="Arial" w:eastAsia="Arial" w:hAnsi="Arial"/>
                <w:sz w:val="17"/>
                <w:szCs w:val="17"/>
                <w:color w:val="auto"/>
              </w:rPr>
              <w:t>Total deferred tax assets</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41,049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7"/>
                <w:szCs w:val="17"/>
                <w:color w:val="auto"/>
              </w:rPr>
              <w:t>Valuation allowance</w:t>
            </w:r>
          </w:p>
        </w:tc>
        <w:tc>
          <w:tcPr>
            <w:tcW w:w="9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w w:val="96"/>
              </w:rPr>
              <w:t>(40,548 )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(29,166 )</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7"/>
                <w:szCs w:val="17"/>
                <w:color w:val="auto"/>
              </w:rPr>
              <w:t>Net deferred tax assets</w:t>
            </w: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501</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Right of use asset</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(223 )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(284 )</w:t>
            </w: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Arial" w:cs="Arial" w:eastAsia="Arial" w:hAnsi="Arial"/>
                <w:sz w:val="17"/>
                <w:szCs w:val="17"/>
                <w:color w:val="auto"/>
              </w:rPr>
              <w:t>Other</w:t>
            </w:r>
          </w:p>
        </w:tc>
        <w:tc>
          <w:tcPr>
            <w:tcW w:w="9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(278 )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(544 )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80"/>
              <w:spacing w:after="0"/>
              <w:rPr>
                <w:sz w:val="20"/>
                <w:szCs w:val="20"/>
                <w:color w:val="auto"/>
              </w:rPr>
            </w:pPr>
            <w:r>
              <w:rPr>
                <w:rFonts w:ascii="Arial" w:cs="Arial" w:eastAsia="Arial" w:hAnsi="Arial"/>
                <w:sz w:val="17"/>
                <w:szCs w:val="17"/>
                <w:color w:val="auto"/>
              </w:rPr>
              <w:t>Total deferred tax liabilities</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(501 )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(828 )</w:t>
            </w:r>
          </w:p>
        </w:tc>
        <w:tc>
          <w:tcPr>
            <w:tcW w:w="0" w:type="dxa"/>
            <w:vAlign w:val="bottom"/>
          </w:tcPr>
          <w:p>
            <w:pPr>
              <w:spacing w:after="0"/>
              <w:rPr>
                <w:sz w:val="1"/>
                <w:szCs w:val="1"/>
                <w:color w:val="auto"/>
              </w:rPr>
            </w:pPr>
          </w:p>
        </w:tc>
      </w:tr>
      <w:tr>
        <w:trPr>
          <w:trHeight w:val="209"/>
        </w:trPr>
        <w:tc>
          <w:tcPr>
            <w:tcW w:w="7720" w:type="dxa"/>
            <w:vAlign w:val="bottom"/>
            <w:tcBorders>
              <w:top w:val="single" w:sz="8" w:color="CFF0FC"/>
            </w:tcBorders>
          </w:tcPr>
          <w:p>
            <w:pPr>
              <w:ind w:left="280"/>
              <w:spacing w:after="0"/>
              <w:rPr>
                <w:sz w:val="20"/>
                <w:szCs w:val="20"/>
                <w:color w:val="auto"/>
              </w:rPr>
            </w:pPr>
            <w:r>
              <w:rPr>
                <w:rFonts w:ascii="Arial" w:cs="Arial" w:eastAsia="Arial" w:hAnsi="Arial"/>
                <w:sz w:val="17"/>
                <w:szCs w:val="17"/>
                <w:color w:val="auto"/>
              </w:rPr>
              <w:t>Net deferred tax assets (liabilities)</w:t>
            </w: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7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-805180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-239395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right="480"/>
        <w:spacing w:after="0" w:line="249" w:lineRule="auto"/>
        <w:rPr>
          <w:sz w:val="20"/>
          <w:szCs w:val="20"/>
          <w:color w:val="auto"/>
        </w:rPr>
      </w:pPr>
      <w:r>
        <w:rPr>
          <w:rFonts w:ascii="Arial" w:cs="Arial" w:eastAsia="Arial" w:hAnsi="Arial"/>
          <w:sz w:val="17"/>
          <w:szCs w:val="17"/>
          <w:color w:val="auto"/>
        </w:rPr>
        <w:t>As of December 31, 2023, the Company has gross federal and state net operating loss carryforwards of approximately $86.2 million and $79.6 million which begin to expire in 2027 and 2032, respectively. Additionally, the Company has $77.4 million of the federal net operating loss carryforwards that can be carried forward indefinitely.</w:t>
      </w:r>
    </w:p>
    <w:p>
      <w:pPr>
        <w:spacing w:after="0" w:line="107" w:lineRule="exact"/>
        <w:rPr>
          <w:sz w:val="20"/>
          <w:szCs w:val="20"/>
          <w:color w:val="auto"/>
        </w:rPr>
      </w:pPr>
    </w:p>
    <w:p>
      <w:pPr>
        <w:ind w:right="740"/>
        <w:spacing w:after="0" w:line="267" w:lineRule="auto"/>
        <w:rPr>
          <w:sz w:val="20"/>
          <w:szCs w:val="20"/>
          <w:color w:val="auto"/>
        </w:rPr>
      </w:pPr>
      <w:r>
        <w:rPr>
          <w:rFonts w:ascii="Arial" w:cs="Arial" w:eastAsia="Arial" w:hAnsi="Arial"/>
          <w:sz w:val="17"/>
          <w:szCs w:val="17"/>
          <w:color w:val="auto"/>
        </w:rPr>
        <w:t>As of December 31, 2023, the Company has gross federal and state tax credit carryforwards of approximately $4.5 million and $2.2 million, respectively, which begin to expire in 2036 and 2030, respectively.</w:t>
      </w:r>
    </w:p>
    <w:p>
      <w:pPr>
        <w:spacing w:after="0" w:line="78" w:lineRule="exact"/>
        <w:rPr>
          <w:sz w:val="20"/>
          <w:szCs w:val="20"/>
          <w:color w:val="auto"/>
        </w:rPr>
      </w:pPr>
    </w:p>
    <w:p>
      <w:pPr>
        <w:jc w:val="both"/>
        <w:ind w:right="160"/>
        <w:spacing w:after="0" w:line="241" w:lineRule="auto"/>
        <w:rPr>
          <w:sz w:val="20"/>
          <w:szCs w:val="20"/>
          <w:color w:val="auto"/>
        </w:rPr>
      </w:pPr>
      <w:r>
        <w:rPr>
          <w:rFonts w:ascii="Arial" w:cs="Arial" w:eastAsia="Arial" w:hAnsi="Arial"/>
          <w:sz w:val="17"/>
          <w:szCs w:val="17"/>
          <w:color w:val="auto"/>
        </w:rPr>
        <w:t>Management of the Company has evaluated the positive and negative evidence bearing upon the realizability of its deferred tax assets, which are comprised principally of net operating loss carryforwards and certain tax credits. Management has considered the Company’s history of cumulative net losses incurred since inception, as well as its lack of product revenue since inception, and has determined that it is more likely than not that the Company will not realize the benefits of its deferred tax assets. As a result, a full valuation allowance has been established at December 31, 2023 and 2022.</w:t>
      </w:r>
    </w:p>
    <w:p>
      <w:pPr>
        <w:spacing w:after="0" w:line="112"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Section 382 of the Internal Revenue Code of 1986, as amended (Section 382), contains rules that limit the ability of a company that undergoes in ownership change to utilize its net operating losses (NOLs) and tax credits existing as of the date of such ownership change. Under the rules, such an ownership change is generally any change in ownership of more than 50% of a company’s stock within a rolling three-year period. The rules generally operate by focusing on changes in ownership of all stock considered by the rules as owning, directly or indirectly, 5% or more of the stock of a company and any change in ownership arising from new issuances of stock by the company. The Company has not yet determined if such a limitation would be placed against its available net operating losses. The Company will make such a determination prior to the utilization of any future net operating losses.</w:t>
      </w:r>
    </w:p>
    <w:p>
      <w:pPr>
        <w:spacing w:after="0" w:line="115" w:lineRule="exact"/>
        <w:rPr>
          <w:sz w:val="20"/>
          <w:szCs w:val="20"/>
          <w:color w:val="auto"/>
        </w:rPr>
      </w:pPr>
    </w:p>
    <w:p>
      <w:pPr>
        <w:jc w:val="both"/>
        <w:ind w:right="180"/>
        <w:spacing w:after="0" w:line="267" w:lineRule="auto"/>
        <w:rPr>
          <w:sz w:val="20"/>
          <w:szCs w:val="20"/>
          <w:color w:val="auto"/>
        </w:rPr>
      </w:pPr>
      <w:r>
        <w:rPr>
          <w:rFonts w:ascii="Arial" w:cs="Arial" w:eastAsia="Arial" w:hAnsi="Arial"/>
          <w:sz w:val="17"/>
          <w:szCs w:val="17"/>
          <w:color w:val="auto"/>
        </w:rPr>
        <w:t>A summary of changes in the valuation allowance for deferred tax assets during the years ended December 31, 2023 and 2022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6"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2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color w:val="auto"/>
              </w:rPr>
              <w:t>Valuation allowance</w:t>
            </w:r>
          </w:p>
        </w:tc>
        <w:tc>
          <w:tcPr>
            <w:tcW w:w="1000" w:type="dxa"/>
            <w:vAlign w:val="bottom"/>
            <w:shd w:val="clear" w:color="auto" w:fill="CFF0FC"/>
          </w:tcPr>
          <w:p>
            <w:pPr>
              <w:jc w:val="right"/>
              <w:ind w:right="799"/>
              <w:spacing w:after="0"/>
              <w:rPr>
                <w:sz w:val="20"/>
                <w:szCs w:val="20"/>
                <w:color w:val="auto"/>
              </w:rPr>
            </w:pPr>
            <w:r>
              <w:rPr>
                <w:rFonts w:ascii="Arial" w:cs="Arial" w:eastAsia="Arial" w:hAnsi="Arial"/>
                <w:sz w:val="17"/>
                <w:szCs w:val="17"/>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29,166</w:t>
            </w: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18,493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80"/>
              <w:spacing w:after="0"/>
              <w:rPr>
                <w:sz w:val="20"/>
                <w:szCs w:val="20"/>
                <w:color w:val="auto"/>
              </w:rPr>
            </w:pPr>
            <w:r>
              <w:rPr>
                <w:rFonts w:ascii="Arial" w:cs="Arial" w:eastAsia="Arial" w:hAnsi="Arial"/>
                <w:sz w:val="17"/>
                <w:szCs w:val="17"/>
                <w:color w:val="auto"/>
              </w:rPr>
              <w:t>Increases recorded to income tax provision</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11,382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10,673</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7"/>
                <w:szCs w:val="17"/>
                <w:color w:val="auto"/>
              </w:rPr>
              <w:t>Decreases recorded to income tax provision</w:t>
            </w: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7"/>
                <w:szCs w:val="17"/>
                <w:color w:val="auto"/>
              </w:rPr>
              <w:t>Valuation allowance</w:t>
            </w:r>
          </w:p>
        </w:tc>
        <w:tc>
          <w:tcPr>
            <w:tcW w:w="1000" w:type="dxa"/>
            <w:vAlign w:val="bottom"/>
          </w:tcPr>
          <w:p>
            <w:pPr>
              <w:jc w:val="right"/>
              <w:ind w:right="799"/>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40,548</w:t>
            </w: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29,166</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77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-239395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jc w:val="both"/>
        <w:ind w:right="200"/>
        <w:spacing w:after="0" w:line="249" w:lineRule="auto"/>
        <w:rPr>
          <w:sz w:val="20"/>
          <w:szCs w:val="20"/>
          <w:color w:val="auto"/>
        </w:rPr>
      </w:pPr>
      <w:r>
        <w:rPr>
          <w:rFonts w:ascii="Arial" w:cs="Arial" w:eastAsia="Arial" w:hAnsi="Arial"/>
          <w:sz w:val="17"/>
          <w:szCs w:val="17"/>
          <w:color w:val="auto"/>
        </w:rPr>
        <w:t>The Company files income tax returns in the United States and various state and local jurisdictions. The federal and state tax returns are generally subject to examination for the years ended December 31, 2014 through December 31, 2023. There are currently no pending tax examinations. To the extent the Company has tax attribute carryforwards, the tax year in which the attribute was generated may still be adjusted upon examination.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Exclusive Licensing Agreement with a Related Party</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41" w:name="page142"/>
    <w:bookmarkEnd w:id="141"/>
    <w:p>
      <w:pPr>
        <w:ind w:right="80"/>
        <w:spacing w:after="0" w:line="236" w:lineRule="auto"/>
        <w:rPr>
          <w:sz w:val="20"/>
          <w:szCs w:val="20"/>
          <w:color w:val="auto"/>
        </w:rPr>
      </w:pPr>
      <w:r>
        <w:rPr>
          <w:rFonts w:ascii="Arial" w:cs="Arial" w:eastAsia="Arial" w:hAnsi="Arial"/>
          <w:sz w:val="17"/>
          <w:szCs w:val="17"/>
          <w:color w:val="auto"/>
        </w:rPr>
        <w:t>In March 2014, the Company entered into an exclusive licensing agreement with Ventagen, LLC (Ventagen) which provides Ventagen the right to develop products for commercial sale and distribution within Mexico, Belize, Guatemala, Honduras, El Salvador, Costa Rica, Nicaragua, Panama, Colombia, and Bolivia (the Territory). Ventagen paid the Company $1.0 million upon the signing of the agreement and agreed to a fixed future payment to the Company of $2.5 million. The future payment will be made upon the achievement of $5.0 million of sales of an approved product by Ventagen and is subject to reduction if Ventagen’s costs to develop an approved product exceeds $4.0 million. In addition to the upfront payment and the future payment, Ventagen agreed to purchase from the Company all manufactured product that is required for clinical or commercial purposes at a price of cost plus 25% of the wholesale price of the approved product, subject to a minimum or maximum price. In the event the Company is unable or unwilling to manufacture supply under the terms of the agreement, Ventagen has the right to manufacture its own supply and will be required to pay a fixed fee per dose sold. The Company also agreed to provide certain services to Ventagen related to Ventagen’s development plan. Stockholders of the Company own 49.5% of the voting stock of Ventagen, including 47% by the Company’s founders who are currently significant stockholders of the Company, and trusts for the benefit of their children.</w:t>
      </w:r>
    </w:p>
    <w:p>
      <w:pPr>
        <w:spacing w:after="0" w:line="100"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The Company had completely recognized the $1.0 million upfront license fee as research and development service revenue as of December 31, 2022.</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Technology License Agreement</w:t>
      </w:r>
    </w:p>
    <w:p>
      <w:pPr>
        <w:spacing w:after="0" w:line="14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On January 20, 2018 the Company entered into an exclusive option agreement (Option Agreement) with MGB. Pursuant to the Option Agreement, the Company has obtained the exclusive right from MGB to negotiate an exclusive license to make, develop and commercialize rQNestin, a genetically modified oncolytic herpes simplex virus for the treatment of certain types of cancers. Pursuant to the Option Agreement, the Company will support a clinical trial to be conducted at MGB pursuant to the terms of a clinical trial agreement to be negotiated and the Company has committed to remitting $0.8 million in support of such clinical trial over the course of approximately three years. Upon execution of the Option Agreement, the Company remitted a non-refundable fee of $40,000 to MGB to be applied toward the Company’s on-going obligations to reimburse patent expenses. During the years ended December 31, 2023 and 2022, the Company did not expense any startup and patient fees for clinical trials performed by MGB.</w:t>
      </w:r>
    </w:p>
    <w:p>
      <w:pPr>
        <w:spacing w:after="0" w:line="10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 September 15, 2020, the Company exercised the Option Agreement with MGB and entered into an exclusive worldwide patent license agreement with MGB (the MGB License). In connection with the MGB License, the Company paid a fee of $0.1 million and agreed to reimburse patent costs incurred by MGB, including $0.1 million paid at the time of entering into the MGB License. Prior to the first commercial sale, the Company is required to pay MGB an annual license fee of $50,000 beginning following the fourth anniversary of the effective date. The MGB License contains cumulative milestone payments equaling a maximum amount of $39.0 million upon the achievement of various clinical, commercial and sales milestones of both primary and secondary products. Following the first commercial sale, the Company is required to pay royalties to MGB, which are paid at an increasing rate as net sales increase, ranging from low single digits to high single digits. In addition, after the first commercial sale, the Company is required to pay MGB a pre-determined fixed annual minimum royalty, which amount may be credited against earned royalties starting in the fourth year following the first commercial sale. The Company also agreed to pay a single digit royalty rate on net sales of any derived products.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Commitments and Contingencies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identified the guarantees described below as disclosable, in accordance with ASC 460, Guarantees.</w:t>
      </w:r>
    </w:p>
    <w:p>
      <w:pPr>
        <w:spacing w:after="0" w:line="14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As permitted under Delaware law, the Company indemnifies its officers and directors for certain events or occurrences while the officer or director is, or was, serving at the Company’s request in such capacity. The maximum potential amount of future payments the Company could be required to make is unlimited; however, the Company has directors’ and officers’ insurance coverage that should limit its exposure and enable it to recover a portion of any future amounts paid.</w:t>
      </w:r>
    </w:p>
    <w:p>
      <w:pPr>
        <w:spacing w:after="0" w:line="110"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The Company is a party to a number of agreements entered into in the ordinary course of business that contain typical provisions that obligate the Company to indemnify the other parties to such agreements upon the occurrence of certain events. Such indemnification obligations are usually in effect from the date of execution of the applicable agreement for a period equal to the applicable statute of limitations. The aggregate maximum potential future liability of the Company under such indemnification provisions is uncertain.</w:t>
      </w:r>
    </w:p>
    <w:p>
      <w:pPr>
        <w:spacing w:after="0" w:line="96" w:lineRule="exact"/>
        <w:rPr>
          <w:sz w:val="20"/>
          <w:szCs w:val="20"/>
          <w:color w:val="auto"/>
        </w:rPr>
      </w:pPr>
    </w:p>
    <w:p>
      <w:pPr>
        <w:ind w:right="980"/>
        <w:spacing w:after="0" w:line="267" w:lineRule="auto"/>
        <w:rPr>
          <w:sz w:val="20"/>
          <w:szCs w:val="20"/>
          <w:color w:val="auto"/>
        </w:rPr>
      </w:pPr>
      <w:r>
        <w:rPr>
          <w:rFonts w:ascii="Arial" w:cs="Arial" w:eastAsia="Arial" w:hAnsi="Arial"/>
          <w:sz w:val="17"/>
          <w:szCs w:val="17"/>
          <w:color w:val="auto"/>
        </w:rPr>
        <w:t>The Company leases office space under a noncancelable operating lease expiring in 2026. The Company has standard indemnification arrangements under this lease that require it to indemnify the landlord against all costs, expenses, fines,</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bookmarkStart w:id="142" w:name="page143"/>
    <w:bookmarkEnd w:id="142"/>
    <w:p>
      <w:pPr>
        <w:ind w:right="320"/>
        <w:spacing w:after="0" w:line="267" w:lineRule="auto"/>
        <w:rPr>
          <w:sz w:val="20"/>
          <w:szCs w:val="20"/>
          <w:color w:val="auto"/>
        </w:rPr>
      </w:pPr>
      <w:r>
        <w:rPr>
          <w:rFonts w:ascii="Arial" w:cs="Arial" w:eastAsia="Arial" w:hAnsi="Arial"/>
          <w:sz w:val="17"/>
          <w:szCs w:val="17"/>
          <w:color w:val="auto"/>
        </w:rPr>
        <w:t>suits, claims, demands, liabilities, and actions directly resulting from any breach, violation, or nonperformance of any covenant or condition of the lease.</w:t>
      </w:r>
    </w:p>
    <w:p>
      <w:pPr>
        <w:spacing w:after="0" w:line="78" w:lineRule="exact"/>
        <w:rPr>
          <w:sz w:val="20"/>
          <w:szCs w:val="20"/>
          <w:color w:val="auto"/>
        </w:rPr>
      </w:pPr>
    </w:p>
    <w:p>
      <w:pPr>
        <w:jc w:val="both"/>
        <w:ind w:right="240"/>
        <w:spacing w:after="0" w:line="249" w:lineRule="auto"/>
        <w:rPr>
          <w:sz w:val="20"/>
          <w:szCs w:val="20"/>
          <w:color w:val="auto"/>
        </w:rPr>
      </w:pPr>
      <w:r>
        <w:rPr>
          <w:rFonts w:ascii="Arial" w:cs="Arial" w:eastAsia="Arial" w:hAnsi="Arial"/>
          <w:sz w:val="17"/>
          <w:szCs w:val="17"/>
          <w:color w:val="auto"/>
        </w:rPr>
        <w:t>As of December 31, 2023, the Company had not experienced any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reserves have been established.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4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From time to time, we may become involved in litigation or other legal proceedings. On December 15, 2022, Periphagen notified us by letter of its claim that we have failed to use commercially reasonable efforts to complete a human proof of concept clinical trial of an NT-3 Asset under an Exclusive License Agreement dated December 9, 2019 between us and Periphagen (the Periphagen License Agreement). On January 13, 2023, we filed a demand for arbitration against Periphagen with the American Arbitration Association, seeking a declaration that Periphagen’s December 15 letter failed to comply with the dispute and escalation provisions in the Periphagen License Agreement. On March 10, 2023, Periphagen filed its answer and counterclaims to our demand for arbitration. In its counterclaims, Periphagen sought a declaration that we have not used commercially reasonable efforts to complete a human proof of concept clinical trial of the NT-3 Asset and a declaration that any further extension of time would not be scientifically or commercially reasonable. We denied Periphagen’s counterclaims.</w:t>
      </w:r>
    </w:p>
    <w:p>
      <w:pPr>
        <w:spacing w:after="0" w:line="10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On June 7, 2023, the parties entered into an amendment to the Exclusive License Agreement that resolved the dispute and resulted in termination of the arbitration without any financial impact.</w:t>
      </w:r>
    </w:p>
    <w:p>
      <w:pPr>
        <w:spacing w:after="0" w:line="9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Aside from the proceeding with Periphagen,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Net Loss Per Share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Basic and diluted net loss per share attributable to common stockholders was calculated as follows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72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Numerator:</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80"/>
              <w:spacing w:after="0"/>
              <w:rPr>
                <w:sz w:val="20"/>
                <w:szCs w:val="20"/>
                <w:color w:val="auto"/>
              </w:rPr>
            </w:pPr>
            <w:r>
              <w:rPr>
                <w:rFonts w:ascii="Arial" w:cs="Arial" w:eastAsia="Arial" w:hAnsi="Arial"/>
                <w:sz w:val="17"/>
                <w:szCs w:val="17"/>
                <w:color w:val="auto"/>
              </w:rPr>
              <w:t>Net loss</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(37,939 )</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(18,794 )</w:t>
            </w: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Denominator:</w:t>
            </w: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80"/>
              <w:spacing w:after="0"/>
              <w:rPr>
                <w:sz w:val="20"/>
                <w:szCs w:val="20"/>
                <w:color w:val="auto"/>
              </w:rPr>
            </w:pPr>
            <w:r>
              <w:rPr>
                <w:rFonts w:ascii="Arial" w:cs="Arial" w:eastAsia="Arial" w:hAnsi="Arial"/>
                <w:sz w:val="17"/>
                <w:szCs w:val="17"/>
                <w:color w:val="auto"/>
              </w:rPr>
              <w:t>Weighted-average shares of common stock outstanding-basic and diluted</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28,935,289</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28,823,480</w:t>
            </w:r>
          </w:p>
        </w:tc>
        <w:tc>
          <w:tcPr>
            <w:tcW w:w="100" w:type="dxa"/>
            <w:vAlign w:val="bottom"/>
          </w:tcPr>
          <w:p>
            <w:pPr>
              <w:spacing w:after="0"/>
              <w:rPr>
                <w:sz w:val="18"/>
                <w:szCs w:val="18"/>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loss per share -basic and diluted</w:t>
            </w:r>
          </w:p>
        </w:tc>
        <w:tc>
          <w:tcPr>
            <w:tcW w:w="380" w:type="dxa"/>
            <w:vAlign w:val="bottom"/>
            <w:shd w:val="clear" w:color="auto" w:fill="CFF0FC"/>
          </w:tcPr>
          <w:p>
            <w:pPr>
              <w:jc w:val="right"/>
              <w:ind w:right="175"/>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(1.31 )</w:t>
            </w:r>
          </w:p>
        </w:tc>
        <w:tc>
          <w:tcPr>
            <w:tcW w:w="360" w:type="dxa"/>
            <w:vAlign w:val="bottom"/>
            <w:shd w:val="clear" w:color="auto" w:fill="CFF0FC"/>
          </w:tcPr>
          <w:p>
            <w:pPr>
              <w:jc w:val="right"/>
              <w:ind w:right="175"/>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(0.65 )</w:t>
            </w:r>
          </w:p>
        </w:tc>
      </w:tr>
      <w:tr>
        <w:trPr>
          <w:trHeight w:val="196"/>
        </w:trPr>
        <w:tc>
          <w:tcPr>
            <w:tcW w:w="7720" w:type="dxa"/>
            <w:vAlign w:val="bottom"/>
            <w:tcBorders>
              <w:top w:val="single" w:sz="8" w:color="CFF0FC"/>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CFF0FC"/>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Company’s potentially dilutive securities have been excluded from the computation of dilutive net loss per share as the effect would be to reduce the net loss per share. Therefore, the weighted-average number of shares of common stock outstanding used to calculate both basic and diluted net loss per share is the same.</w:t>
      </w:r>
    </w:p>
    <w:p>
      <w:pPr>
        <w:spacing w:after="0" w:line="107"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The Company excluded the following potential shares of common stock from the computation of diluted net loss per share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3560" w:type="dxa"/>
            <w:vAlign w:val="bottom"/>
            <w:gridSpan w:val="4"/>
          </w:tcPr>
          <w:p>
            <w:pPr>
              <w:ind w:left="70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680" w:type="dxa"/>
            <w:vAlign w:val="bottom"/>
          </w:tcPr>
          <w:p>
            <w:pPr>
              <w:spacing w:after="0"/>
              <w:rPr>
                <w:sz w:val="15"/>
                <w:szCs w:val="15"/>
                <w:color w:val="auto"/>
              </w:rPr>
            </w:pPr>
          </w:p>
        </w:tc>
        <w:tc>
          <w:tcPr>
            <w:tcW w:w="16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Outstanding warrants for common stock</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7,507,708</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7,507,708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Outstanding stock options (as converted to common stock)</w:t>
            </w:r>
          </w:p>
        </w:tc>
        <w:tc>
          <w:tcPr>
            <w:tcW w:w="1620" w:type="dxa"/>
            <w:vAlign w:val="bottom"/>
          </w:tcPr>
          <w:p>
            <w:pPr>
              <w:jc w:val="right"/>
              <w:spacing w:after="0"/>
              <w:rPr>
                <w:sz w:val="20"/>
                <w:szCs w:val="20"/>
                <w:color w:val="auto"/>
              </w:rPr>
            </w:pPr>
            <w:r>
              <w:rPr>
                <w:rFonts w:ascii="Arial" w:cs="Arial" w:eastAsia="Arial" w:hAnsi="Arial"/>
                <w:sz w:val="17"/>
                <w:szCs w:val="17"/>
                <w:color w:val="auto"/>
              </w:rPr>
              <w:t>5,666,621</w:t>
            </w: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5,645,420</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Unvested restricted stock</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2,526,432</w:t>
            </w:r>
          </w:p>
        </w:tc>
        <w:tc>
          <w:tcPr>
            <w:tcW w:w="24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612,366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15,700,761</w:t>
            </w: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13,765,494</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-316230</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Corporate Restructuring</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color w:val="auto"/>
        </w:rPr>
        <w:t>In November 2023, the Company's Board of Directors authorized a restructuring plan to focus on continuation and expansion of development of</w:t>
      </w:r>
    </w:p>
    <w:p>
      <w:pPr>
        <w:spacing w:after="0" w:line="20"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CAN-3110 as well as the enLIGHTEN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Discovery Platform, which resulted in a reduction of the Company’s workforce by approximately 45%. Each affected employee's separation from the Company occurred in December 2023. As a result, the Company incurred costs of $0.7 million related to severance benefits for the affected employees, including severance payments and limited reimbursement of medical insurance premiums. The restructuring plan is expected to be completed in the first quarter of 2024 once the remaining unpaid severance payments of $46,000 are made.</w:t>
      </w:r>
    </w:p>
    <w:p>
      <w:pPr>
        <w:spacing w:after="0" w:line="10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Of the $0.7 million in costs recognized related to the restructuring plan, $0.5 million and $0.2 million have been charged to research and development and general and administrative expenses, respectively, in the accompanying consolidated statement of operations for the year ended December 31, 2023. During the year ended December 31, 2023, the Company paid $0.7 million in severance benefits to separating employees related to the restructuring plan. At December 31, 2023, unpaid severance costs of $46,000 are included in accrued expenses in the accompanying consolidated balance sheet and are expected to be paid during the first quarter of 2024.</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38" w:right="4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7"/>
          <w:szCs w:val="17"/>
          <w:b w:val="1"/>
          <w:bCs w:val="1"/>
          <w:color w:val="auto"/>
        </w:rPr>
        <w:t>SIGNATURES</w:t>
      </w:r>
    </w:p>
    <w:p>
      <w:pPr>
        <w:spacing w:after="0" w:line="318"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7"/>
          <w:szCs w:val="17"/>
          <w:b w:val="1"/>
          <w:bCs w:val="1"/>
          <w:color w:val="auto"/>
        </w:rPr>
        <w:t>.</w:t>
      </w:r>
    </w:p>
    <w:p>
      <w:pPr>
        <w:spacing w:after="0" w:line="111"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Candel Therapeutics, Inc.</w:t>
      </w:r>
    </w:p>
    <w:p>
      <w:pPr>
        <w:spacing w:after="0" w:line="210" w:lineRule="exact"/>
        <w:rPr>
          <w:sz w:val="20"/>
          <w:szCs w:val="20"/>
          <w:color w:val="auto"/>
        </w:rPr>
      </w:pPr>
    </w:p>
    <w:p>
      <w:pPr>
        <w:ind w:left="20"/>
        <w:spacing w:after="0"/>
        <w:tabs>
          <w:tab w:leader="none" w:pos="5400" w:val="left"/>
          <w:tab w:leader="none" w:pos="7920" w:val="left"/>
        </w:tabs>
        <w:rPr>
          <w:sz w:val="20"/>
          <w:szCs w:val="20"/>
          <w:color w:val="auto"/>
        </w:rPr>
      </w:pPr>
      <w:r>
        <w:rPr>
          <w:rFonts w:ascii="Arial" w:cs="Arial" w:eastAsia="Arial" w:hAnsi="Arial"/>
          <w:sz w:val="17"/>
          <w:szCs w:val="17"/>
          <w:color w:val="auto"/>
        </w:rPr>
        <w:t>Date: March 28, 2024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334327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7" w:lineRule="exact"/>
        <w:rPr>
          <w:sz w:val="20"/>
          <w:szCs w:val="20"/>
          <w:color w:val="auto"/>
        </w:rPr>
      </w:pPr>
    </w:p>
    <w:p>
      <w:pPr>
        <w:ind w:left="7140"/>
        <w:spacing w:after="0"/>
        <w:rPr>
          <w:sz w:val="20"/>
          <w:szCs w:val="20"/>
          <w:color w:val="auto"/>
        </w:rPr>
      </w:pPr>
      <w:r>
        <w:rPr>
          <w:rFonts w:ascii="Arial" w:cs="Arial" w:eastAsia="Arial" w:hAnsi="Arial"/>
          <w:sz w:val="17"/>
          <w:szCs w:val="17"/>
          <w:b w:val="1"/>
          <w:bCs w:val="1"/>
          <w:color w:val="auto"/>
        </w:rPr>
        <w:t>Paul Peter Tak, M.D., Ph.D., FMedSci</w:t>
      </w:r>
    </w:p>
    <w:p>
      <w:pPr>
        <w:spacing w:after="0" w:line="7" w:lineRule="exact"/>
        <w:rPr>
          <w:sz w:val="20"/>
          <w:szCs w:val="20"/>
          <w:color w:val="auto"/>
        </w:rPr>
      </w:pPr>
    </w:p>
    <w:p>
      <w:pPr>
        <w:ind w:left="7080"/>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Each person whose individual signature appears below hereby constitutes and appoints Paul Peter Tak and Charles Schoch,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74"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in the capacities and on the dates indicated.</w:t>
      </w:r>
    </w:p>
    <w:p>
      <w:pPr>
        <w:spacing w:after="0" w:line="145" w:lineRule="exact"/>
        <w:rPr>
          <w:sz w:val="20"/>
          <w:szCs w:val="20"/>
          <w:color w:val="auto"/>
        </w:rPr>
      </w:pPr>
    </w:p>
    <w:p>
      <w:pPr>
        <w:ind w:left="1640"/>
        <w:spacing w:after="0"/>
        <w:tabs>
          <w:tab w:leader="none" w:pos="610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4720" w:type="dxa"/>
            <w:vAlign w:val="bottom"/>
          </w:tcPr>
          <w:p>
            <w:pPr>
              <w:ind w:left="140"/>
              <w:spacing w:after="0"/>
              <w:rPr>
                <w:sz w:val="20"/>
                <w:szCs w:val="20"/>
                <w:color w:val="auto"/>
              </w:rPr>
            </w:pPr>
            <w:r>
              <w:rPr>
                <w:rFonts w:ascii="Arial" w:cs="Arial" w:eastAsia="Arial" w:hAnsi="Arial"/>
                <w:sz w:val="17"/>
                <w:szCs w:val="17"/>
                <w:color w:val="auto"/>
              </w:rPr>
              <w:t>President and Chief Executive Officer</w:t>
            </w:r>
          </w:p>
        </w:tc>
        <w:tc>
          <w:tcPr>
            <w:tcW w:w="2840" w:type="dxa"/>
            <w:vAlign w:val="bottom"/>
          </w:tcPr>
          <w:p>
            <w:pPr>
              <w:spacing w:after="0"/>
              <w:rPr>
                <w:sz w:val="16"/>
                <w:szCs w:val="16"/>
                <w:color w:val="auto"/>
              </w:rPr>
            </w:pPr>
          </w:p>
        </w:tc>
      </w:tr>
      <w:tr>
        <w:trPr>
          <w:trHeight w:val="225"/>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Paul Peter Tak</w:t>
            </w:r>
          </w:p>
        </w:tc>
        <w:tc>
          <w:tcPr>
            <w:tcW w:w="4720" w:type="dxa"/>
            <w:vAlign w:val="bottom"/>
          </w:tcPr>
          <w:p>
            <w:pPr>
              <w:ind w:left="140"/>
              <w:spacing w:after="0"/>
              <w:rPr>
                <w:sz w:val="20"/>
                <w:szCs w:val="20"/>
                <w:color w:val="auto"/>
              </w:rPr>
            </w:pPr>
            <w:r>
              <w:rPr>
                <w:rFonts w:ascii="Arial" w:cs="Arial" w:eastAsia="Arial" w:hAnsi="Arial"/>
                <w:sz w:val="17"/>
                <w:szCs w:val="17"/>
                <w:color w:val="auto"/>
              </w:rPr>
              <w:t>(Principal Executive Officer)</w:t>
            </w:r>
          </w:p>
        </w:tc>
        <w:tc>
          <w:tcPr>
            <w:tcW w:w="2840" w:type="dxa"/>
            <w:vAlign w:val="bottom"/>
          </w:tcPr>
          <w:p>
            <w:pPr>
              <w:ind w:left="500"/>
              <w:spacing w:after="0"/>
              <w:rPr>
                <w:sz w:val="20"/>
                <w:szCs w:val="20"/>
                <w:color w:val="auto"/>
              </w:rPr>
            </w:pPr>
            <w:r>
              <w:rPr>
                <w:rFonts w:ascii="Arial" w:cs="Arial" w:eastAsia="Arial" w:hAnsi="Arial"/>
                <w:sz w:val="17"/>
                <w:szCs w:val="17"/>
                <w:color w:val="auto"/>
              </w:rPr>
              <w:t>March 28, 2024</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Paul Peter Tak, M.D., Ph.D. FMedSci</w:t>
            </w:r>
          </w:p>
        </w:tc>
        <w:tc>
          <w:tcPr>
            <w:tcW w:w="47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41"/>
        </w:trPr>
        <w:tc>
          <w:tcPr>
            <w:tcW w:w="3680" w:type="dxa"/>
            <w:vAlign w:val="bottom"/>
          </w:tcPr>
          <w:p>
            <w:pPr>
              <w:spacing w:after="0"/>
              <w:rPr>
                <w:sz w:val="20"/>
                <w:szCs w:val="20"/>
                <w:color w:val="auto"/>
              </w:rPr>
            </w:pPr>
          </w:p>
        </w:tc>
        <w:tc>
          <w:tcPr>
            <w:tcW w:w="4720" w:type="dxa"/>
            <w:vAlign w:val="bottom"/>
          </w:tcPr>
          <w:p>
            <w:pPr>
              <w:ind w:left="140"/>
              <w:spacing w:after="0"/>
              <w:rPr>
                <w:sz w:val="20"/>
                <w:szCs w:val="20"/>
                <w:color w:val="auto"/>
              </w:rPr>
            </w:pPr>
            <w:r>
              <w:rPr>
                <w:rFonts w:ascii="Arial" w:cs="Arial" w:eastAsia="Arial" w:hAnsi="Arial"/>
                <w:sz w:val="17"/>
                <w:szCs w:val="17"/>
                <w:color w:val="auto"/>
              </w:rPr>
              <w:t>Interim Chief Financial Officer (Principal Financial and</w:t>
            </w:r>
          </w:p>
        </w:tc>
        <w:tc>
          <w:tcPr>
            <w:tcW w:w="2840" w:type="dxa"/>
            <w:vAlign w:val="bottom"/>
          </w:tcPr>
          <w:p>
            <w:pPr>
              <w:spacing w:after="0"/>
              <w:rPr>
                <w:sz w:val="20"/>
                <w:szCs w:val="20"/>
                <w:color w:val="auto"/>
              </w:rPr>
            </w:pPr>
          </w:p>
        </w:tc>
      </w:tr>
      <w:tr>
        <w:trPr>
          <w:trHeight w:val="225"/>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Charles Schoch</w:t>
            </w:r>
          </w:p>
        </w:tc>
        <w:tc>
          <w:tcPr>
            <w:tcW w:w="4720" w:type="dxa"/>
            <w:vAlign w:val="bottom"/>
          </w:tcPr>
          <w:p>
            <w:pPr>
              <w:ind w:left="140"/>
              <w:spacing w:after="0"/>
              <w:rPr>
                <w:sz w:val="20"/>
                <w:szCs w:val="20"/>
                <w:color w:val="auto"/>
              </w:rPr>
            </w:pPr>
            <w:r>
              <w:rPr>
                <w:rFonts w:ascii="Arial" w:cs="Arial" w:eastAsia="Arial" w:hAnsi="Arial"/>
                <w:sz w:val="17"/>
                <w:szCs w:val="17"/>
                <w:color w:val="auto"/>
              </w:rPr>
              <w:t>Accounting Officer)</w:t>
            </w:r>
          </w:p>
        </w:tc>
        <w:tc>
          <w:tcPr>
            <w:tcW w:w="2840" w:type="dxa"/>
            <w:vAlign w:val="bottom"/>
          </w:tcPr>
          <w:p>
            <w:pPr>
              <w:ind w:left="500"/>
              <w:spacing w:after="0"/>
              <w:rPr>
                <w:sz w:val="20"/>
                <w:szCs w:val="20"/>
                <w:color w:val="auto"/>
              </w:rPr>
            </w:pPr>
            <w:r>
              <w:rPr>
                <w:rFonts w:ascii="Arial" w:cs="Arial" w:eastAsia="Arial" w:hAnsi="Arial"/>
                <w:sz w:val="17"/>
                <w:szCs w:val="17"/>
                <w:color w:val="auto"/>
              </w:rPr>
              <w:t>March 28, 2024</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Charles Schoch</w:t>
            </w:r>
          </w:p>
        </w:tc>
        <w:tc>
          <w:tcPr>
            <w:tcW w:w="47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76"/>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Paul B. Manning</w:t>
            </w:r>
          </w:p>
        </w:tc>
        <w:tc>
          <w:tcPr>
            <w:tcW w:w="4720" w:type="dxa"/>
            <w:vAlign w:val="bottom"/>
          </w:tcPr>
          <w:p>
            <w:pPr>
              <w:ind w:left="140"/>
              <w:spacing w:after="0"/>
              <w:rPr>
                <w:sz w:val="20"/>
                <w:szCs w:val="20"/>
                <w:color w:val="auto"/>
              </w:rPr>
            </w:pPr>
            <w:r>
              <w:rPr>
                <w:rFonts w:ascii="Arial" w:cs="Arial" w:eastAsia="Arial" w:hAnsi="Arial"/>
                <w:sz w:val="17"/>
                <w:szCs w:val="17"/>
                <w:color w:val="auto"/>
              </w:rPr>
              <w:t>Chairman</w:t>
            </w:r>
          </w:p>
        </w:tc>
        <w:tc>
          <w:tcPr>
            <w:tcW w:w="2840" w:type="dxa"/>
            <w:vAlign w:val="bottom"/>
          </w:tcPr>
          <w:p>
            <w:pPr>
              <w:ind w:left="500"/>
              <w:spacing w:after="0"/>
              <w:rPr>
                <w:sz w:val="20"/>
                <w:szCs w:val="20"/>
                <w:color w:val="auto"/>
              </w:rPr>
            </w:pPr>
            <w:r>
              <w:rPr>
                <w:rFonts w:ascii="Arial" w:cs="Arial" w:eastAsia="Arial" w:hAnsi="Arial"/>
                <w:sz w:val="17"/>
                <w:szCs w:val="17"/>
                <w:color w:val="auto"/>
              </w:rPr>
              <w:t>March 28, 2024</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Paul B. Manning</w:t>
            </w:r>
          </w:p>
        </w:tc>
        <w:tc>
          <w:tcPr>
            <w:tcW w:w="47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76"/>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Edward J. Benz Jr.</w:t>
            </w:r>
          </w:p>
        </w:tc>
        <w:tc>
          <w:tcPr>
            <w:tcW w:w="4720" w:type="dxa"/>
            <w:vAlign w:val="bottom"/>
          </w:tcPr>
          <w:p>
            <w:pPr>
              <w:ind w:left="140"/>
              <w:spacing w:after="0"/>
              <w:rPr>
                <w:sz w:val="20"/>
                <w:szCs w:val="20"/>
                <w:color w:val="auto"/>
              </w:rPr>
            </w:pPr>
            <w:r>
              <w:rPr>
                <w:rFonts w:ascii="Arial" w:cs="Arial" w:eastAsia="Arial" w:hAnsi="Arial"/>
                <w:sz w:val="17"/>
                <w:szCs w:val="17"/>
                <w:color w:val="auto"/>
              </w:rPr>
              <w:t>Director</w:t>
            </w:r>
          </w:p>
        </w:tc>
        <w:tc>
          <w:tcPr>
            <w:tcW w:w="2840" w:type="dxa"/>
            <w:vAlign w:val="bottom"/>
          </w:tcPr>
          <w:p>
            <w:pPr>
              <w:ind w:left="500"/>
              <w:spacing w:after="0"/>
              <w:rPr>
                <w:sz w:val="20"/>
                <w:szCs w:val="20"/>
                <w:color w:val="auto"/>
              </w:rPr>
            </w:pPr>
            <w:r>
              <w:rPr>
                <w:rFonts w:ascii="Arial" w:cs="Arial" w:eastAsia="Arial" w:hAnsi="Arial"/>
                <w:sz w:val="17"/>
                <w:szCs w:val="17"/>
                <w:color w:val="auto"/>
              </w:rPr>
              <w:t>March 28, 2024</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Edward J. Benz, Jr, M.D.</w:t>
            </w:r>
          </w:p>
        </w:tc>
        <w:tc>
          <w:tcPr>
            <w:tcW w:w="47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76"/>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Chris Martell</w:t>
            </w:r>
          </w:p>
        </w:tc>
        <w:tc>
          <w:tcPr>
            <w:tcW w:w="4720" w:type="dxa"/>
            <w:vAlign w:val="bottom"/>
          </w:tcPr>
          <w:p>
            <w:pPr>
              <w:ind w:left="140"/>
              <w:spacing w:after="0"/>
              <w:rPr>
                <w:sz w:val="20"/>
                <w:szCs w:val="20"/>
                <w:color w:val="auto"/>
              </w:rPr>
            </w:pPr>
            <w:r>
              <w:rPr>
                <w:rFonts w:ascii="Arial" w:cs="Arial" w:eastAsia="Arial" w:hAnsi="Arial"/>
                <w:sz w:val="17"/>
                <w:szCs w:val="17"/>
                <w:color w:val="auto"/>
              </w:rPr>
              <w:t>Director</w:t>
            </w:r>
          </w:p>
        </w:tc>
        <w:tc>
          <w:tcPr>
            <w:tcW w:w="2840" w:type="dxa"/>
            <w:vAlign w:val="bottom"/>
          </w:tcPr>
          <w:p>
            <w:pPr>
              <w:ind w:left="500"/>
              <w:spacing w:after="0"/>
              <w:rPr>
                <w:sz w:val="20"/>
                <w:szCs w:val="20"/>
                <w:color w:val="auto"/>
              </w:rPr>
            </w:pPr>
            <w:r>
              <w:rPr>
                <w:rFonts w:ascii="Arial" w:cs="Arial" w:eastAsia="Arial" w:hAnsi="Arial"/>
                <w:sz w:val="17"/>
                <w:szCs w:val="17"/>
                <w:color w:val="auto"/>
              </w:rPr>
              <w:t>March 28, 2024</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Chris Martell</w:t>
            </w:r>
          </w:p>
        </w:tc>
        <w:tc>
          <w:tcPr>
            <w:tcW w:w="47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76"/>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Renee Gaeta</w:t>
            </w:r>
          </w:p>
        </w:tc>
        <w:tc>
          <w:tcPr>
            <w:tcW w:w="4720" w:type="dxa"/>
            <w:vAlign w:val="bottom"/>
          </w:tcPr>
          <w:p>
            <w:pPr>
              <w:ind w:left="140"/>
              <w:spacing w:after="0"/>
              <w:rPr>
                <w:sz w:val="20"/>
                <w:szCs w:val="20"/>
                <w:color w:val="auto"/>
              </w:rPr>
            </w:pPr>
            <w:r>
              <w:rPr>
                <w:rFonts w:ascii="Arial" w:cs="Arial" w:eastAsia="Arial" w:hAnsi="Arial"/>
                <w:sz w:val="17"/>
                <w:szCs w:val="17"/>
                <w:color w:val="auto"/>
              </w:rPr>
              <w:t>Director</w:t>
            </w:r>
          </w:p>
        </w:tc>
        <w:tc>
          <w:tcPr>
            <w:tcW w:w="2840" w:type="dxa"/>
            <w:vAlign w:val="bottom"/>
          </w:tcPr>
          <w:p>
            <w:pPr>
              <w:ind w:left="500"/>
              <w:spacing w:after="0"/>
              <w:rPr>
                <w:sz w:val="20"/>
                <w:szCs w:val="20"/>
                <w:color w:val="auto"/>
              </w:rPr>
            </w:pPr>
            <w:r>
              <w:rPr>
                <w:rFonts w:ascii="Arial" w:cs="Arial" w:eastAsia="Arial" w:hAnsi="Arial"/>
                <w:sz w:val="17"/>
                <w:szCs w:val="17"/>
                <w:color w:val="auto"/>
              </w:rPr>
              <w:t>March 28, 2024</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Renee Gaeta</w:t>
            </w:r>
          </w:p>
        </w:tc>
        <w:tc>
          <w:tcPr>
            <w:tcW w:w="47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90"/>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Gary Nabel</w:t>
            </w:r>
          </w:p>
        </w:tc>
        <w:tc>
          <w:tcPr>
            <w:tcW w:w="4720" w:type="dxa"/>
            <w:vAlign w:val="bottom"/>
          </w:tcPr>
          <w:p>
            <w:pPr>
              <w:ind w:left="140"/>
              <w:spacing w:after="0"/>
              <w:rPr>
                <w:sz w:val="20"/>
                <w:szCs w:val="20"/>
                <w:color w:val="auto"/>
              </w:rPr>
            </w:pPr>
            <w:r>
              <w:rPr>
                <w:rFonts w:ascii="Arial" w:cs="Arial" w:eastAsia="Arial" w:hAnsi="Arial"/>
                <w:sz w:val="17"/>
                <w:szCs w:val="17"/>
                <w:color w:val="auto"/>
              </w:rPr>
              <w:t>Director</w:t>
            </w:r>
          </w:p>
        </w:tc>
        <w:tc>
          <w:tcPr>
            <w:tcW w:w="2840" w:type="dxa"/>
            <w:vAlign w:val="bottom"/>
          </w:tcPr>
          <w:p>
            <w:pPr>
              <w:ind w:left="500"/>
              <w:spacing w:after="0"/>
              <w:rPr>
                <w:sz w:val="20"/>
                <w:szCs w:val="20"/>
                <w:color w:val="auto"/>
              </w:rPr>
            </w:pPr>
            <w:r>
              <w:rPr>
                <w:rFonts w:ascii="Arial" w:cs="Arial" w:eastAsia="Arial" w:hAnsi="Arial"/>
                <w:sz w:val="17"/>
                <w:szCs w:val="17"/>
                <w:color w:val="auto"/>
              </w:rPr>
              <w:t>March 28, 2024</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Gary Nabel, Ph.D., M.D.</w:t>
            </w:r>
          </w:p>
        </w:tc>
        <w:tc>
          <w:tcPr>
            <w:tcW w:w="47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76"/>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Estuardo Aguilar-Cordova</w:t>
            </w:r>
          </w:p>
        </w:tc>
        <w:tc>
          <w:tcPr>
            <w:tcW w:w="4720" w:type="dxa"/>
            <w:vAlign w:val="bottom"/>
          </w:tcPr>
          <w:p>
            <w:pPr>
              <w:ind w:left="140"/>
              <w:spacing w:after="0"/>
              <w:rPr>
                <w:sz w:val="20"/>
                <w:szCs w:val="20"/>
                <w:color w:val="auto"/>
              </w:rPr>
            </w:pPr>
            <w:r>
              <w:rPr>
                <w:rFonts w:ascii="Arial" w:cs="Arial" w:eastAsia="Arial" w:hAnsi="Arial"/>
                <w:sz w:val="17"/>
                <w:szCs w:val="17"/>
                <w:color w:val="auto"/>
              </w:rPr>
              <w:t>Director</w:t>
            </w:r>
          </w:p>
        </w:tc>
        <w:tc>
          <w:tcPr>
            <w:tcW w:w="2840" w:type="dxa"/>
            <w:vAlign w:val="bottom"/>
          </w:tcPr>
          <w:p>
            <w:pPr>
              <w:ind w:left="500"/>
              <w:spacing w:after="0"/>
              <w:rPr>
                <w:sz w:val="20"/>
                <w:szCs w:val="20"/>
                <w:color w:val="auto"/>
              </w:rPr>
            </w:pPr>
            <w:r>
              <w:rPr>
                <w:rFonts w:ascii="Arial" w:cs="Arial" w:eastAsia="Arial" w:hAnsi="Arial"/>
                <w:sz w:val="17"/>
                <w:szCs w:val="17"/>
                <w:color w:val="auto"/>
              </w:rPr>
              <w:t>March 28, 2024</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Estuardo Aguilar-Cordova, M.D. Ph.D.</w:t>
            </w:r>
          </w:p>
        </w:tc>
        <w:tc>
          <w:tcPr>
            <w:tcW w:w="47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76"/>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Joseph Papa</w:t>
            </w:r>
          </w:p>
        </w:tc>
        <w:tc>
          <w:tcPr>
            <w:tcW w:w="4720" w:type="dxa"/>
            <w:vAlign w:val="bottom"/>
          </w:tcPr>
          <w:p>
            <w:pPr>
              <w:ind w:left="140"/>
              <w:spacing w:after="0"/>
              <w:rPr>
                <w:sz w:val="20"/>
                <w:szCs w:val="20"/>
                <w:color w:val="auto"/>
              </w:rPr>
            </w:pPr>
            <w:r>
              <w:rPr>
                <w:rFonts w:ascii="Arial" w:cs="Arial" w:eastAsia="Arial" w:hAnsi="Arial"/>
                <w:sz w:val="17"/>
                <w:szCs w:val="17"/>
                <w:color w:val="auto"/>
              </w:rPr>
              <w:t>Director</w:t>
            </w:r>
          </w:p>
        </w:tc>
        <w:tc>
          <w:tcPr>
            <w:tcW w:w="2840" w:type="dxa"/>
            <w:vAlign w:val="bottom"/>
          </w:tcPr>
          <w:p>
            <w:pPr>
              <w:ind w:left="500"/>
              <w:spacing w:after="0"/>
              <w:rPr>
                <w:sz w:val="20"/>
                <w:szCs w:val="20"/>
                <w:color w:val="auto"/>
              </w:rPr>
            </w:pPr>
            <w:r>
              <w:rPr>
                <w:rFonts w:ascii="Arial" w:cs="Arial" w:eastAsia="Arial" w:hAnsi="Arial"/>
                <w:sz w:val="17"/>
                <w:szCs w:val="17"/>
                <w:color w:val="auto"/>
              </w:rPr>
              <w:t>March 28, 2024</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Joseph Papa</w:t>
            </w:r>
          </w:p>
        </w:tc>
        <w:tc>
          <w:tcPr>
            <w:tcW w:w="47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76"/>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Diem Nguyen</w:t>
            </w:r>
          </w:p>
        </w:tc>
        <w:tc>
          <w:tcPr>
            <w:tcW w:w="4720" w:type="dxa"/>
            <w:vAlign w:val="bottom"/>
          </w:tcPr>
          <w:p>
            <w:pPr>
              <w:ind w:left="140"/>
              <w:spacing w:after="0"/>
              <w:rPr>
                <w:sz w:val="20"/>
                <w:szCs w:val="20"/>
                <w:color w:val="auto"/>
              </w:rPr>
            </w:pPr>
            <w:r>
              <w:rPr>
                <w:rFonts w:ascii="Arial" w:cs="Arial" w:eastAsia="Arial" w:hAnsi="Arial"/>
                <w:sz w:val="17"/>
                <w:szCs w:val="17"/>
                <w:color w:val="auto"/>
              </w:rPr>
              <w:t>Director</w:t>
            </w:r>
          </w:p>
        </w:tc>
        <w:tc>
          <w:tcPr>
            <w:tcW w:w="2840" w:type="dxa"/>
            <w:vAlign w:val="bottom"/>
          </w:tcPr>
          <w:p>
            <w:pPr>
              <w:ind w:left="500"/>
              <w:spacing w:after="0"/>
              <w:rPr>
                <w:sz w:val="20"/>
                <w:szCs w:val="20"/>
                <w:color w:val="auto"/>
              </w:rPr>
            </w:pPr>
            <w:r>
              <w:rPr>
                <w:rFonts w:ascii="Arial" w:cs="Arial" w:eastAsia="Arial" w:hAnsi="Arial"/>
                <w:sz w:val="17"/>
                <w:szCs w:val="17"/>
                <w:color w:val="auto"/>
              </w:rPr>
              <w:t>March 28, 2024</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Diem Nguyen, Ph.D., MBA</w:t>
            </w:r>
          </w:p>
        </w:tc>
        <w:tc>
          <w:tcPr>
            <w:tcW w:w="47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76"/>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Nicoletta Loggia</w:t>
            </w:r>
          </w:p>
        </w:tc>
        <w:tc>
          <w:tcPr>
            <w:tcW w:w="4720" w:type="dxa"/>
            <w:vAlign w:val="bottom"/>
          </w:tcPr>
          <w:p>
            <w:pPr>
              <w:ind w:left="140"/>
              <w:spacing w:after="0"/>
              <w:rPr>
                <w:sz w:val="20"/>
                <w:szCs w:val="20"/>
                <w:color w:val="auto"/>
              </w:rPr>
            </w:pPr>
            <w:r>
              <w:rPr>
                <w:rFonts w:ascii="Arial" w:cs="Arial" w:eastAsia="Arial" w:hAnsi="Arial"/>
                <w:sz w:val="17"/>
                <w:szCs w:val="17"/>
                <w:color w:val="auto"/>
              </w:rPr>
              <w:t>Director</w:t>
            </w:r>
          </w:p>
        </w:tc>
        <w:tc>
          <w:tcPr>
            <w:tcW w:w="2840" w:type="dxa"/>
            <w:vAlign w:val="bottom"/>
          </w:tcPr>
          <w:p>
            <w:pPr>
              <w:ind w:left="500"/>
              <w:spacing w:after="0"/>
              <w:rPr>
                <w:sz w:val="20"/>
                <w:szCs w:val="20"/>
                <w:color w:val="auto"/>
              </w:rPr>
            </w:pPr>
            <w:r>
              <w:rPr>
                <w:rFonts w:ascii="Arial" w:cs="Arial" w:eastAsia="Arial" w:hAnsi="Arial"/>
                <w:sz w:val="17"/>
                <w:szCs w:val="17"/>
                <w:color w:val="auto"/>
              </w:rPr>
              <w:t>March 28, 2024</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Nicoletta Loggia, Ph.D., R.Ph</w:t>
            </w:r>
          </w:p>
        </w:tc>
        <w:tc>
          <w:tcPr>
            <w:tcW w:w="47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614"/>
        </w:trPr>
        <w:tc>
          <w:tcPr>
            <w:tcW w:w="3680" w:type="dxa"/>
            <w:vAlign w:val="bottom"/>
          </w:tcPr>
          <w:p>
            <w:pPr>
              <w:spacing w:after="0"/>
              <w:rPr>
                <w:sz w:val="24"/>
                <w:szCs w:val="24"/>
                <w:color w:val="auto"/>
              </w:rPr>
            </w:pPr>
          </w:p>
        </w:tc>
        <w:tc>
          <w:tcPr>
            <w:tcW w:w="4720" w:type="dxa"/>
            <w:vAlign w:val="bottom"/>
          </w:tcPr>
          <w:p>
            <w:pPr>
              <w:ind w:left="1760"/>
              <w:spacing w:after="0"/>
              <w:rPr>
                <w:sz w:val="20"/>
                <w:szCs w:val="20"/>
                <w:color w:val="auto"/>
              </w:rPr>
            </w:pPr>
            <w:r>
              <w:rPr>
                <w:rFonts w:ascii="Arial" w:cs="Arial" w:eastAsia="Arial" w:hAnsi="Arial"/>
                <w:sz w:val="17"/>
                <w:szCs w:val="17"/>
                <w:color w:val="auto"/>
              </w:rPr>
              <w:t>F-23</w:t>
            </w:r>
          </w:p>
        </w:tc>
        <w:tc>
          <w:tcPr>
            <w:tcW w:w="2840" w:type="dxa"/>
            <w:vAlign w:val="bottom"/>
          </w:tcPr>
          <w:p>
            <w:pPr>
              <w:spacing w:after="0"/>
              <w:rPr>
                <w:sz w:val="24"/>
                <w:szCs w:val="24"/>
                <w:color w:val="auto"/>
              </w:rPr>
            </w:pPr>
          </w:p>
        </w:tc>
      </w:tr>
      <w:tr>
        <w:trPr>
          <w:trHeight w:val="749"/>
        </w:trPr>
        <w:tc>
          <w:tcPr>
            <w:tcW w:w="368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5" w:name="page146"/>
    <w:bookmarkEnd w:id="145"/>
    <w:p>
      <w:pPr>
        <w:ind w:left="8480"/>
        <w:spacing w:after="0"/>
        <w:rPr>
          <w:sz w:val="20"/>
          <w:szCs w:val="20"/>
          <w:color w:val="auto"/>
        </w:rPr>
      </w:pPr>
      <w:r>
        <w:rPr>
          <w:rFonts w:ascii="Times New Roman" w:cs="Times New Roman" w:eastAsia="Times New Roman" w:hAnsi="Times New Roman"/>
          <w:sz w:val="22"/>
          <w:szCs w:val="22"/>
          <w:b w:val="1"/>
          <w:bCs w:val="1"/>
          <w:color w:val="auto"/>
        </w:rPr>
        <w:t>Exhibit 10.19</w:t>
      </w: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CONSULTING AGREEMENT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THIS CONSULTING AGREEMENT</w:t>
      </w:r>
      <w:r>
        <w:rPr>
          <w:rFonts w:ascii="Times New Roman" w:cs="Times New Roman" w:eastAsia="Times New Roman" w:hAnsi="Times New Roman"/>
          <w:sz w:val="22"/>
          <w:szCs w:val="22"/>
          <w:color w:val="auto"/>
        </w:rPr>
        <w:t>, dated as of this January 12, 2024 (this</w:t>
      </w:r>
      <w:r>
        <w:rPr>
          <w:rFonts w:ascii="Times New Roman" w:cs="Times New Roman" w:eastAsia="Times New Roman" w:hAnsi="Times New Roman"/>
          <w:sz w:val="22"/>
          <w:szCs w:val="22"/>
          <w:b w:val="1"/>
          <w:bCs w:val="1"/>
          <w:color w:val="auto"/>
        </w:rPr>
        <w:t xml:space="preserve"> “Agreement”</w:t>
      </w:r>
      <w:r>
        <w:rPr>
          <w:rFonts w:ascii="Times New Roman" w:cs="Times New Roman" w:eastAsia="Times New Roman" w:hAnsi="Times New Roman"/>
          <w:sz w:val="22"/>
          <w:szCs w:val="22"/>
          <w:color w:val="auto"/>
        </w:rPr>
        <w:t>), is by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Jason A. Amello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Candel Therapeutics, Inc.</w:t>
      </w:r>
      <w:r>
        <w:rPr>
          <w:rFonts w:ascii="Times New Roman" w:cs="Times New Roman" w:eastAsia="Times New Roman" w:hAnsi="Times New Roman"/>
          <w:sz w:val="22"/>
          <w:szCs w:val="22"/>
          <w:color w:val="auto"/>
        </w:rPr>
        <w:t xml:space="preserve">, with principal executive offices at 117 Kendrick Street, Suite 450, Needham, MA 02494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W I T N E S S E T H</w:t>
      </w:r>
      <w:r>
        <w:rPr>
          <w:rFonts w:ascii="Times New Roman" w:cs="Times New Roman" w:eastAsia="Times New Roman" w:hAnsi="Times New Roman"/>
          <w:sz w:val="22"/>
          <w:szCs w:val="22"/>
          <w:b w:val="1"/>
          <w:bCs w:val="1"/>
          <w:color w:val="auto"/>
        </w:rPr>
        <w:t>:</w:t>
      </w:r>
    </w:p>
    <w:p>
      <w:pPr>
        <w:spacing w:after="0" w:line="3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is a clinical stage biomedical and pharmaceutical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19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Consultant will resign from his position as Chief Financial Officer of the Company;</w:t>
      </w:r>
    </w:p>
    <w:p>
      <w:pPr>
        <w:spacing w:after="0" w:line="314" w:lineRule="exact"/>
        <w:rPr>
          <w:sz w:val="20"/>
          <w:szCs w:val="20"/>
          <w:color w:val="auto"/>
        </w:rPr>
      </w:pPr>
    </w:p>
    <w:p>
      <w:pPr>
        <w:ind w:right="180" w:firstLine="149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Consultant provides expertise in the field of accounting, financing, business development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investor relations;</w:t>
      </w:r>
    </w:p>
    <w:p>
      <w:pPr>
        <w:spacing w:after="0" w:line="177" w:lineRule="exact"/>
        <w:rPr>
          <w:sz w:val="20"/>
          <w:szCs w:val="20"/>
          <w:color w:val="auto"/>
        </w:rPr>
      </w:pPr>
    </w:p>
    <w:p>
      <w:pPr>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desires that it be able to call upon the knowledge and experience of consultant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consultation services and advice; and</w:t>
      </w:r>
    </w:p>
    <w:p>
      <w:pPr>
        <w:spacing w:after="0" w:line="177" w:lineRule="exact"/>
        <w:rPr>
          <w:sz w:val="20"/>
          <w:szCs w:val="20"/>
          <w:color w:val="auto"/>
        </w:rPr>
      </w:pPr>
    </w:p>
    <w:p>
      <w:pPr>
        <w:ind w:right="56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Consultant is willing to render such services to the Company on the terms and conditions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hereinafter set forth in this Agreement.</w:t>
      </w:r>
    </w:p>
    <w:p>
      <w:pPr>
        <w:spacing w:after="0" w:line="177" w:lineRule="exact"/>
        <w:rPr>
          <w:sz w:val="20"/>
          <w:szCs w:val="20"/>
          <w:color w:val="auto"/>
        </w:rPr>
      </w:pPr>
    </w:p>
    <w:p>
      <w:pPr>
        <w:ind w:right="4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mutual covenants and agreements hereinafter set forth,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agree as follows:</w:t>
      </w:r>
    </w:p>
    <w:p>
      <w:pPr>
        <w:spacing w:after="0" w:line="177" w:lineRule="exact"/>
        <w:rPr>
          <w:sz w:val="20"/>
          <w:szCs w:val="20"/>
          <w:color w:val="auto"/>
        </w:rPr>
      </w:pPr>
    </w:p>
    <w:p>
      <w:pPr>
        <w:ind w:right="16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b w:val="1"/>
          <w:bCs w:val="1"/>
          <w:u w:val="single" w:color="auto"/>
          <w:color w:val="auto"/>
        </w:rPr>
        <w:t>Resignation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hereby resigns as the Chief Financial Officer of the Company, effective January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12, 2024 (the “Termination Date”).</w:t>
      </w:r>
    </w:p>
    <w:p>
      <w:pPr>
        <w:spacing w:after="0" w:line="177"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Section 2. </w:t>
      </w:r>
      <w:r>
        <w:rPr>
          <w:rFonts w:ascii="Times New Roman" w:cs="Times New Roman" w:eastAsia="Times New Roman" w:hAnsi="Times New Roman"/>
          <w:sz w:val="21"/>
          <w:szCs w:val="21"/>
          <w:b w:val="1"/>
          <w:bCs w:val="1"/>
          <w:u w:val="single" w:color="auto"/>
          <w:color w:val="auto"/>
        </w:rPr>
        <w:t>Services.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Consultant agrees to provide consulting services to Company as an advisor to the Chief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Executive Officer and the interim Chief Financial Officer on various matters as they may arise, including, but not limited to, accounting, financing opportunities and strategy, business development, intellectual property, investor relations and corporate communications (the </w:t>
      </w:r>
      <w:r>
        <w:rPr>
          <w:rFonts w:ascii="Times New Roman" w:cs="Times New Roman" w:eastAsia="Times New Roman" w:hAnsi="Times New Roman"/>
          <w:sz w:val="21"/>
          <w:szCs w:val="21"/>
          <w:b w:val="1"/>
          <w:bCs w:val="1"/>
          <w:color w:val="auto"/>
        </w:rPr>
        <w:t>“Services”</w:t>
      </w:r>
      <w:r>
        <w:rPr>
          <w:rFonts w:ascii="Times New Roman" w:cs="Times New Roman" w:eastAsia="Times New Roman" w:hAnsi="Times New Roman"/>
          <w:sz w:val="21"/>
          <w:szCs w:val="21"/>
          <w:color w:val="auto"/>
        </w:rPr>
        <w:t>). Consultant hereby agrees that the Services shall be provided as directed by the Chief Executive Officer or the interim Chief Financial Officer and at such times and at such places as shall reasonably be requested, and in accordance with the highest prevailing industry standards and practices for the performance of similar services.</w:t>
      </w:r>
    </w:p>
    <w:p>
      <w:pPr>
        <w:spacing w:after="0" w:line="192" w:lineRule="exact"/>
        <w:rPr>
          <w:sz w:val="20"/>
          <w:szCs w:val="20"/>
          <w:color w:val="auto"/>
        </w:rPr>
      </w:pPr>
    </w:p>
    <w:p>
      <w:pPr>
        <w:ind w:right="2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Term of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retention of the Consultant by the Company as provided in Section 2 above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be for a period of up to twelve (12) months from January 12, 2024, unless sooner terminated in accordance herewith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This Agreement may be extended by mutual written agreement of the Company and the Consultant.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the Consultant may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605155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60" w:top="1404" w:right="519" w:bottom="1440" w:gutter="0" w:footer="0" w:header="0"/>
        </w:sectPr>
      </w:pPr>
    </w:p>
    <w:bookmarkStart w:id="146" w:name="page147"/>
    <w:bookmarkEnd w:id="146"/>
    <w:p>
      <w:pPr>
        <w:spacing w:after="0" w:line="258" w:lineRule="auto"/>
        <w:rPr>
          <w:sz w:val="20"/>
          <w:szCs w:val="20"/>
          <w:color w:val="auto"/>
        </w:rPr>
      </w:pPr>
      <w:r>
        <w:rPr>
          <w:rFonts w:ascii="Times New Roman" w:cs="Times New Roman" w:eastAsia="Times New Roman" w:hAnsi="Times New Roman"/>
          <w:sz w:val="22"/>
          <w:szCs w:val="22"/>
          <w:color w:val="auto"/>
        </w:rPr>
        <w:t>this Agreement for any reason upon thirty (30) days prior written notice. Sections 1, 6, 7, 8, 9 and 10 shall survive the expiration or termination of this Agreement.</w:t>
      </w:r>
    </w:p>
    <w:p>
      <w:pPr>
        <w:spacing w:after="0" w:line="16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618490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460" w:top="1259" w:right="1259" w:bottom="1440" w:gutter="0" w:footer="0" w:header="0"/>
        </w:sectPr>
      </w:pPr>
    </w:p>
    <w:bookmarkStart w:id="147" w:name="page148"/>
    <w:bookmarkEnd w:id="147"/>
    <w:p>
      <w:pPr>
        <w:ind w:left="140" w:right="28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full compensation for the performance by consultant of his duties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Company shall allow Consultant’s existing stock options to continue to vest through March 31, 2024. Any then-vested stock options as of March 31, 2024, or as of any earlier date if this Agreement is terminated prior to March 31, 2024, shall then remain exercisable for the Term of the Agreement (the “Fee”).</w:t>
      </w:r>
    </w:p>
    <w:p>
      <w:pPr>
        <w:spacing w:after="0" w:line="280" w:lineRule="exact"/>
        <w:rPr>
          <w:sz w:val="20"/>
          <w:szCs w:val="20"/>
          <w:color w:val="auto"/>
        </w:rPr>
      </w:pPr>
    </w:p>
    <w:p>
      <w:pPr>
        <w:ind w:left="140" w:right="180" w:firstLine="831"/>
        <w:spacing w:after="0" w:line="246" w:lineRule="auto"/>
        <w:rPr>
          <w:sz w:val="20"/>
          <w:szCs w:val="20"/>
          <w:color w:val="auto"/>
        </w:rPr>
      </w:pP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color w:val="auto"/>
        </w:rPr>
        <w:t>. The Company shall reimburse the consultant for all reasonable and necessary 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incurred by consultant in connection with the Services provided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expenses in excess of $250 are pre-approved in writing by the Company.</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Section 6. </w:t>
      </w:r>
      <w:r>
        <w:rPr>
          <w:rFonts w:ascii="Times New Roman" w:cs="Times New Roman" w:eastAsia="Times New Roman" w:hAnsi="Times New Roman"/>
          <w:sz w:val="22"/>
          <w:szCs w:val="22"/>
          <w:b w:val="1"/>
          <w:bCs w:val="1"/>
          <w:u w:val="single" w:color="auto"/>
          <w:color w:val="auto"/>
        </w:rPr>
        <w:t>Confidential Information and Inventions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left="120" w:firstLine="734"/>
        <w:spacing w:after="0" w:line="243" w:lineRule="auto"/>
        <w:rPr>
          <w:sz w:val="20"/>
          <w:szCs w:val="20"/>
          <w:color w:val="auto"/>
        </w:rPr>
      </w:pPr>
      <w:r>
        <w:rPr>
          <w:rFonts w:ascii="Times New Roman" w:cs="Times New Roman" w:eastAsia="Times New Roman" w:hAnsi="Times New Roman"/>
          <w:sz w:val="21"/>
          <w:szCs w:val="21"/>
          <w:color w:val="auto"/>
        </w:rPr>
        <w:t>(a)Consultant recognizes and acknowledges that in the course of his duties Consultant is likely to receive confidential or proprietary information owned by the Company, its affiliates or third parties with whom the Company or any such affiliates has an obligation of confidentiality. Accordingly, during and after the Term, Consultant shall use his best efforts to protect the confidentiality of the Confidential and Proprietary Information and agrees to keep confidential and not disclose or make accessible to any other person or use for any other purpose other than in connection with the fulfillment of his/her duties under this Agreement, any Confidential and Proprietary Information (as defined below) owned by, or received by or on behalf of, the Company or any of its affiliates. “Confidential and Proprietary Information” shall include, but shall not be limited to, confidential or proprietary scientific or technical information, data, formulas and related concepts, business plans (both current and under development), client lists, promotion and marketing programs, trade secrets, or any other confidential or proprietary business information relating to development programs, costs, revenues, marketing, investments, sales activities, promotions, credit and financial data, manufacturing processes, financing methods, plans or the business and affairs of the Company or of any affiliate or client of the Company. Consultant expressly acknowledges the trade secret status of the Confidential and Proprietary Information and that the Confidential and Proprietary Information constitutes a protectable business interest of the Company. Consultant agrees: (i) not to use any such Confidential and Proprietary Information for himself or others; and (ii) not to take any Company material or reproductions (including but not limited to writings, correspondence, notes, drafts, records, invoices, technical and business policies, computer programs or disks) thereof from the Company’s offices at any time during the Term, except as required in the execution of Consultant’s duties to the Company. Consultant agrees to return immediately all Company material and reproductions (including but not limited, to writings, correspondence, notes, drafts, records, invoices, technical and business policies, computer programs or disks) thereof in his possession to the Company upon request and in any event immediately upon termination or expiration of the Term.</w:t>
      </w:r>
    </w:p>
    <w:p>
      <w:pPr>
        <w:spacing w:after="0" w:line="226" w:lineRule="exact"/>
        <w:rPr>
          <w:sz w:val="20"/>
          <w:szCs w:val="20"/>
          <w:color w:val="auto"/>
        </w:rPr>
      </w:pPr>
    </w:p>
    <w:p>
      <w:pPr>
        <w:jc w:val="both"/>
        <w:ind w:left="120" w:right="120" w:firstLine="734"/>
        <w:spacing w:after="0" w:line="244" w:lineRule="auto"/>
        <w:rPr>
          <w:sz w:val="20"/>
          <w:szCs w:val="20"/>
          <w:color w:val="auto"/>
        </w:rPr>
      </w:pPr>
      <w:r>
        <w:rPr>
          <w:rFonts w:ascii="Times New Roman" w:cs="Times New Roman" w:eastAsia="Times New Roman" w:hAnsi="Times New Roman"/>
          <w:sz w:val="22"/>
          <w:szCs w:val="22"/>
          <w:color w:val="auto"/>
        </w:rPr>
        <w:t>(b)Except with prior written authorization by the Company, Consultant agrees not to disclose or publish any of the Confidential and Proprietary Information, or any confidential, scientific, technical or business information of any other party to whom the Company or any of its affiliates owes an obligation of confidence, at any time during or after the Term.</w:t>
      </w:r>
    </w:p>
    <w:p>
      <w:pPr>
        <w:spacing w:after="0" w:line="268" w:lineRule="exact"/>
        <w:rPr>
          <w:sz w:val="20"/>
          <w:szCs w:val="20"/>
          <w:color w:val="auto"/>
        </w:rPr>
      </w:pPr>
    </w:p>
    <w:p>
      <w:pPr>
        <w:ind w:left="1720" w:hanging="843"/>
        <w:spacing w:after="0"/>
        <w:tabs>
          <w:tab w:leader="none" w:pos="17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agrees that all inventions, discoveries, improvements and patentable</w:t>
      </w:r>
    </w:p>
    <w:p>
      <w:pPr>
        <w:spacing w:after="0" w:line="71" w:lineRule="exact"/>
        <w:rPr>
          <w:sz w:val="20"/>
          <w:szCs w:val="20"/>
          <w:color w:val="auto"/>
        </w:rPr>
      </w:pPr>
    </w:p>
    <w:p>
      <w:pPr>
        <w:jc w:val="both"/>
        <w:ind w:right="620"/>
        <w:spacing w:after="0" w:line="244" w:lineRule="auto"/>
        <w:rPr>
          <w:sz w:val="20"/>
          <w:szCs w:val="20"/>
          <w:color w:val="auto"/>
        </w:rPr>
      </w:pPr>
      <w:r>
        <w:rPr>
          <w:rFonts w:ascii="Times New Roman" w:cs="Times New Roman" w:eastAsia="Times New Roman" w:hAnsi="Times New Roman"/>
          <w:sz w:val="22"/>
          <w:szCs w:val="22"/>
          <w:color w:val="auto"/>
        </w:rPr>
        <w:t>or copyrightable works (“Inventions”) initiated, conceived or made by him, either alone or in conjunction with others, in connection with or as a result of performance of Services by Consultant during the Term shall be the sole property of the Company to the maximum extent permitted by</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55" w:right="539" w:bottom="1440" w:gutter="0" w:footer="0" w:header="0"/>
        </w:sectPr>
      </w:pPr>
    </w:p>
    <w:bookmarkStart w:id="148" w:name="page149"/>
    <w:bookmarkEnd w:id="148"/>
    <w:p>
      <w:pPr>
        <w:spacing w:after="0" w:line="236" w:lineRule="auto"/>
        <w:rPr>
          <w:sz w:val="20"/>
          <w:szCs w:val="20"/>
          <w:color w:val="auto"/>
        </w:rPr>
      </w:pPr>
      <w:r>
        <w:rPr>
          <w:rFonts w:ascii="Times New Roman" w:cs="Times New Roman" w:eastAsia="Times New Roman" w:hAnsi="Times New Roman"/>
          <w:sz w:val="22"/>
          <w:szCs w:val="22"/>
          <w:color w:val="auto"/>
        </w:rPr>
        <w:t>applicable law and, to the extent permitted by law, shall be “works made for hire” as that term is defined in the United States Copyright Act (17 U.S.C.A., Section 101). The Company shall be the sole owner of all patents, copyrights, trade secret rights, and other intellectual property or other rights in connection therewith. Consultant hereby assigns to the Company all right, title and interest he may have or acquire in all such Inventions. Consultant further agrees to assist the Company in every proper way (but at the Company’s expense) to obtain and from time to time enforce patents, copyrights or other rights on such Inventions in any and all countries, and to that end Consultant will execute all documents necessary:</w:t>
      </w:r>
    </w:p>
    <w:p>
      <w:pPr>
        <w:spacing w:after="0" w:line="208" w:lineRule="exact"/>
        <w:rPr>
          <w:sz w:val="20"/>
          <w:szCs w:val="20"/>
          <w:color w:val="auto"/>
        </w:rPr>
      </w:pPr>
    </w:p>
    <w:p>
      <w:pPr>
        <w:ind w:left="120" w:right="320" w:firstLine="2628"/>
        <w:spacing w:after="0" w:line="238" w:lineRule="auto"/>
        <w:tabs>
          <w:tab w:leader="none" w:pos="305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apply for, obtain and vest in the name of the Company alone (unless the Company otherwise directs) letters patent, copyrights or other analogous protection in any country throughout the world and when so obtained or vested to renew and restore the same; and</w:t>
      </w:r>
    </w:p>
    <w:p>
      <w:pPr>
        <w:ind w:left="120" w:right="420" w:firstLine="2628"/>
        <w:spacing w:after="0" w:line="258" w:lineRule="auto"/>
        <w:tabs>
          <w:tab w:leader="none" w:pos="3043"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defend any opposition proceedings in respect of such applications and any opposition proceedings or petitions or applications for revocation of such letters patent, copyright or other analogous protection.</w:t>
      </w:r>
    </w:p>
    <w:p>
      <w:pPr>
        <w:spacing w:after="0" w:line="213" w:lineRule="exact"/>
        <w:rPr>
          <w:sz w:val="20"/>
          <w:szCs w:val="20"/>
          <w:color w:val="auto"/>
        </w:rPr>
      </w:pPr>
    </w:p>
    <w:p>
      <w:pPr>
        <w:ind w:left="120" w:right="20" w:firstLine="734"/>
        <w:spacing w:after="0" w:line="234" w:lineRule="auto"/>
        <w:rPr>
          <w:sz w:val="20"/>
          <w:szCs w:val="20"/>
          <w:color w:val="auto"/>
        </w:rPr>
      </w:pPr>
      <w:r>
        <w:rPr>
          <w:rFonts w:ascii="Times New Roman" w:cs="Times New Roman" w:eastAsia="Times New Roman" w:hAnsi="Times New Roman"/>
          <w:sz w:val="22"/>
          <w:szCs w:val="22"/>
          <w:color w:val="auto"/>
        </w:rPr>
        <w:t xml:space="preserve">(d)Consultant acknowledges that while performing the Services under this Agreement Consultant may locate, identify and/or evaluate patented or patentable inventions having commercial potential in the fields of pharmacy, pharmaceutical, biotechnology, healthcare, technology and other fields which may be of potential interest to the Company or one of its affiliates (the </w:t>
      </w:r>
      <w:r>
        <w:rPr>
          <w:rFonts w:ascii="Times New Roman" w:cs="Times New Roman" w:eastAsia="Times New Roman" w:hAnsi="Times New Roman"/>
          <w:sz w:val="22"/>
          <w:szCs w:val="22"/>
          <w:b w:val="1"/>
          <w:bCs w:val="1"/>
          <w:color w:val="auto"/>
        </w:rPr>
        <w:t>“Third Party Inventions”</w:t>
      </w:r>
      <w:r>
        <w:rPr>
          <w:rFonts w:ascii="Times New Roman" w:cs="Times New Roman" w:eastAsia="Times New Roman" w:hAnsi="Times New Roman"/>
          <w:sz w:val="22"/>
          <w:szCs w:val="22"/>
          <w:color w:val="auto"/>
        </w:rPr>
        <w:t>). Consultant understands, acknowledges and agrees that all rights to, interests in or opportunities regarding, all Third-Party Inventions identified by the Company, any of its affiliates or either of the foregoing persons’ officers, directors, employees, agents or consultants (including the Consultant) during the Term shall be and remain the sole and exclusive property of the Company or such affiliate and Consultant shall have no rights whatsoever to such Third-Party Inventions and will not pursue for himself or for others any transaction relating to the Third-Party Inventions which is not on behalf of the Company.</w:t>
      </w:r>
    </w:p>
    <w:p>
      <w:pPr>
        <w:spacing w:after="0" w:line="278" w:lineRule="exact"/>
        <w:rPr>
          <w:sz w:val="20"/>
          <w:szCs w:val="20"/>
          <w:color w:val="auto"/>
        </w:rPr>
      </w:pPr>
    </w:p>
    <w:p>
      <w:pPr>
        <w:jc w:val="both"/>
        <w:ind w:left="120" w:right="340" w:firstLine="734"/>
        <w:spacing w:after="0" w:line="244" w:lineRule="auto"/>
        <w:rPr>
          <w:sz w:val="20"/>
          <w:szCs w:val="20"/>
          <w:color w:val="auto"/>
        </w:rPr>
      </w:pPr>
      <w:r>
        <w:rPr>
          <w:rFonts w:ascii="Times New Roman" w:cs="Times New Roman" w:eastAsia="Times New Roman" w:hAnsi="Times New Roman"/>
          <w:sz w:val="22"/>
          <w:szCs w:val="22"/>
          <w:color w:val="auto"/>
        </w:rPr>
        <w:t>(e)Consultant agrees that he will promptly disclose to the Company, or any persons designated by the Company, all improvements and Inventions made or conceived or reduced to practice or learned by him, either alone or jointly with others, during the Term.</w:t>
      </w:r>
    </w:p>
    <w:p>
      <w:pPr>
        <w:spacing w:after="0" w:line="214" w:lineRule="exact"/>
        <w:rPr>
          <w:sz w:val="20"/>
          <w:szCs w:val="20"/>
          <w:color w:val="auto"/>
        </w:rPr>
      </w:pPr>
    </w:p>
    <w:p>
      <w:pPr>
        <w:jc w:val="both"/>
        <w:ind w:left="120" w:right="460" w:firstLine="734"/>
        <w:spacing w:after="0" w:line="238" w:lineRule="auto"/>
        <w:rPr>
          <w:sz w:val="20"/>
          <w:szCs w:val="20"/>
          <w:color w:val="auto"/>
        </w:rPr>
      </w:pPr>
      <w:r>
        <w:rPr>
          <w:rFonts w:ascii="Times New Roman" w:cs="Times New Roman" w:eastAsia="Times New Roman" w:hAnsi="Times New Roman"/>
          <w:sz w:val="22"/>
          <w:szCs w:val="22"/>
          <w:color w:val="auto"/>
        </w:rPr>
        <w:t>(f)Consultant agrees that the Company shall be entitled to enjoin any breach of the confidentiality and other obligations hereunder without having to post a bond in addition to all other remedies it may have under applicable law. Consultant will notify the Company in writing immediately upon the occurrence of any unauthorized release of any Confidential and Proprietary Information or other breach of any of the obligations under this Section 5 of which it is or becomes aware.</w:t>
      </w:r>
    </w:p>
    <w:p>
      <w:pPr>
        <w:spacing w:after="0" w:line="213" w:lineRule="exact"/>
        <w:rPr>
          <w:sz w:val="20"/>
          <w:szCs w:val="20"/>
          <w:color w:val="auto"/>
        </w:rPr>
      </w:pPr>
    </w:p>
    <w:p>
      <w:pPr>
        <w:ind w:left="140" w:right="80" w:firstLine="73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7. </w:t>
      </w:r>
      <w:r>
        <w:rPr>
          <w:rFonts w:ascii="Times New Roman" w:cs="Times New Roman" w:eastAsia="Times New Roman" w:hAnsi="Times New Roman"/>
          <w:sz w:val="22"/>
          <w:szCs w:val="22"/>
          <w:b w:val="1"/>
          <w:bCs w:val="1"/>
          <w:u w:val="single" w:color="auto"/>
          <w:color w:val="auto"/>
        </w:rPr>
        <w:t>Insider Trading.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recognizes that in the course of his duties hereunder, Consultant may receive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from the Company or others information that may be considered "material, nonpublic information" that is subject to the reporting requirements of the Securities and Exchange Act of 1934, as amended. Consultant agrees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to: (a) purchase or sell, directly or indirectly, any securities of any company while in possession of relevant material, nonpublic information relating to such company received from the Company or others in connection herewith; (b) provide Company with information with respect to any public company that may be considered material, nonpublic information; or (c) communicate any material, nonpublic information to any other person in which it is reasonably foreseeable that such person is likely to (i) purchase or sell securities of any company (including the Company) with respect to which such information relates, or (ii) otherwise directly or</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40" w:right="499" w:bottom="1440" w:gutter="0" w:footer="0" w:header="0"/>
        </w:sectPr>
      </w:pPr>
    </w:p>
    <w:bookmarkStart w:id="149" w:name="page150"/>
    <w:bookmarkEnd w:id="149"/>
    <w:p>
      <w:pPr>
        <w:ind w:left="80" w:right="60"/>
        <w:spacing w:after="0" w:line="239" w:lineRule="auto"/>
        <w:rPr>
          <w:sz w:val="20"/>
          <w:szCs w:val="20"/>
          <w:color w:val="auto"/>
        </w:rPr>
      </w:pPr>
      <w:r>
        <w:rPr>
          <w:rFonts w:ascii="Times New Roman" w:cs="Times New Roman" w:eastAsia="Times New Roman" w:hAnsi="Times New Roman"/>
          <w:sz w:val="22"/>
          <w:szCs w:val="22"/>
          <w:color w:val="auto"/>
        </w:rPr>
        <w:t>indirectly benefit from such information. Without limiting any of the confidentiality and insider trading obligations included in this Agreement, Consultant shall not discuss any information concerning Company obtained by Consultant in the course of performing the Services with any financial, securities or industry analyst or with the media without the written agreement of Company.</w:t>
      </w:r>
    </w:p>
    <w:p>
      <w:pPr>
        <w:spacing w:after="0" w:line="217" w:lineRule="exact"/>
        <w:rPr>
          <w:sz w:val="20"/>
          <w:szCs w:val="20"/>
          <w:color w:val="auto"/>
        </w:rPr>
      </w:pPr>
    </w:p>
    <w:p>
      <w:pPr>
        <w:ind w:left="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8. </w:t>
      </w:r>
      <w:r>
        <w:rPr>
          <w:rFonts w:ascii="Times New Roman" w:cs="Times New Roman" w:eastAsia="Times New Roman" w:hAnsi="Times New Roman"/>
          <w:sz w:val="22"/>
          <w:szCs w:val="22"/>
          <w:b w:val="1"/>
          <w:bCs w:val="1"/>
          <w:u w:val="single" w:color="auto"/>
          <w:color w:val="auto"/>
        </w:rPr>
        <w:t>Representations, Warranties and Covenants of Consultant.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Consultant hereby represents, warrants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covenants to the Company as follows:</w:t>
      </w:r>
    </w:p>
    <w:p>
      <w:pPr>
        <w:spacing w:after="0" w:line="208" w:lineRule="exact"/>
        <w:rPr>
          <w:sz w:val="20"/>
          <w:szCs w:val="20"/>
          <w:color w:val="auto"/>
        </w:rPr>
      </w:pPr>
    </w:p>
    <w:p>
      <w:pPr>
        <w:ind w:left="60" w:right="240" w:firstLine="749"/>
        <w:spacing w:after="0" w:line="255" w:lineRule="auto"/>
        <w:rPr>
          <w:sz w:val="20"/>
          <w:szCs w:val="20"/>
          <w:color w:val="auto"/>
        </w:rPr>
      </w:pPr>
      <w:r>
        <w:rPr>
          <w:rFonts w:ascii="Times New Roman" w:cs="Times New Roman" w:eastAsia="Times New Roman" w:hAnsi="Times New Roman"/>
          <w:sz w:val="21"/>
          <w:szCs w:val="21"/>
          <w:color w:val="auto"/>
        </w:rPr>
        <w:t>(a)Neither the execution or delivery of this Agreement nor the performance by Consultant of his duties and other obligations hereunder violate or will violate any statute, law, determination or award, or conflict with or constitute a default or breach of any covenant or obligation under (whether immediately, upon the giving of notice or lapse of time or both) any prior employment agreement, contract, or other instrument to which Consultant is a party or by which he is bound.</w:t>
      </w:r>
    </w:p>
    <w:p>
      <w:pPr>
        <w:spacing w:after="0" w:line="189" w:lineRule="exact"/>
        <w:rPr>
          <w:sz w:val="20"/>
          <w:szCs w:val="20"/>
          <w:color w:val="auto"/>
        </w:rPr>
      </w:pPr>
    </w:p>
    <w:p>
      <w:pPr>
        <w:ind w:left="60" w:right="280" w:firstLine="749"/>
        <w:spacing w:after="0" w:line="238" w:lineRule="auto"/>
        <w:rPr>
          <w:sz w:val="20"/>
          <w:szCs w:val="20"/>
          <w:color w:val="auto"/>
        </w:rPr>
      </w:pPr>
      <w:r>
        <w:rPr>
          <w:rFonts w:ascii="Times New Roman" w:cs="Times New Roman" w:eastAsia="Times New Roman" w:hAnsi="Times New Roman"/>
          <w:sz w:val="22"/>
          <w:szCs w:val="22"/>
          <w:color w:val="auto"/>
        </w:rPr>
        <w:t>(b)Consultant has the full right, power and legal capacity to enter and deliver this Agreement, as applicable, and to perform his duties and other obligations hereunder. This Agreement constitutes the legal, valid and binding obligation of Consultant enforceable against him in accordance with its terms. No approvals or consents of any persons or entities are required for Consultant to execute and deliver this Agreement, as applicable, or perform his duties and other obligations hereunder.</w:t>
      </w:r>
    </w:p>
    <w:p>
      <w:pPr>
        <w:spacing w:after="0" w:line="204" w:lineRule="exact"/>
        <w:rPr>
          <w:sz w:val="20"/>
          <w:szCs w:val="20"/>
          <w:color w:val="auto"/>
        </w:rPr>
      </w:pPr>
    </w:p>
    <w:p>
      <w:pPr>
        <w:ind w:left="60" w:right="160" w:firstLine="749"/>
        <w:spacing w:after="0" w:line="238" w:lineRule="auto"/>
        <w:rPr>
          <w:sz w:val="20"/>
          <w:szCs w:val="20"/>
          <w:color w:val="auto"/>
        </w:rPr>
      </w:pPr>
      <w:r>
        <w:rPr>
          <w:rFonts w:ascii="Times New Roman" w:cs="Times New Roman" w:eastAsia="Times New Roman" w:hAnsi="Times New Roman"/>
          <w:sz w:val="22"/>
          <w:szCs w:val="22"/>
          <w:color w:val="auto"/>
        </w:rPr>
        <w:t>(c)Consultant represents that his performance of all the terms of this Agreement will not breach any agreement to keep in confidence any confidential information or trade secrets acquired by Consultant from any third party, and Consultant agrees not to use any confidential information or trade secrets of any third party in connection with the provision of the Services in violation of the agreements under which he had access to or knowledge of such confidential information or trade secrets.</w:t>
      </w:r>
    </w:p>
    <w:p>
      <w:pPr>
        <w:spacing w:after="0" w:line="204" w:lineRule="exact"/>
        <w:rPr>
          <w:sz w:val="20"/>
          <w:szCs w:val="20"/>
          <w:color w:val="auto"/>
        </w:rPr>
      </w:pPr>
    </w:p>
    <w:p>
      <w:pPr>
        <w:ind w:left="60" w:right="20" w:firstLine="734"/>
        <w:spacing w:after="0" w:line="247" w:lineRule="auto"/>
        <w:rPr>
          <w:sz w:val="20"/>
          <w:szCs w:val="20"/>
          <w:color w:val="auto"/>
        </w:rPr>
      </w:pPr>
      <w:r>
        <w:rPr>
          <w:rFonts w:ascii="Times New Roman" w:cs="Times New Roman" w:eastAsia="Times New Roman" w:hAnsi="Times New Roman"/>
          <w:sz w:val="21"/>
          <w:szCs w:val="21"/>
          <w:color w:val="auto"/>
        </w:rPr>
        <w:t xml:space="preserve">(d)Consultant hereby represents that he (i) has not been debarred and (ii) to the best of Consultant’s knowledge, is not under consideration to be disbarred by the Food and Drug Administration (the </w:t>
      </w:r>
      <w:r>
        <w:rPr>
          <w:rFonts w:ascii="Times New Roman" w:cs="Times New Roman" w:eastAsia="Times New Roman" w:hAnsi="Times New Roman"/>
          <w:sz w:val="21"/>
          <w:szCs w:val="21"/>
          <w:b w:val="1"/>
          <w:bCs w:val="1"/>
          <w:color w:val="auto"/>
        </w:rPr>
        <w:t>“FDA”</w:t>
      </w:r>
      <w:r>
        <w:rPr>
          <w:rFonts w:ascii="Times New Roman" w:cs="Times New Roman" w:eastAsia="Times New Roman" w:hAnsi="Times New Roman"/>
          <w:sz w:val="21"/>
          <w:szCs w:val="21"/>
          <w:color w:val="auto"/>
        </w:rPr>
        <w:t>) from working in or providing services to any pharmaceutical or biotechnology company under the Generic Drug Enforcement Act of 1992. Consultant shall notify the Company immediately if, during the Term, Consultant comes under investigation by the FDA for debarment or disqualification or is debarred or disqualified. Consultant shall notify the Company immediately if the FDA or any other regulatory authority requests permission to or does inspect Consultant's records in connection with the Services provided under this Agreement, and Consultant will deliver to the Company promptly all materials, correspondence, statements, forms, and records which Consultant receives, obtains or generates pursuant to any such inspection.</w:t>
      </w:r>
    </w:p>
    <w:p>
      <w:pPr>
        <w:spacing w:after="0" w:line="212" w:lineRule="exact"/>
        <w:rPr>
          <w:sz w:val="20"/>
          <w:szCs w:val="20"/>
          <w:color w:val="auto"/>
        </w:rPr>
      </w:pPr>
    </w:p>
    <w:p>
      <w:pPr>
        <w:ind w:left="60" w:right="580" w:firstLine="734"/>
        <w:spacing w:after="0" w:line="244" w:lineRule="auto"/>
        <w:rPr>
          <w:sz w:val="20"/>
          <w:szCs w:val="20"/>
          <w:color w:val="auto"/>
        </w:rPr>
      </w:pPr>
      <w:r>
        <w:rPr>
          <w:rFonts w:ascii="Times New Roman" w:cs="Times New Roman" w:eastAsia="Times New Roman" w:hAnsi="Times New Roman"/>
          <w:sz w:val="22"/>
          <w:szCs w:val="22"/>
          <w:color w:val="auto"/>
        </w:rPr>
        <w:t>(e)Consultant will not use any confidential information or trade secrets of any third party in his employment by Company in violation of the terms of the agreements under which he had access to or knowledge of such confidential information or trade secrets.</w:t>
      </w:r>
    </w:p>
    <w:p>
      <w:pPr>
        <w:spacing w:after="0" w:line="200" w:lineRule="exact"/>
        <w:rPr>
          <w:sz w:val="20"/>
          <w:szCs w:val="20"/>
          <w:color w:val="auto"/>
        </w:rPr>
      </w:pPr>
    </w:p>
    <w:p>
      <w:pPr>
        <w:ind w:left="60" w:right="120" w:firstLine="734"/>
        <w:spacing w:after="0" w:line="255" w:lineRule="auto"/>
        <w:rPr>
          <w:sz w:val="20"/>
          <w:szCs w:val="20"/>
          <w:color w:val="auto"/>
        </w:rPr>
      </w:pPr>
      <w:r>
        <w:rPr>
          <w:rFonts w:ascii="Times New Roman" w:cs="Times New Roman" w:eastAsia="Times New Roman" w:hAnsi="Times New Roman"/>
          <w:sz w:val="21"/>
          <w:szCs w:val="21"/>
          <w:color w:val="auto"/>
        </w:rPr>
        <w:t>(f)During the Term of this Agreement and for a period of one-year thereafter, if Consultant uses, recommends, or comments upon the attributes of any Company product or service in connection with the treatment of a patient, a scientific or educational presentation or publication, a media interview, or any other third-party communication or interaction, Consultant shall disclose that Consultant is or has been a paid consultant of Company and the fact of any other of Consultant’s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521335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80" w:top="1259" w:right="519" w:bottom="1440" w:gutter="0" w:footer="0" w:header="0"/>
        </w:sectPr>
      </w:pPr>
    </w:p>
    <w:bookmarkStart w:id="150" w:name="page151"/>
    <w:bookmarkEnd w:id="150"/>
    <w:p>
      <w:pPr>
        <w:ind w:left="60"/>
        <w:spacing w:after="0"/>
        <w:rPr>
          <w:sz w:val="20"/>
          <w:szCs w:val="20"/>
          <w:color w:val="auto"/>
        </w:rPr>
      </w:pPr>
      <w:r>
        <w:rPr>
          <w:rFonts w:ascii="Times New Roman" w:cs="Times New Roman" w:eastAsia="Times New Roman" w:hAnsi="Times New Roman"/>
          <w:sz w:val="22"/>
          <w:szCs w:val="22"/>
          <w:color w:val="auto"/>
        </w:rPr>
        <w:t>financial relationships with Company.</w:t>
      </w:r>
    </w:p>
    <w:p>
      <w:pPr>
        <w:spacing w:after="0" w:line="202" w:lineRule="exact"/>
        <w:rPr>
          <w:sz w:val="20"/>
          <w:szCs w:val="20"/>
          <w:color w:val="auto"/>
        </w:rPr>
      </w:pPr>
    </w:p>
    <w:p>
      <w:pPr>
        <w:ind w:left="80" w:firstLine="746"/>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Section 9. </w:t>
      </w:r>
      <w:r>
        <w:rPr>
          <w:rFonts w:ascii="Times New Roman" w:cs="Times New Roman" w:eastAsia="Times New Roman" w:hAnsi="Times New Roman"/>
          <w:sz w:val="22"/>
          <w:szCs w:val="22"/>
          <w:b w:val="1"/>
          <w:bCs w:val="1"/>
          <w:u w:val="single" w:color="auto"/>
          <w:color w:val="auto"/>
        </w:rPr>
        <w:t>Consultant not an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Consultant hereby acknowledge and agree that Consultant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perform the services hereunder as an independent contractor and not as an employee or agent of Company or any Company affiliate. Consultant will be solely responsible for all taxes, withholding and other similar statutory obligations. Consultant shall not represent that he is an employee of Company or any Company affiliate under any circumstance. In addition, nothing in this Agreement shall be construed as establishing any joint venture, partnership or other business relationship between the parties hereto or representing any commitment by either party to enter into any other agreement by implication or otherwise except as specifically stated herein. Consultant shall not have any authority, express or implied, to bind Company or any Company affiliate to any agreement, contract, or other commitment. Consultant further understands and agrees that this Agreement is entered into by Company on a non-exclusive basis and that Company and its affiliates remain free to deal with others and retain other consultants, employees, brokers, finders and other agents in the same or similar capacity as Consultant has been retained at any time at their own option.</w:t>
      </w:r>
    </w:p>
    <w:p>
      <w:pPr>
        <w:spacing w:after="0" w:line="2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color w:val="auto"/>
        </w:rPr>
        <w:t xml:space="preserve">Section 10. </w:t>
      </w:r>
      <w:r>
        <w:rPr>
          <w:rFonts w:ascii="Times New Roman" w:cs="Times New Roman" w:eastAsia="Times New Roman" w:hAnsi="Times New Roman"/>
          <w:sz w:val="22"/>
          <w:szCs w:val="22"/>
          <w:b w:val="1"/>
          <w:bCs w:val="1"/>
          <w:u w:val="single" w:color="auto"/>
          <w:color w:val="auto"/>
        </w:rPr>
        <w:t>Miscellaneous.</w:t>
      </w:r>
    </w:p>
    <w:p>
      <w:pPr>
        <w:spacing w:after="0" w:line="318" w:lineRule="exact"/>
        <w:rPr>
          <w:sz w:val="20"/>
          <w:szCs w:val="20"/>
          <w:color w:val="auto"/>
        </w:rPr>
      </w:pPr>
    </w:p>
    <w:p>
      <w:pPr>
        <w:ind w:left="60" w:right="980" w:firstLine="734"/>
        <w:spacing w:after="0" w:line="258" w:lineRule="auto"/>
        <w:rPr>
          <w:sz w:val="20"/>
          <w:szCs w:val="20"/>
          <w:color w:val="auto"/>
        </w:rPr>
      </w:pPr>
      <w:r>
        <w:rPr>
          <w:rFonts w:ascii="Times New Roman" w:cs="Times New Roman" w:eastAsia="Times New Roman" w:hAnsi="Times New Roman"/>
          <w:sz w:val="22"/>
          <w:szCs w:val="22"/>
          <w:color w:val="auto"/>
        </w:rPr>
        <w:t>(a)This Agreement shall be governed by, and construed and interpreted in accordance with, the laws of the Commonwealth of Massachusetts, without giving effect to its principles of conflicts of laws.</w:t>
      </w:r>
    </w:p>
    <w:p>
      <w:pPr>
        <w:spacing w:after="0" w:line="212" w:lineRule="exact"/>
        <w:rPr>
          <w:sz w:val="20"/>
          <w:szCs w:val="20"/>
          <w:color w:val="auto"/>
        </w:rPr>
      </w:pPr>
    </w:p>
    <w:p>
      <w:pPr>
        <w:ind w:left="60" w:right="100" w:firstLine="734"/>
        <w:spacing w:after="0" w:line="233" w:lineRule="auto"/>
        <w:rPr>
          <w:sz w:val="20"/>
          <w:szCs w:val="20"/>
          <w:color w:val="auto"/>
        </w:rPr>
      </w:pPr>
      <w:r>
        <w:rPr>
          <w:rFonts w:ascii="Times New Roman" w:cs="Times New Roman" w:eastAsia="Times New Roman" w:hAnsi="Times New Roman"/>
          <w:sz w:val="22"/>
          <w:szCs w:val="22"/>
          <w:color w:val="auto"/>
        </w:rPr>
        <w:t>(b)Any dispute arising out of, or relating to, this Agreement or the breach thereof (other than Section 6 hereof), or regarding the interpretation thereof, shall be finally settled by arbitration conducted in Boston, Massachusetts in accordance with the rules of the American Arbitration Association then in effect before a single arbitrator appointed in accordance with such rules. Judgment upon any award rendered therein may be entered and enforcement obtained thereon in any court having jurisdiction. The arbitrator shall have authority to grant any form of appropriate relief, whether legal or equitable in nature, including specific performance. For the purpose of any judicial proceeding to enforce such award or incidental to such arbitration or to compel arbitration and for purposes of Section 6 hereof, the parties hereby submit to the exclusive jurisdiction of the competent courts located in Boston, Massachusetts, and agree that service of process in such arbitration or court proceedings shall be satisfactorily made upon it if sent by registered mail addressed to it at the address referred to in paragraph (g) below. The costs of such arbitration shall be borne proportionate to the finding of fault as determined by the arbitrator. Judgment on the arbitration award may be entered by any court of competent jurisdiction.</w:t>
      </w:r>
    </w:p>
    <w:p>
      <w:pPr>
        <w:spacing w:after="0" w:line="228" w:lineRule="exact"/>
        <w:rPr>
          <w:sz w:val="20"/>
          <w:szCs w:val="20"/>
          <w:color w:val="auto"/>
        </w:rPr>
      </w:pPr>
    </w:p>
    <w:p>
      <w:pPr>
        <w:ind w:left="60" w:right="460" w:firstLine="734"/>
        <w:spacing w:after="0" w:line="258" w:lineRule="auto"/>
        <w:rPr>
          <w:sz w:val="20"/>
          <w:szCs w:val="20"/>
          <w:color w:val="auto"/>
        </w:rPr>
      </w:pPr>
      <w:r>
        <w:rPr>
          <w:rFonts w:ascii="Times New Roman" w:cs="Times New Roman" w:eastAsia="Times New Roman" w:hAnsi="Times New Roman"/>
          <w:sz w:val="22"/>
          <w:szCs w:val="22"/>
          <w:color w:val="auto"/>
        </w:rPr>
        <w:t>(c)This Agreement shall be binding upon and inure to the benefit of the parties hereto, and their respective heirs, legal representatives, successors and permitted assigns.</w:t>
      </w:r>
    </w:p>
    <w:p>
      <w:pPr>
        <w:spacing w:after="0" w:line="199" w:lineRule="exact"/>
        <w:rPr>
          <w:sz w:val="20"/>
          <w:szCs w:val="20"/>
          <w:color w:val="auto"/>
        </w:rPr>
      </w:pPr>
    </w:p>
    <w:p>
      <w:pPr>
        <w:jc w:val="both"/>
        <w:ind w:left="60" w:right="140" w:firstLine="734"/>
        <w:spacing w:after="0" w:line="244" w:lineRule="auto"/>
        <w:rPr>
          <w:sz w:val="20"/>
          <w:szCs w:val="20"/>
          <w:color w:val="auto"/>
        </w:rPr>
      </w:pPr>
      <w:r>
        <w:rPr>
          <w:rFonts w:ascii="Times New Roman" w:cs="Times New Roman" w:eastAsia="Times New Roman" w:hAnsi="Times New Roman"/>
          <w:sz w:val="22"/>
          <w:szCs w:val="22"/>
          <w:color w:val="auto"/>
        </w:rPr>
        <w:t>(d)This Agreement, and Consultant’s rights and obligations hereunder, may not be assigned, delegated or otherwise subcontracted by Consultant. The Company may assign its rights, together with its obligations, hereunder in connection with any sale, transfer or other disposition of all or substantially all of its business or assets.</w:t>
      </w:r>
    </w:p>
    <w:p>
      <w:pPr>
        <w:spacing w:after="0" w:line="200" w:lineRule="exact"/>
        <w:rPr>
          <w:sz w:val="20"/>
          <w:szCs w:val="20"/>
          <w:color w:val="auto"/>
        </w:rPr>
      </w:pPr>
    </w:p>
    <w:p>
      <w:pPr>
        <w:ind w:left="60" w:right="1600" w:firstLine="734"/>
        <w:spacing w:after="0" w:line="258" w:lineRule="auto"/>
        <w:rPr>
          <w:sz w:val="20"/>
          <w:szCs w:val="20"/>
          <w:color w:val="auto"/>
        </w:rPr>
      </w:pPr>
      <w:r>
        <w:rPr>
          <w:rFonts w:ascii="Times New Roman" w:cs="Times New Roman" w:eastAsia="Times New Roman" w:hAnsi="Times New Roman"/>
          <w:sz w:val="22"/>
          <w:szCs w:val="22"/>
          <w:color w:val="auto"/>
        </w:rPr>
        <w:t>(e)This Agreement cannot be amended orally, or by any course of conduct or dealing, but only by a written agreement signed by the parties hereto.</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521335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259" w:right="539" w:bottom="1440" w:gutter="0" w:footer="0" w:header="0"/>
        </w:sectPr>
      </w:pPr>
    </w:p>
    <w:bookmarkStart w:id="151" w:name="page152"/>
    <w:bookmarkEnd w:id="151"/>
    <w:p>
      <w:pPr>
        <w:ind w:left="60" w:right="260" w:firstLine="734"/>
        <w:spacing w:after="0" w:line="255" w:lineRule="auto"/>
        <w:rPr>
          <w:sz w:val="20"/>
          <w:szCs w:val="20"/>
          <w:color w:val="auto"/>
        </w:rPr>
      </w:pPr>
      <w:r>
        <w:rPr>
          <w:rFonts w:ascii="Times New Roman" w:cs="Times New Roman" w:eastAsia="Times New Roman" w:hAnsi="Times New Roman"/>
          <w:sz w:val="21"/>
          <w:szCs w:val="21"/>
          <w:color w:val="auto"/>
        </w:rPr>
        <w:t>(f)The failure of either party to insist upon the strict performance of any of the terms, conditions and provisions of this Agreement shall not be construed as a waiver or relinquishment of future compliance therewith, and such terms, conditions and provisions shall remain in full force and effect. No waiver of any term or condition of this Agreement on the part of either party shall be effective for any purpose whatsoever unless such waiver is in writing and signed by such party.</w:t>
      </w:r>
    </w:p>
    <w:p>
      <w:pPr>
        <w:spacing w:after="0" w:line="202" w:lineRule="exact"/>
        <w:rPr>
          <w:sz w:val="20"/>
          <w:szCs w:val="20"/>
          <w:color w:val="auto"/>
        </w:rPr>
      </w:pPr>
    </w:p>
    <w:p>
      <w:pPr>
        <w:ind w:left="60" w:firstLine="734"/>
        <w:spacing w:after="0" w:line="249" w:lineRule="auto"/>
        <w:rPr>
          <w:sz w:val="20"/>
          <w:szCs w:val="20"/>
          <w:color w:val="auto"/>
        </w:rPr>
      </w:pPr>
      <w:r>
        <w:rPr>
          <w:rFonts w:ascii="Times New Roman" w:cs="Times New Roman" w:eastAsia="Times New Roman" w:hAnsi="Times New Roman"/>
          <w:sz w:val="21"/>
          <w:szCs w:val="21"/>
          <w:color w:val="auto"/>
        </w:rPr>
        <w:t>(g)All notices, demands or other communications desired or required to be given by any party to any other party hereto shall be in writing and shall be deemed effectively given upon (i) personal delivery to the party to be notified, (ii) upon confirmation of receipt of telecopy or other electronic facsimile transmission, (iii) one business day after deposit with a reputable overnight courier, prepaid for priority overnight delivery, or (iv) five days after deposit with the United States Post Office, postage prepaid, in each case to such party at the address set forth above, or to such other addresses and to the attention of such other individuals as any party shall have designated to the other parties by notice given in the foregoing manner.</w:t>
      </w:r>
    </w:p>
    <w:p>
      <w:pPr>
        <w:spacing w:after="0" w:line="198" w:lineRule="exact"/>
        <w:rPr>
          <w:sz w:val="20"/>
          <w:szCs w:val="20"/>
          <w:color w:val="auto"/>
        </w:rPr>
      </w:pPr>
    </w:p>
    <w:p>
      <w:pPr>
        <w:ind w:left="60" w:right="180" w:firstLine="734"/>
        <w:spacing w:after="0" w:line="255" w:lineRule="auto"/>
        <w:rPr>
          <w:sz w:val="20"/>
          <w:szCs w:val="20"/>
          <w:color w:val="auto"/>
        </w:rPr>
      </w:pPr>
      <w:r>
        <w:rPr>
          <w:rFonts w:ascii="Times New Roman" w:cs="Times New Roman" w:eastAsia="Times New Roman" w:hAnsi="Times New Roman"/>
          <w:sz w:val="21"/>
          <w:szCs w:val="21"/>
          <w:color w:val="auto"/>
        </w:rPr>
        <w:t>(h)This Agreement sets forth the entire agreement and understanding of the parties relating to the subject matter hereof, and supersedes all prior agreements, arrangements and understandings, written or oral, relating to the subject matter hereof. No representation, promise or inducement has been made by either party that is not embodied in this Agreement, and neither party shall be bound by or liable for any alleged representation, promise or inducement not so set forth.</w:t>
      </w:r>
    </w:p>
    <w:p>
      <w:pPr>
        <w:spacing w:after="0" w:line="216" w:lineRule="exact"/>
        <w:rPr>
          <w:sz w:val="20"/>
          <w:szCs w:val="20"/>
          <w:color w:val="auto"/>
        </w:rPr>
      </w:pPr>
    </w:p>
    <w:p>
      <w:pPr>
        <w:ind w:left="60" w:right="320" w:firstLine="734"/>
        <w:spacing w:after="0" w:line="258" w:lineRule="auto"/>
        <w:rPr>
          <w:sz w:val="20"/>
          <w:szCs w:val="20"/>
          <w:color w:val="auto"/>
        </w:rPr>
      </w:pPr>
      <w:r>
        <w:rPr>
          <w:rFonts w:ascii="Times New Roman" w:cs="Times New Roman" w:eastAsia="Times New Roman" w:hAnsi="Times New Roman"/>
          <w:sz w:val="22"/>
          <w:szCs w:val="22"/>
          <w:color w:val="auto"/>
        </w:rPr>
        <w:t>(i)As used in this Agreement, “affiliate” of a specified person or entity shall mean and include any person or entity controlling, controlled by or under common control with the specified Person.</w:t>
      </w:r>
    </w:p>
    <w:p>
      <w:pPr>
        <w:spacing w:after="0" w:line="199" w:lineRule="exact"/>
        <w:rPr>
          <w:sz w:val="20"/>
          <w:szCs w:val="20"/>
          <w:color w:val="auto"/>
        </w:rPr>
      </w:pPr>
    </w:p>
    <w:p>
      <w:pPr>
        <w:ind w:left="60" w:right="940" w:firstLine="734"/>
        <w:spacing w:after="0" w:line="258" w:lineRule="auto"/>
        <w:rPr>
          <w:sz w:val="20"/>
          <w:szCs w:val="20"/>
          <w:color w:val="auto"/>
        </w:rPr>
      </w:pPr>
      <w:r>
        <w:rPr>
          <w:rFonts w:ascii="Times New Roman" w:cs="Times New Roman" w:eastAsia="Times New Roman" w:hAnsi="Times New Roman"/>
          <w:sz w:val="22"/>
          <w:szCs w:val="22"/>
          <w:color w:val="auto"/>
        </w:rPr>
        <w:t>(j)The section headings contained herein are for reference purposes only and shall not in any way affect the meaning or interpretation of this Agreement.</w:t>
      </w:r>
    </w:p>
    <w:p>
      <w:pPr>
        <w:spacing w:after="0" w:line="199" w:lineRule="exact"/>
        <w:rPr>
          <w:sz w:val="20"/>
          <w:szCs w:val="20"/>
          <w:color w:val="auto"/>
        </w:rPr>
      </w:pPr>
    </w:p>
    <w:p>
      <w:pPr>
        <w:ind w:left="60" w:right="360" w:firstLine="734"/>
        <w:spacing w:after="0" w:line="258" w:lineRule="auto"/>
        <w:rPr>
          <w:sz w:val="20"/>
          <w:szCs w:val="20"/>
          <w:color w:val="auto"/>
        </w:rPr>
      </w:pPr>
      <w:r>
        <w:rPr>
          <w:rFonts w:ascii="Times New Roman" w:cs="Times New Roman" w:eastAsia="Times New Roman" w:hAnsi="Times New Roman"/>
          <w:sz w:val="22"/>
          <w:szCs w:val="22"/>
          <w:color w:val="auto"/>
        </w:rPr>
        <w:t>(k)This Agreement may be executed in any number of counterparts, each of which shall constitute an original, but all of which together shall constitute one and the same instrument.</w:t>
      </w:r>
    </w:p>
    <w:p>
      <w:pPr>
        <w:spacing w:after="0" w:line="131" w:lineRule="exact"/>
        <w:rPr>
          <w:sz w:val="20"/>
          <w:szCs w:val="20"/>
          <w:color w:val="auto"/>
        </w:rPr>
      </w:pPr>
    </w:p>
    <w:p>
      <w:pPr>
        <w:ind w:left="60" w:right="300" w:firstLine="734"/>
        <w:spacing w:after="0" w:line="244" w:lineRule="auto"/>
        <w:rPr>
          <w:sz w:val="20"/>
          <w:szCs w:val="20"/>
          <w:color w:val="auto"/>
        </w:rPr>
      </w:pPr>
      <w:r>
        <w:rPr>
          <w:rFonts w:ascii="Times New Roman" w:cs="Times New Roman" w:eastAsia="Times New Roman" w:hAnsi="Times New Roman"/>
          <w:sz w:val="22"/>
          <w:szCs w:val="22"/>
          <w:color w:val="auto"/>
        </w:rPr>
        <w:t>(l)As used in this Agreement, the masculine, feminine or neuter gender, and the singular or plural, shall be deemed to include the others whenever and wherever the context so requires. Additionally, unless the context requires otherwise, "or" is not exclusive.</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 – Signature Page Follows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529590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80" w:top="1259" w:right="499" w:bottom="1440" w:gutter="0" w:footer="0" w:header="0"/>
        </w:sectPr>
      </w:pPr>
    </w:p>
    <w:bookmarkStart w:id="152" w:name="page153"/>
    <w:bookmarkEnd w:id="152"/>
    <w:p>
      <w:pPr>
        <w:spacing w:after="0" w:line="113" w:lineRule="exact"/>
        <w:rPr>
          <w:sz w:val="20"/>
          <w:szCs w:val="20"/>
          <w:color w:val="auto"/>
        </w:rPr>
      </w:pPr>
    </w:p>
    <w:p>
      <w:pPr>
        <w:ind w:left="8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hereto have executed this Agreement as of the date first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by proper person thereunto duly authorized.</w:t>
      </w:r>
    </w:p>
    <w:p>
      <w:pPr>
        <w:spacing w:after="0" w:line="200" w:lineRule="exact"/>
        <w:rPr>
          <w:sz w:val="20"/>
          <w:szCs w:val="20"/>
          <w:color w:val="auto"/>
        </w:rPr>
      </w:pPr>
    </w:p>
    <w:p>
      <w:pPr>
        <w:spacing w:after="0" w:line="23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b w:val="1"/>
          <w:bCs w:val="1"/>
          <w:color w:val="auto"/>
        </w:rPr>
        <w:t>CANDEL THERAPEUTICS, INC.</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320"/>
        <w:spacing w:after="0"/>
        <w:tabs>
          <w:tab w:leader="none" w:pos="5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-13970</wp:posOffset>
            </wp:positionV>
            <wp:extent cx="11391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6">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22"/>
          <w:szCs w:val="22"/>
          <w:color w:val="auto"/>
        </w:rPr>
        <w:t>Name: Paul Peter Tak, M.D., Ph.D., FMedSci</w:t>
      </w:r>
    </w:p>
    <w:p>
      <w:pPr>
        <w:ind w:left="5320"/>
        <w:spacing w:after="0"/>
        <w:tabs>
          <w:tab w:leader="none" w:pos="5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b w:val="1"/>
          <w:bCs w:val="1"/>
          <w:color w:val="auto"/>
        </w:rPr>
        <w:t>CONSULTANT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320"/>
        <w:spacing w:after="0"/>
        <w:tabs>
          <w:tab w:leader="none" w:pos="5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Jason A. Amello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-13970</wp:posOffset>
            </wp:positionV>
            <wp:extent cx="141351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7">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22"/>
          <w:szCs w:val="22"/>
          <w:color w:val="auto"/>
        </w:rPr>
        <w:t>Name: Jason A. Amello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504190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80" w:top="1440" w:right="979" w:bottom="1440" w:gutter="0" w:footer="0" w:header="0"/>
        </w:sectPr>
      </w:pPr>
    </w:p>
    <w:bookmarkStart w:id="153" w:name="page154"/>
    <w:bookmarkEnd w:id="153"/>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(Nos. 333-258279, 333-263961, and 333-270967) on Form S-8 and (No. 333-266605) on Form S-3 of our report dated March 28, 2024, with respect to the consolidated financial statements of Candel Therapeutics, Inc.</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2"/>
          <w:szCs w:val="22"/>
          <w:b w:val="1"/>
          <w:bCs w:val="1"/>
          <w:color w:val="auto"/>
        </w:rPr>
        <w:t>Exhibit 31.1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 Paul Peter Tak, certify that:</w:t>
      </w:r>
    </w:p>
    <w:p>
      <w:pPr>
        <w:spacing w:after="0" w:line="206" w:lineRule="exact"/>
        <w:rPr>
          <w:sz w:val="20"/>
          <w:szCs w:val="20"/>
          <w:color w:val="auto"/>
        </w:rPr>
      </w:pPr>
    </w:p>
    <w:p>
      <w:pPr>
        <w:ind w:left="480" w:hanging="472"/>
        <w:spacing w:after="0"/>
        <w:tabs>
          <w:tab w:leader="none" w:pos="4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I have reviewed this Annual Report on Form 10-K of Candel Therapeutics, Inc.;</w:t>
      </w:r>
    </w:p>
    <w:p>
      <w:pPr>
        <w:spacing w:after="0" w:line="206" w:lineRule="exact"/>
        <w:rPr>
          <w:rFonts w:ascii="Arial" w:cs="Arial" w:eastAsia="Arial" w:hAnsi="Arial"/>
          <w:sz w:val="22"/>
          <w:szCs w:val="22"/>
          <w:color w:val="auto"/>
        </w:rPr>
      </w:pPr>
    </w:p>
    <w:p>
      <w:pPr>
        <w:ind w:left="760" w:right="260" w:hanging="752"/>
        <w:spacing w:after="0" w:line="245" w:lineRule="auto"/>
        <w:tabs>
          <w:tab w:leader="none" w:pos="492" w:val="left"/>
        </w:tabs>
        <w:numPr>
          <w:ilvl w:val="0"/>
          <w:numId w:val="86"/>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22"/>
          <w:szCs w:val="22"/>
          <w:color w:val="auto"/>
        </w:rPr>
      </w:pPr>
    </w:p>
    <w:p>
      <w:pPr>
        <w:ind w:left="760" w:right="20" w:hanging="752"/>
        <w:spacing w:after="0" w:line="245" w:lineRule="auto"/>
        <w:tabs>
          <w:tab w:leader="none" w:pos="492" w:val="left"/>
        </w:tabs>
        <w:numPr>
          <w:ilvl w:val="0"/>
          <w:numId w:val="86"/>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22"/>
          <w:szCs w:val="22"/>
          <w:color w:val="auto"/>
        </w:rPr>
      </w:pPr>
    </w:p>
    <w:p>
      <w:pPr>
        <w:ind w:left="760" w:right="420" w:hanging="752"/>
        <w:spacing w:after="0"/>
        <w:tabs>
          <w:tab w:leader="none" w:pos="492"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22"/>
          <w:szCs w:val="22"/>
          <w:color w:val="auto"/>
        </w:rPr>
      </w:pPr>
    </w:p>
    <w:p>
      <w:pPr>
        <w:ind w:left="1500" w:right="120" w:hanging="690"/>
        <w:spacing w:after="0"/>
        <w:tabs>
          <w:tab w:leader="none" w:pos="1285" w:val="left"/>
        </w:tabs>
        <w:numPr>
          <w:ilvl w:val="1"/>
          <w:numId w:val="86"/>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22"/>
          <w:szCs w:val="22"/>
          <w:color w:val="auto"/>
        </w:rPr>
      </w:pPr>
    </w:p>
    <w:p>
      <w:pPr>
        <w:ind w:left="1500" w:right="400" w:hanging="690"/>
        <w:spacing w:after="0"/>
        <w:tabs>
          <w:tab w:leader="none" w:pos="1285" w:val="left"/>
        </w:tabs>
        <w:numPr>
          <w:ilvl w:val="1"/>
          <w:numId w:val="86"/>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22"/>
          <w:szCs w:val="22"/>
          <w:color w:val="auto"/>
        </w:rPr>
      </w:pPr>
    </w:p>
    <w:p>
      <w:pPr>
        <w:ind w:left="1500" w:right="120" w:hanging="690"/>
        <w:spacing w:after="0" w:line="245" w:lineRule="auto"/>
        <w:tabs>
          <w:tab w:leader="none" w:pos="1285" w:val="left"/>
        </w:tabs>
        <w:numPr>
          <w:ilvl w:val="1"/>
          <w:numId w:val="86"/>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22"/>
          <w:szCs w:val="22"/>
          <w:color w:val="auto"/>
        </w:rPr>
      </w:pPr>
    </w:p>
    <w:p>
      <w:pPr>
        <w:ind w:left="1500" w:right="240" w:hanging="690"/>
        <w:spacing w:after="0" w:line="245" w:lineRule="auto"/>
        <w:tabs>
          <w:tab w:leader="none" w:pos="1285" w:val="left"/>
        </w:tabs>
        <w:numPr>
          <w:ilvl w:val="1"/>
          <w:numId w:val="86"/>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55" w:name="page156"/>
    <w:bookmarkEnd w:id="155"/>
    <w:p>
      <w:pPr>
        <w:ind w:left="1492" w:right="100"/>
        <w:spacing w:after="0" w:line="259" w:lineRule="auto"/>
        <w:rPr>
          <w:sz w:val="20"/>
          <w:szCs w:val="20"/>
          <w:color w:val="auto"/>
        </w:rPr>
      </w:pPr>
      <w:r>
        <w:rPr>
          <w:rFonts w:ascii="Arial" w:cs="Arial" w:eastAsia="Arial" w:hAnsi="Arial"/>
          <w:sz w:val="22"/>
          <w:szCs w:val="22"/>
          <w:color w:val="auto"/>
        </w:rPr>
        <w:t>report) that has materially affected, or is reasonably likely to materially affect, the registrant's internal control over financial reporting; and</w:t>
      </w:r>
    </w:p>
    <w:p>
      <w:pPr>
        <w:spacing w:after="0" w:line="156" w:lineRule="exact"/>
        <w:rPr>
          <w:sz w:val="20"/>
          <w:szCs w:val="20"/>
          <w:color w:val="auto"/>
        </w:rPr>
      </w:pPr>
    </w:p>
    <w:p>
      <w:pPr>
        <w:ind w:left="752" w:hanging="752"/>
        <w:spacing w:after="0" w:line="245" w:lineRule="auto"/>
        <w:tabs>
          <w:tab w:leader="none" w:pos="483"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22"/>
          <w:szCs w:val="22"/>
          <w:color w:val="auto"/>
        </w:rPr>
      </w:pPr>
    </w:p>
    <w:p>
      <w:pPr>
        <w:ind w:left="1492" w:right="240" w:hanging="690"/>
        <w:spacing w:after="0" w:line="245" w:lineRule="auto"/>
        <w:tabs>
          <w:tab w:leader="none" w:pos="1277" w:val="left"/>
        </w:tabs>
        <w:numPr>
          <w:ilvl w:val="1"/>
          <w:numId w:val="8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22"/>
          <w:szCs w:val="22"/>
          <w:color w:val="auto"/>
        </w:rPr>
      </w:pPr>
    </w:p>
    <w:p>
      <w:pPr>
        <w:ind w:left="1492" w:right="920" w:hanging="690"/>
        <w:spacing w:after="0" w:line="259" w:lineRule="auto"/>
        <w:tabs>
          <w:tab w:leader="none" w:pos="1277" w:val="left"/>
        </w:tabs>
        <w:numPr>
          <w:ilvl w:val="1"/>
          <w:numId w:val="8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2"/>
        <w:spacing w:after="0"/>
        <w:tabs>
          <w:tab w:leader="none" w:pos="5291" w:val="left"/>
          <w:tab w:leader="none" w:pos="7731" w:val="left"/>
        </w:tabs>
        <w:rPr>
          <w:sz w:val="20"/>
          <w:szCs w:val="20"/>
          <w:color w:val="auto"/>
        </w:rPr>
      </w:pPr>
      <w:r>
        <w:rPr>
          <w:rFonts w:ascii="Arial" w:cs="Arial" w:eastAsia="Arial" w:hAnsi="Arial"/>
          <w:sz w:val="22"/>
          <w:szCs w:val="22"/>
          <w:color w:val="auto"/>
        </w:rPr>
        <w:t>Date: March 28, 2024</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19050</wp:posOffset>
            </wp:positionV>
            <wp:extent cx="335153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1" w:lineRule="exact"/>
        <w:rPr>
          <w:sz w:val="20"/>
          <w:szCs w:val="20"/>
          <w:color w:val="auto"/>
        </w:rPr>
      </w:pPr>
    </w:p>
    <w:p>
      <w:pPr>
        <w:ind w:left="7852"/>
        <w:spacing w:after="0"/>
        <w:rPr>
          <w:sz w:val="20"/>
          <w:szCs w:val="20"/>
          <w:color w:val="auto"/>
        </w:rPr>
      </w:pPr>
      <w:r>
        <w:rPr>
          <w:rFonts w:ascii="Arial" w:cs="Arial" w:eastAsia="Arial" w:hAnsi="Arial"/>
          <w:sz w:val="22"/>
          <w:szCs w:val="22"/>
          <w:b w:val="1"/>
          <w:bCs w:val="1"/>
          <w:color w:val="auto"/>
        </w:rPr>
        <w:t>Paul Peter Tak</w:t>
      </w:r>
    </w:p>
    <w:p>
      <w:pPr>
        <w:spacing w:after="0" w:line="27" w:lineRule="exact"/>
        <w:rPr>
          <w:sz w:val="20"/>
          <w:szCs w:val="20"/>
          <w:color w:val="auto"/>
        </w:rPr>
      </w:pPr>
    </w:p>
    <w:p>
      <w:pPr>
        <w:ind w:left="6672"/>
        <w:spacing w:after="0"/>
        <w:rPr>
          <w:sz w:val="20"/>
          <w:szCs w:val="20"/>
          <w:color w:val="auto"/>
        </w:rPr>
      </w:pPr>
      <w:r>
        <w:rPr>
          <w:rFonts w:ascii="Arial" w:cs="Arial" w:eastAsia="Arial" w:hAnsi="Arial"/>
          <w:sz w:val="22"/>
          <w:szCs w:val="22"/>
          <w:b w:val="1"/>
          <w:bCs w:val="1"/>
          <w:color w:val="auto"/>
        </w:rPr>
        <w:t>President and Chief Executive Officer</w:t>
      </w:r>
    </w:p>
    <w:p>
      <w:pPr>
        <w:ind w:left="7192"/>
        <w:spacing w:after="0"/>
        <w:rPr>
          <w:sz w:val="20"/>
          <w:szCs w:val="20"/>
          <w:color w:val="auto"/>
        </w:rPr>
      </w:pPr>
      <w:r>
        <w:rPr>
          <w:rFonts w:ascii="Arial" w:cs="Arial" w:eastAsia="Arial" w:hAnsi="Arial"/>
          <w:sz w:val="22"/>
          <w:szCs w:val="22"/>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1022350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409" w:right="399" w:bottom="1440" w:gutter="0" w:footer="0" w:header="0"/>
        </w:sectPr>
      </w:pPr>
    </w:p>
    <w:bookmarkStart w:id="156" w:name="page157"/>
    <w:bookmarkEnd w:id="156"/>
    <w:p>
      <w:pPr>
        <w:jc w:val="right"/>
        <w:spacing w:after="0"/>
        <w:rPr>
          <w:sz w:val="20"/>
          <w:szCs w:val="20"/>
          <w:color w:val="auto"/>
        </w:rPr>
      </w:pPr>
      <w:r>
        <w:rPr>
          <w:rFonts w:ascii="Arial" w:cs="Arial" w:eastAsia="Arial" w:hAnsi="Arial"/>
          <w:sz w:val="22"/>
          <w:szCs w:val="22"/>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I, Charles Schoch, certify that:</w:t>
      </w:r>
    </w:p>
    <w:p>
      <w:pPr>
        <w:spacing w:after="0" w:line="206" w:lineRule="exact"/>
        <w:rPr>
          <w:sz w:val="20"/>
          <w:szCs w:val="20"/>
          <w:color w:val="auto"/>
        </w:rPr>
      </w:pPr>
    </w:p>
    <w:p>
      <w:pPr>
        <w:ind w:left="480" w:hanging="472"/>
        <w:spacing w:after="0"/>
        <w:tabs>
          <w:tab w:leader="none" w:pos="4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I have reviewed this Annual Report on Form 10-K of Candel Therapeutics, Inc.;</w:t>
      </w:r>
    </w:p>
    <w:p>
      <w:pPr>
        <w:spacing w:after="0" w:line="206" w:lineRule="exact"/>
        <w:rPr>
          <w:rFonts w:ascii="Arial" w:cs="Arial" w:eastAsia="Arial" w:hAnsi="Arial"/>
          <w:sz w:val="22"/>
          <w:szCs w:val="22"/>
          <w:color w:val="auto"/>
        </w:rPr>
      </w:pPr>
    </w:p>
    <w:p>
      <w:pPr>
        <w:ind w:left="760" w:right="260" w:hanging="752"/>
        <w:spacing w:after="0" w:line="245" w:lineRule="auto"/>
        <w:tabs>
          <w:tab w:leader="none" w:pos="492" w:val="left"/>
        </w:tabs>
        <w:numPr>
          <w:ilvl w:val="0"/>
          <w:numId w:val="88"/>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22"/>
          <w:szCs w:val="22"/>
          <w:color w:val="auto"/>
        </w:rPr>
      </w:pPr>
    </w:p>
    <w:p>
      <w:pPr>
        <w:ind w:left="760" w:right="20" w:hanging="752"/>
        <w:spacing w:after="0" w:line="245" w:lineRule="auto"/>
        <w:tabs>
          <w:tab w:leader="none" w:pos="492" w:val="left"/>
        </w:tabs>
        <w:numPr>
          <w:ilvl w:val="0"/>
          <w:numId w:val="88"/>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22"/>
          <w:szCs w:val="22"/>
          <w:color w:val="auto"/>
        </w:rPr>
      </w:pPr>
    </w:p>
    <w:p>
      <w:pPr>
        <w:ind w:left="760" w:right="420" w:hanging="752"/>
        <w:spacing w:after="0"/>
        <w:tabs>
          <w:tab w:leader="none" w:pos="492"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22"/>
          <w:szCs w:val="22"/>
          <w:color w:val="auto"/>
        </w:rPr>
      </w:pPr>
    </w:p>
    <w:p>
      <w:pPr>
        <w:ind w:left="1500" w:right="120" w:hanging="690"/>
        <w:spacing w:after="0"/>
        <w:tabs>
          <w:tab w:leader="none" w:pos="1285" w:val="left"/>
        </w:tabs>
        <w:numPr>
          <w:ilvl w:val="1"/>
          <w:numId w:val="88"/>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22"/>
          <w:szCs w:val="22"/>
          <w:color w:val="auto"/>
        </w:rPr>
      </w:pPr>
    </w:p>
    <w:p>
      <w:pPr>
        <w:ind w:left="1500" w:right="400" w:hanging="690"/>
        <w:spacing w:after="0"/>
        <w:tabs>
          <w:tab w:leader="none" w:pos="1285" w:val="left"/>
        </w:tabs>
        <w:numPr>
          <w:ilvl w:val="1"/>
          <w:numId w:val="88"/>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22"/>
          <w:szCs w:val="22"/>
          <w:color w:val="auto"/>
        </w:rPr>
      </w:pPr>
    </w:p>
    <w:p>
      <w:pPr>
        <w:ind w:left="1500" w:right="120" w:hanging="690"/>
        <w:spacing w:after="0" w:line="245" w:lineRule="auto"/>
        <w:tabs>
          <w:tab w:leader="none" w:pos="1285" w:val="left"/>
        </w:tabs>
        <w:numPr>
          <w:ilvl w:val="1"/>
          <w:numId w:val="88"/>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22"/>
          <w:szCs w:val="22"/>
          <w:color w:val="auto"/>
        </w:rPr>
      </w:pPr>
    </w:p>
    <w:p>
      <w:pPr>
        <w:ind w:left="1500" w:right="240" w:hanging="690"/>
        <w:spacing w:after="0" w:line="245" w:lineRule="auto"/>
        <w:tabs>
          <w:tab w:leader="none" w:pos="1285" w:val="left"/>
        </w:tabs>
        <w:numPr>
          <w:ilvl w:val="1"/>
          <w:numId w:val="88"/>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57" w:name="page158"/>
    <w:bookmarkEnd w:id="157"/>
    <w:p>
      <w:pPr>
        <w:ind w:left="1492" w:right="100"/>
        <w:spacing w:after="0" w:line="259" w:lineRule="auto"/>
        <w:rPr>
          <w:sz w:val="20"/>
          <w:szCs w:val="20"/>
          <w:color w:val="auto"/>
        </w:rPr>
      </w:pPr>
      <w:r>
        <w:rPr>
          <w:rFonts w:ascii="Arial" w:cs="Arial" w:eastAsia="Arial" w:hAnsi="Arial"/>
          <w:sz w:val="22"/>
          <w:szCs w:val="22"/>
          <w:color w:val="auto"/>
        </w:rPr>
        <w:t>report) that has materially affected, or is reasonably likely to materially affect, the registrant's internal control over financial reporting; and</w:t>
      </w:r>
    </w:p>
    <w:p>
      <w:pPr>
        <w:spacing w:after="0" w:line="156" w:lineRule="exact"/>
        <w:rPr>
          <w:sz w:val="20"/>
          <w:szCs w:val="20"/>
          <w:color w:val="auto"/>
        </w:rPr>
      </w:pPr>
    </w:p>
    <w:p>
      <w:pPr>
        <w:ind w:left="752" w:hanging="752"/>
        <w:spacing w:after="0" w:line="245" w:lineRule="auto"/>
        <w:tabs>
          <w:tab w:leader="none" w:pos="483"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22"/>
          <w:szCs w:val="22"/>
          <w:color w:val="auto"/>
        </w:rPr>
      </w:pPr>
    </w:p>
    <w:p>
      <w:pPr>
        <w:ind w:left="1492" w:right="240" w:hanging="690"/>
        <w:spacing w:after="0" w:line="245" w:lineRule="auto"/>
        <w:tabs>
          <w:tab w:leader="none" w:pos="1277" w:val="left"/>
        </w:tabs>
        <w:numPr>
          <w:ilvl w:val="1"/>
          <w:numId w:val="89"/>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22"/>
          <w:szCs w:val="22"/>
          <w:color w:val="auto"/>
        </w:rPr>
      </w:pPr>
    </w:p>
    <w:p>
      <w:pPr>
        <w:ind w:left="1492" w:right="920" w:hanging="690"/>
        <w:spacing w:after="0" w:line="259" w:lineRule="auto"/>
        <w:tabs>
          <w:tab w:leader="none" w:pos="1277" w:val="left"/>
        </w:tabs>
        <w:numPr>
          <w:ilvl w:val="1"/>
          <w:numId w:val="89"/>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2"/>
        <w:spacing w:after="0"/>
        <w:tabs>
          <w:tab w:leader="none" w:pos="5051" w:val="left"/>
          <w:tab w:leader="none" w:pos="7491" w:val="left"/>
        </w:tabs>
        <w:rPr>
          <w:sz w:val="20"/>
          <w:szCs w:val="20"/>
          <w:color w:val="auto"/>
        </w:rPr>
      </w:pPr>
      <w:r>
        <w:rPr>
          <w:rFonts w:ascii="Arial" w:cs="Arial" w:eastAsia="Arial" w:hAnsi="Arial"/>
          <w:sz w:val="22"/>
          <w:szCs w:val="22"/>
          <w:color w:val="auto"/>
        </w:rPr>
        <w:t>Date: March 28, 2024</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19050</wp:posOffset>
            </wp:positionV>
            <wp:extent cx="35661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0"/>
          <w:szCs w:val="20"/>
          <w:color w:val="auto"/>
        </w:rPr>
      </w:pPr>
    </w:p>
    <w:p>
      <w:pPr>
        <w:jc w:val="center"/>
        <w:ind w:left="5600"/>
        <w:spacing w:after="0"/>
        <w:rPr>
          <w:sz w:val="20"/>
          <w:szCs w:val="20"/>
          <w:color w:val="auto"/>
        </w:rPr>
      </w:pPr>
      <w:r>
        <w:rPr>
          <w:rFonts w:ascii="Arial" w:cs="Arial" w:eastAsia="Arial" w:hAnsi="Arial"/>
          <w:sz w:val="22"/>
          <w:szCs w:val="22"/>
          <w:b w:val="1"/>
          <w:bCs w:val="1"/>
          <w:color w:val="auto"/>
        </w:rPr>
        <w:t>Charles Schoch</w:t>
      </w:r>
    </w:p>
    <w:p>
      <w:pPr>
        <w:spacing w:after="0" w:line="27" w:lineRule="exact"/>
        <w:rPr>
          <w:sz w:val="20"/>
          <w:szCs w:val="20"/>
          <w:color w:val="auto"/>
        </w:rPr>
      </w:pPr>
    </w:p>
    <w:p>
      <w:pPr>
        <w:jc w:val="center"/>
        <w:ind w:left="5600"/>
        <w:spacing w:after="0"/>
        <w:rPr>
          <w:sz w:val="20"/>
          <w:szCs w:val="20"/>
          <w:color w:val="auto"/>
        </w:rPr>
      </w:pPr>
      <w:r>
        <w:rPr>
          <w:rFonts w:ascii="Arial" w:cs="Arial" w:eastAsia="Arial" w:hAnsi="Arial"/>
          <w:sz w:val="22"/>
          <w:szCs w:val="22"/>
          <w:b w:val="1"/>
          <w:bCs w:val="1"/>
          <w:color w:val="auto"/>
        </w:rPr>
        <w:t>Interim Chief Financial Officer</w:t>
      </w:r>
    </w:p>
    <w:p>
      <w:pPr>
        <w:jc w:val="center"/>
        <w:ind w:left="5540"/>
        <w:spacing w:after="0" w:line="230" w:lineRule="auto"/>
        <w:rPr>
          <w:sz w:val="20"/>
          <w:szCs w:val="20"/>
          <w:color w:val="auto"/>
        </w:rPr>
      </w:pPr>
      <w:r>
        <w:rPr>
          <w:rFonts w:ascii="Arial" w:cs="Arial" w:eastAsia="Arial" w:hAnsi="Arial"/>
          <w:sz w:val="22"/>
          <w:szCs w:val="22"/>
          <w:b w:val="1"/>
          <w:bCs w:val="1"/>
          <w:i w:val="1"/>
          <w:iCs w:val="1"/>
          <w:color w:val="auto"/>
        </w:rPr>
        <w:t>(principal financial officer and principal accounting</w:t>
      </w:r>
    </w:p>
    <w:p>
      <w:pPr>
        <w:spacing w:after="0" w:line="1" w:lineRule="exact"/>
        <w:rPr>
          <w:sz w:val="20"/>
          <w:szCs w:val="20"/>
          <w:color w:val="auto"/>
        </w:rPr>
      </w:pPr>
    </w:p>
    <w:p>
      <w:pPr>
        <w:ind w:left="8052"/>
        <w:spacing w:after="0"/>
        <w:rPr>
          <w:sz w:val="20"/>
          <w:szCs w:val="20"/>
          <w:color w:val="auto"/>
        </w:rPr>
      </w:pPr>
      <w:r>
        <w:rPr>
          <w:rFonts w:ascii="Arial" w:cs="Arial" w:eastAsia="Arial" w:hAnsi="Arial"/>
          <w:sz w:val="22"/>
          <w:szCs w:val="22"/>
          <w:b w:val="1"/>
          <w:bCs w:val="1"/>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1159510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409" w:right="39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b w:val="1"/>
          <w:bCs w:val="1"/>
          <w:color w:val="auto"/>
        </w:rPr>
        <w:t>Exhibit 32.1</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CERTIFICATION PURSUANT TO 18 U.S.C. SECTION 1350, AS ADOPTED PURSUANT TO SECTION 906 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13"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In connection with the filing with the Securities and Exchange Commission of the Annual Report of Candel Therapeutics, Inc. (the “Company”) on Form 10-K for the period ended December 31, 2023 (the “Report”), the undersigned President and Chief Executive Officer of the Company, hereby certifies, pursuant to 18 U.S.C. § 1350, as adopted pursuant to Section 906 of the Sarbanes-Oxley Act of 2002, that, to his knowledge:</w:t>
      </w:r>
    </w:p>
    <w:p>
      <w:pPr>
        <w:spacing w:after="0" w:line="176" w:lineRule="exact"/>
        <w:rPr>
          <w:sz w:val="20"/>
          <w:szCs w:val="20"/>
          <w:color w:val="auto"/>
        </w:rPr>
      </w:pPr>
    </w:p>
    <w:p>
      <w:pPr>
        <w:ind w:left="1500" w:right="360" w:hanging="690"/>
        <w:spacing w:after="0" w:line="259" w:lineRule="auto"/>
        <w:tabs>
          <w:tab w:leader="none" w:pos="1285"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56" w:lineRule="exact"/>
        <w:rPr>
          <w:rFonts w:ascii="Arial" w:cs="Arial" w:eastAsia="Arial" w:hAnsi="Arial"/>
          <w:sz w:val="22"/>
          <w:szCs w:val="22"/>
          <w:color w:val="auto"/>
        </w:rPr>
      </w:pPr>
    </w:p>
    <w:p>
      <w:pPr>
        <w:ind w:left="1500" w:right="280" w:hanging="690"/>
        <w:spacing w:after="0" w:line="259" w:lineRule="auto"/>
        <w:tabs>
          <w:tab w:leader="none" w:pos="1285"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20"/>
        <w:spacing w:after="0"/>
        <w:tabs>
          <w:tab w:leader="none" w:pos="5060" w:val="left"/>
          <w:tab w:leader="none" w:pos="7560" w:val="left"/>
        </w:tabs>
        <w:rPr>
          <w:sz w:val="20"/>
          <w:szCs w:val="20"/>
          <w:color w:val="auto"/>
        </w:rPr>
      </w:pPr>
      <w:r>
        <w:rPr>
          <w:rFonts w:ascii="Arial" w:cs="Arial" w:eastAsia="Arial" w:hAnsi="Arial"/>
          <w:sz w:val="22"/>
          <w:szCs w:val="22"/>
          <w:color w:val="auto"/>
        </w:rPr>
        <w:t>Date: March 28, 2024</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19050</wp:posOffset>
            </wp:positionV>
            <wp:extent cx="35661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0"/>
          <w:szCs w:val="20"/>
          <w:color w:val="auto"/>
        </w:rPr>
      </w:pPr>
    </w:p>
    <w:p>
      <w:pPr>
        <w:ind w:left="7700"/>
        <w:spacing w:after="0"/>
        <w:rPr>
          <w:sz w:val="20"/>
          <w:szCs w:val="20"/>
          <w:color w:val="auto"/>
        </w:rPr>
      </w:pPr>
      <w:r>
        <w:rPr>
          <w:rFonts w:ascii="Arial" w:cs="Arial" w:eastAsia="Arial" w:hAnsi="Arial"/>
          <w:sz w:val="22"/>
          <w:szCs w:val="22"/>
          <w:b w:val="1"/>
          <w:bCs w:val="1"/>
          <w:color w:val="auto"/>
        </w:rPr>
        <w:t>Paul Peter Tak</w:t>
      </w:r>
    </w:p>
    <w:p>
      <w:pPr>
        <w:spacing w:after="0" w:line="27" w:lineRule="exact"/>
        <w:rPr>
          <w:sz w:val="20"/>
          <w:szCs w:val="20"/>
          <w:color w:val="auto"/>
        </w:rPr>
      </w:pPr>
    </w:p>
    <w:p>
      <w:pPr>
        <w:ind w:left="6500"/>
        <w:spacing w:after="0"/>
        <w:rPr>
          <w:sz w:val="20"/>
          <w:szCs w:val="20"/>
          <w:color w:val="auto"/>
        </w:rPr>
      </w:pPr>
      <w:r>
        <w:rPr>
          <w:rFonts w:ascii="Arial" w:cs="Arial" w:eastAsia="Arial" w:hAnsi="Arial"/>
          <w:sz w:val="22"/>
          <w:szCs w:val="22"/>
          <w:b w:val="1"/>
          <w:bCs w:val="1"/>
          <w:color w:val="auto"/>
        </w:rPr>
        <w:t>President and Chief Executive Officer</w:t>
      </w:r>
    </w:p>
    <w:p>
      <w:pPr>
        <w:ind w:left="7020"/>
        <w:spacing w:after="0"/>
        <w:rPr>
          <w:sz w:val="20"/>
          <w:szCs w:val="20"/>
          <w:color w:val="auto"/>
        </w:rPr>
      </w:pPr>
      <w:r>
        <w:rPr>
          <w:rFonts w:ascii="Arial" w:cs="Arial" w:eastAsia="Arial" w:hAnsi="Arial"/>
          <w:sz w:val="22"/>
          <w:szCs w:val="22"/>
          <w:b w:val="1"/>
          <w:bCs w:val="1"/>
          <w:i w:val="1"/>
          <w:iCs w:val="1"/>
          <w:color w:val="auto"/>
        </w:rPr>
        <w:t>(principal executive officer)</w:t>
      </w:r>
    </w:p>
    <w:p>
      <w:pPr>
        <w:spacing w:after="0" w:line="200" w:lineRule="exact"/>
        <w:rPr>
          <w:sz w:val="20"/>
          <w:szCs w:val="20"/>
          <w:color w:val="auto"/>
        </w:rPr>
      </w:pPr>
    </w:p>
    <w:p>
      <w:pPr>
        <w:spacing w:after="0" w:line="216" w:lineRule="exact"/>
        <w:rPr>
          <w:sz w:val="20"/>
          <w:szCs w:val="20"/>
          <w:color w:val="auto"/>
        </w:rPr>
      </w:pPr>
    </w:p>
    <w:p>
      <w:pPr>
        <w:ind w:right="600"/>
        <w:spacing w:after="0"/>
        <w:rPr>
          <w:sz w:val="20"/>
          <w:szCs w:val="20"/>
          <w:color w:val="auto"/>
        </w:rPr>
      </w:pPr>
      <w:r>
        <w:rPr>
          <w:rFonts w:ascii="Arial" w:cs="Arial" w:eastAsia="Arial" w:hAnsi="Arial"/>
          <w:sz w:val="22"/>
          <w:szCs w:val="22"/>
          <w:color w:val="auto"/>
        </w:rPr>
        <w:t>In connection with the filing with the Securities and Exchange Commission of the Annual Report of Candel Therapeutics, Inc. (the “Company”) on Form 10-K for the period ended December 31, 2023 (the “Report”), the undersigned Chief Financial Officer of the Company, hereby certifies, pursuant to 18 U.S.C. § 1350, as adopted pursuant to Section 906 of the Sarbanes-Oxley Act of 2002, that, to his knowledge:</w:t>
      </w:r>
    </w:p>
    <w:p>
      <w:pPr>
        <w:spacing w:after="0" w:line="176" w:lineRule="exact"/>
        <w:rPr>
          <w:sz w:val="20"/>
          <w:szCs w:val="20"/>
          <w:color w:val="auto"/>
        </w:rPr>
      </w:pPr>
    </w:p>
    <w:p>
      <w:pPr>
        <w:ind w:left="1500" w:right="360" w:hanging="690"/>
        <w:spacing w:after="0" w:line="259" w:lineRule="auto"/>
        <w:tabs>
          <w:tab w:leader="none" w:pos="1285"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56" w:lineRule="exact"/>
        <w:rPr>
          <w:rFonts w:ascii="Arial" w:cs="Arial" w:eastAsia="Arial" w:hAnsi="Arial"/>
          <w:sz w:val="22"/>
          <w:szCs w:val="22"/>
          <w:color w:val="auto"/>
        </w:rPr>
      </w:pPr>
    </w:p>
    <w:p>
      <w:pPr>
        <w:ind w:left="1500" w:right="280" w:hanging="690"/>
        <w:spacing w:after="0" w:line="259" w:lineRule="auto"/>
        <w:tabs>
          <w:tab w:leader="none" w:pos="1285"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20"/>
        <w:spacing w:after="0"/>
        <w:tabs>
          <w:tab w:leader="none" w:pos="5060" w:val="left"/>
          <w:tab w:leader="none" w:pos="7500" w:val="left"/>
        </w:tabs>
        <w:rPr>
          <w:sz w:val="20"/>
          <w:szCs w:val="20"/>
          <w:color w:val="auto"/>
        </w:rPr>
      </w:pPr>
      <w:r>
        <w:rPr>
          <w:rFonts w:ascii="Arial" w:cs="Arial" w:eastAsia="Arial" w:hAnsi="Arial"/>
          <w:sz w:val="22"/>
          <w:szCs w:val="22"/>
          <w:color w:val="auto"/>
        </w:rPr>
        <w:t>Date: March 28, 2024</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19050</wp:posOffset>
            </wp:positionV>
            <wp:extent cx="356616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4" w:lineRule="exact"/>
        <w:rPr>
          <w:sz w:val="20"/>
          <w:szCs w:val="20"/>
          <w:color w:val="auto"/>
        </w:rPr>
      </w:pPr>
    </w:p>
    <w:p>
      <w:pPr>
        <w:jc w:val="center"/>
        <w:ind w:left="5600"/>
        <w:spacing w:after="0"/>
        <w:rPr>
          <w:sz w:val="20"/>
          <w:szCs w:val="20"/>
          <w:color w:val="auto"/>
        </w:rPr>
      </w:pPr>
      <w:r>
        <w:rPr>
          <w:rFonts w:ascii="Arial" w:cs="Arial" w:eastAsia="Arial" w:hAnsi="Arial"/>
          <w:sz w:val="22"/>
          <w:szCs w:val="22"/>
          <w:b w:val="1"/>
          <w:bCs w:val="1"/>
          <w:color w:val="auto"/>
        </w:rPr>
        <w:t>Charles Schoch</w:t>
      </w:r>
    </w:p>
    <w:p>
      <w:pPr>
        <w:spacing w:after="0" w:line="14" w:lineRule="exact"/>
        <w:rPr>
          <w:sz w:val="20"/>
          <w:szCs w:val="20"/>
          <w:color w:val="auto"/>
        </w:rPr>
      </w:pPr>
    </w:p>
    <w:p>
      <w:pPr>
        <w:jc w:val="center"/>
        <w:ind w:left="5600"/>
        <w:spacing w:after="0"/>
        <w:rPr>
          <w:sz w:val="20"/>
          <w:szCs w:val="20"/>
          <w:color w:val="auto"/>
        </w:rPr>
      </w:pPr>
      <w:r>
        <w:rPr>
          <w:rFonts w:ascii="Arial" w:cs="Arial" w:eastAsia="Arial" w:hAnsi="Arial"/>
          <w:sz w:val="22"/>
          <w:szCs w:val="22"/>
          <w:b w:val="1"/>
          <w:bCs w:val="1"/>
          <w:color w:val="auto"/>
        </w:rPr>
        <w:t>Interim Chief Financial Officer</w:t>
      </w:r>
    </w:p>
    <w:p>
      <w:pPr>
        <w:jc w:val="center"/>
        <w:ind w:left="5540"/>
        <w:spacing w:after="0" w:line="230" w:lineRule="auto"/>
        <w:rPr>
          <w:sz w:val="20"/>
          <w:szCs w:val="20"/>
          <w:color w:val="auto"/>
        </w:rPr>
      </w:pPr>
      <w:r>
        <w:rPr>
          <w:rFonts w:ascii="Arial" w:cs="Arial" w:eastAsia="Arial" w:hAnsi="Arial"/>
          <w:sz w:val="22"/>
          <w:szCs w:val="22"/>
          <w:b w:val="1"/>
          <w:bCs w:val="1"/>
          <w:i w:val="1"/>
          <w:iCs w:val="1"/>
          <w:color w:val="auto"/>
        </w:rPr>
        <w:t>(principal financial officer and principal</w:t>
      </w:r>
    </w:p>
    <w:p>
      <w:pPr>
        <w:spacing w:after="0" w:line="1" w:lineRule="exact"/>
        <w:rPr>
          <w:sz w:val="20"/>
          <w:szCs w:val="20"/>
          <w:color w:val="auto"/>
        </w:rPr>
      </w:pPr>
    </w:p>
    <w:p>
      <w:pPr>
        <w:jc w:val="center"/>
        <w:ind w:left="5600"/>
        <w:spacing w:after="0"/>
        <w:rPr>
          <w:sz w:val="20"/>
          <w:szCs w:val="20"/>
          <w:color w:val="auto"/>
        </w:rPr>
      </w:pPr>
      <w:r>
        <w:rPr>
          <w:rFonts w:ascii="Arial" w:cs="Arial" w:eastAsia="Arial" w:hAnsi="Arial"/>
          <w:sz w:val="22"/>
          <w:szCs w:val="22"/>
          <w:b w:val="1"/>
          <w:bCs w:val="1"/>
          <w:i w:val="1"/>
          <w:iCs w:val="1"/>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59" w:name="page160"/>
    <w:bookmarkEnd w:id="159"/>
    <w:p>
      <w:pPr>
        <w:jc w:val="right"/>
        <w:spacing w:after="0"/>
        <w:rPr>
          <w:sz w:val="20"/>
          <w:szCs w:val="20"/>
          <w:color w:val="auto"/>
        </w:rPr>
      </w:pPr>
      <w:r>
        <w:rPr>
          <w:rFonts w:ascii="Calibri" w:cs="Calibri" w:eastAsia="Calibri" w:hAnsi="Calibri"/>
          <w:sz w:val="22"/>
          <w:szCs w:val="22"/>
          <w:b w:val="1"/>
          <w:bCs w:val="1"/>
          <w:color w:val="auto"/>
        </w:rPr>
        <w:t>Exhibit 97.1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CANDEL THERAPEUTICS,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Adopted as of November 26, 2023</w:t>
      </w:r>
    </w:p>
    <w:p>
      <w:pPr>
        <w:spacing w:after="0" w:line="210" w:lineRule="exact"/>
        <w:rPr>
          <w:sz w:val="20"/>
          <w:szCs w:val="20"/>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Candel Therapeutics,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a Compensation Recovery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as described below.</w:t>
      </w:r>
    </w:p>
    <w:p>
      <w:pPr>
        <w:spacing w:after="0" w:line="154" w:lineRule="exact"/>
        <w:rPr>
          <w:sz w:val="20"/>
          <w:szCs w:val="20"/>
          <w:color w:val="auto"/>
        </w:rPr>
      </w:pPr>
    </w:p>
    <w:p>
      <w:pPr>
        <w:ind w:left="440" w:hanging="432"/>
        <w:spacing w:after="0"/>
        <w:tabs>
          <w:tab w:leader="none" w:pos="44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210"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Policy sets forth the circumstances and procedures under which the Company shall recover Erroneously Awarded Compensation from current and former Covered Persons (as defined below) in accordance with rules issued by the United States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under the Securities Exchange Act of 1934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the Nasdaq Stock Market. Capitalized terms used and not otherwise defined herein shall have the meanings given in Section 3 below.</w:t>
      </w:r>
    </w:p>
    <w:p>
      <w:pPr>
        <w:spacing w:after="0" w:line="173" w:lineRule="exact"/>
        <w:rPr>
          <w:sz w:val="20"/>
          <w:szCs w:val="20"/>
          <w:color w:val="auto"/>
        </w:rPr>
      </w:pPr>
    </w:p>
    <w:p>
      <w:pPr>
        <w:ind w:left="440" w:hanging="432"/>
        <w:spacing w:after="0"/>
        <w:tabs>
          <w:tab w:leader="none" w:pos="44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Requirement</w:t>
      </w:r>
    </w:p>
    <w:p>
      <w:pPr>
        <w:spacing w:after="0" w:line="210"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In the event the Company is required to prepare a Financial Restatement, the Company shall reasonably promptly recover all Erroneously Awarded Compensation with respect to such Financial Restatement.</w:t>
      </w:r>
    </w:p>
    <w:p>
      <w:pPr>
        <w:spacing w:after="0" w:line="154" w:lineRule="exact"/>
        <w:rPr>
          <w:sz w:val="20"/>
          <w:szCs w:val="20"/>
          <w:color w:val="auto"/>
        </w:rPr>
      </w:pPr>
    </w:p>
    <w:p>
      <w:pPr>
        <w:ind w:left="440" w:hanging="432"/>
        <w:spacing w:after="0"/>
        <w:tabs>
          <w:tab w:leader="none" w:pos="44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rFonts w:ascii="Times New Roman" w:cs="Times New Roman" w:eastAsia="Times New Roman" w:hAnsi="Times New Roman"/>
          <w:sz w:val="22"/>
          <w:szCs w:val="22"/>
          <w:b w:val="1"/>
          <w:bCs w:val="1"/>
          <w:color w:val="auto"/>
        </w:rPr>
      </w:pPr>
    </w:p>
    <w:p>
      <w:pPr>
        <w:ind w:left="1140" w:right="140" w:hanging="383"/>
        <w:spacing w:after="0" w:line="238" w:lineRule="auto"/>
        <w:tabs>
          <w:tab w:leader="none" w:pos="114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Recovery Period</w:t>
      </w:r>
      <w:r>
        <w:rPr>
          <w:rFonts w:ascii="Times New Roman" w:cs="Times New Roman" w:eastAsia="Times New Roman" w:hAnsi="Times New Roman"/>
          <w:sz w:val="22"/>
          <w:szCs w:val="22"/>
          <w:color w:val="auto"/>
        </w:rPr>
        <w:t>”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76" w:lineRule="exact"/>
        <w:rPr>
          <w:rFonts w:ascii="Times New Roman" w:cs="Times New Roman" w:eastAsia="Times New Roman" w:hAnsi="Times New Roman"/>
          <w:sz w:val="22"/>
          <w:szCs w:val="22"/>
          <w:color w:val="auto"/>
        </w:rPr>
      </w:pPr>
    </w:p>
    <w:p>
      <w:pPr>
        <w:ind w:left="1140" w:right="120" w:hanging="383"/>
        <w:spacing w:after="0" w:line="244" w:lineRule="auto"/>
        <w:tabs>
          <w:tab w:leader="none" w:pos="114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Rules</w:t>
      </w:r>
      <w:r>
        <w:rPr>
          <w:rFonts w:ascii="Times New Roman" w:cs="Times New Roman" w:eastAsia="Times New Roman" w:hAnsi="Times New Roman"/>
          <w:sz w:val="22"/>
          <w:szCs w:val="22"/>
          <w:color w:val="auto"/>
        </w:rPr>
        <w:t>” means any rules or regulations adopted by the Exchange pursuant to Rule 10D-1 under the Exchange Act and any applicable rules or regulations adopted by the SEC pursuant to Section 10D of the Exchange Act.</w:t>
      </w:r>
    </w:p>
    <w:p>
      <w:pPr>
        <w:spacing w:after="0" w:line="17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rFonts w:ascii="Times New Roman" w:cs="Times New Roman" w:eastAsia="Times New Roman" w:hAnsi="Times New Roman"/>
          <w:sz w:val="22"/>
          <w:szCs w:val="22"/>
          <w:color w:val="auto"/>
        </w:rPr>
      </w:pPr>
    </w:p>
    <w:p>
      <w:pPr>
        <w:ind w:left="1140" w:right="160" w:hanging="383"/>
        <w:spacing w:after="0" w:line="258" w:lineRule="auto"/>
        <w:tabs>
          <w:tab w:leader="none" w:pos="114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or, in the absence of such committee, a majority of independent directors serving on the Board.</w:t>
      </w:r>
    </w:p>
    <w:p>
      <w:pPr>
        <w:spacing w:after="0" w:line="158" w:lineRule="exact"/>
        <w:rPr>
          <w:rFonts w:ascii="Times New Roman" w:cs="Times New Roman" w:eastAsia="Times New Roman" w:hAnsi="Times New Roman"/>
          <w:sz w:val="22"/>
          <w:szCs w:val="22"/>
          <w:color w:val="auto"/>
        </w:rPr>
      </w:pPr>
    </w:p>
    <w:p>
      <w:pPr>
        <w:ind w:left="1140" w:right="40" w:hanging="383"/>
        <w:spacing w:after="0" w:line="261" w:lineRule="auto"/>
        <w:tabs>
          <w:tab w:leader="none" w:pos="1140"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Person</w:t>
      </w:r>
      <w:r>
        <w:rPr>
          <w:rFonts w:ascii="Times New Roman" w:cs="Times New Roman" w:eastAsia="Times New Roman" w:hAnsi="Times New Roman"/>
          <w:sz w:val="21"/>
          <w:szCs w:val="21"/>
          <w:color w:val="auto"/>
        </w:rPr>
        <w:t>” means any Executive Officer and all other employees. A person’s status as a Covered Person with respect to Erroneously Awarded Compensation shall be determined as of the time of receipt of such Erroneously Awarded Compensation regardless of the person’s current role or status with the Company (e.g., if a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1304925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2" w:right="339" w:bottom="1440" w:gutter="0" w:footer="0" w:header="0"/>
        </w:sectPr>
      </w:pPr>
    </w:p>
    <w:bookmarkStart w:id="160" w:name="page161"/>
    <w:bookmarkEnd w:id="160"/>
    <w:p>
      <w:pPr>
        <w:spacing w:after="0" w:line="144" w:lineRule="exact"/>
        <w:rPr>
          <w:sz w:val="20"/>
          <w:szCs w:val="20"/>
          <w:color w:val="auto"/>
        </w:rPr>
      </w:pPr>
    </w:p>
    <w:p>
      <w:pPr>
        <w:ind w:left="383"/>
        <w:spacing w:after="0" w:line="251" w:lineRule="auto"/>
        <w:rPr>
          <w:sz w:val="20"/>
          <w:szCs w:val="20"/>
          <w:color w:val="auto"/>
        </w:rPr>
      </w:pPr>
      <w:r>
        <w:rPr>
          <w:rFonts w:ascii="Times New Roman" w:cs="Times New Roman" w:eastAsia="Times New Roman" w:hAnsi="Times New Roman"/>
          <w:sz w:val="21"/>
          <w:szCs w:val="21"/>
          <w:color w:val="auto"/>
        </w:rPr>
        <w:t>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68" w:lineRule="exact"/>
        <w:rPr>
          <w:sz w:val="20"/>
          <w:szCs w:val="20"/>
          <w:color w:val="auto"/>
        </w:rPr>
      </w:pPr>
    </w:p>
    <w:p>
      <w:pPr>
        <w:ind w:left="383" w:hanging="383"/>
        <w:spacing w:after="0"/>
        <w:tabs>
          <w:tab w:leader="none" w:pos="38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October 2, 2023.</w:t>
      </w:r>
    </w:p>
    <w:p>
      <w:pPr>
        <w:spacing w:after="0" w:line="206" w:lineRule="exact"/>
        <w:rPr>
          <w:rFonts w:ascii="Times New Roman" w:cs="Times New Roman" w:eastAsia="Times New Roman" w:hAnsi="Times New Roman"/>
          <w:sz w:val="22"/>
          <w:szCs w:val="22"/>
          <w:color w:val="auto"/>
        </w:rPr>
      </w:pPr>
    </w:p>
    <w:p>
      <w:pPr>
        <w:ind w:left="383" w:hanging="383"/>
        <w:spacing w:after="0" w:line="233" w:lineRule="auto"/>
        <w:tabs>
          <w:tab w:leader="none" w:pos="38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spacing w:after="0" w:line="184" w:lineRule="exact"/>
        <w:rPr>
          <w:rFonts w:ascii="Times New Roman" w:cs="Times New Roman" w:eastAsia="Times New Roman" w:hAnsi="Times New Roman"/>
          <w:sz w:val="22"/>
          <w:szCs w:val="22"/>
          <w:color w:val="auto"/>
        </w:rPr>
      </w:pPr>
    </w:p>
    <w:p>
      <w:pPr>
        <w:ind w:left="383" w:hanging="383"/>
        <w:spacing w:after="0"/>
        <w:tabs>
          <w:tab w:leader="none" w:pos="38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means The Nasdaq Stock Market LLC.</w:t>
      </w:r>
    </w:p>
    <w:p>
      <w:pPr>
        <w:spacing w:after="0" w:line="206" w:lineRule="exact"/>
        <w:rPr>
          <w:rFonts w:ascii="Times New Roman" w:cs="Times New Roman" w:eastAsia="Times New Roman" w:hAnsi="Times New Roman"/>
          <w:sz w:val="22"/>
          <w:szCs w:val="22"/>
          <w:color w:val="auto"/>
        </w:rPr>
      </w:pPr>
    </w:p>
    <w:p>
      <w:pPr>
        <w:ind w:left="383" w:right="60" w:hanging="383"/>
        <w:spacing w:after="0" w:line="237" w:lineRule="auto"/>
        <w:tabs>
          <w:tab w:leader="none" w:pos="38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any person who served the Company in any of the following roles at any time during the performance period applicable to Incentive-Based Compensation and received Incentive-Based Compensation after beginning service in any such role (regardless of whether such Incentive-Based Compensation was received during or after such person’s service in such role): the president, the principal financial officer, the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spacing w:after="0" w:line="398"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1198245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40" w:right="359" w:bottom="1440" w:gutter="0" w:footer="0" w:header="0"/>
        </w:sectPr>
      </w:pPr>
    </w:p>
    <w:bookmarkStart w:id="161" w:name="page162"/>
    <w:bookmarkEnd w:id="161"/>
    <w:p>
      <w:pPr>
        <w:spacing w:after="0" w:line="144" w:lineRule="exact"/>
        <w:rPr>
          <w:sz w:val="20"/>
          <w:szCs w:val="20"/>
          <w:color w:val="auto"/>
        </w:rPr>
      </w:pPr>
    </w:p>
    <w:p>
      <w:pPr>
        <w:ind w:left="1140" w:hanging="383"/>
        <w:spacing w:after="0" w:line="239" w:lineRule="auto"/>
        <w:tabs>
          <w:tab w:leader="none" w:pos="11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Reporting Measures</w:t>
      </w:r>
      <w:r>
        <w:rPr>
          <w:rFonts w:ascii="Times New Roman" w:cs="Times New Roman" w:eastAsia="Times New Roman" w:hAnsi="Times New Roman"/>
          <w:sz w:val="22"/>
          <w:szCs w:val="22"/>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180" w:lineRule="exact"/>
        <w:rPr>
          <w:rFonts w:ascii="Times New Roman" w:cs="Times New Roman" w:eastAsia="Times New Roman" w:hAnsi="Times New Roman"/>
          <w:sz w:val="22"/>
          <w:szCs w:val="22"/>
          <w:color w:val="auto"/>
        </w:rPr>
      </w:pPr>
    </w:p>
    <w:p>
      <w:pPr>
        <w:ind w:left="1140" w:right="160" w:hanging="383"/>
        <w:spacing w:after="0" w:line="244" w:lineRule="auto"/>
        <w:tabs>
          <w:tab w:leader="none" w:pos="11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provided, directly or indirectly, by the Company or any of its subsidiaries that is granted, earned, or vested based, in whole or in part, upon the attainment of a Financial Reporting Measure.</w:t>
      </w:r>
    </w:p>
    <w:p>
      <w:pPr>
        <w:spacing w:after="0" w:line="173" w:lineRule="exact"/>
        <w:rPr>
          <w:rFonts w:ascii="Times New Roman" w:cs="Times New Roman" w:eastAsia="Times New Roman" w:hAnsi="Times New Roman"/>
          <w:sz w:val="22"/>
          <w:szCs w:val="22"/>
          <w:color w:val="auto"/>
        </w:rPr>
      </w:pPr>
    </w:p>
    <w:p>
      <w:pPr>
        <w:ind w:left="1140" w:right="40" w:hanging="383"/>
        <w:spacing w:after="0" w:line="238" w:lineRule="auto"/>
        <w:tabs>
          <w:tab w:leader="none" w:pos="11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Financial Restatement</w:t>
      </w:r>
      <w:r>
        <w:rPr>
          <w:rFonts w:ascii="Times New Roman" w:cs="Times New Roman" w:eastAsia="Times New Roman" w:hAnsi="Times New Roman"/>
          <w:sz w:val="22"/>
          <w:szCs w:val="22"/>
          <w:color w:val="auto"/>
        </w:rPr>
        <w: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76" w:lineRule="exact"/>
        <w:rPr>
          <w:rFonts w:ascii="Times New Roman" w:cs="Times New Roman" w:eastAsia="Times New Roman" w:hAnsi="Times New Roman"/>
          <w:sz w:val="22"/>
          <w:szCs w:val="22"/>
          <w:color w:val="auto"/>
        </w:rPr>
      </w:pPr>
    </w:p>
    <w:p>
      <w:pPr>
        <w:ind w:left="1140" w:right="100" w:hanging="383"/>
        <w:spacing w:after="0" w:line="239" w:lineRule="auto"/>
        <w:tabs>
          <w:tab w:leader="none" w:pos="11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Date</w:t>
      </w:r>
      <w:r>
        <w:rPr>
          <w:rFonts w:ascii="Times New Roman" w:cs="Times New Roman" w:eastAsia="Times New Roman" w:hAnsi="Times New Roman"/>
          <w:sz w:val="22"/>
          <w:szCs w:val="22"/>
          <w:color w:val="auto"/>
        </w:rPr>
        <w:t>” means, with respect to a Financial Restatement, the earlier to occur of: (i) the date the Board concludes, or reasonably should have concluded, that the Company is required to prepare the Financial Restatement or (ii) the date a court, regulator or other legally authorized body directs the Company to prepare the Financial Restatement.</w:t>
      </w:r>
    </w:p>
    <w:p>
      <w:pPr>
        <w:spacing w:after="0" w:line="176" w:lineRule="exact"/>
        <w:rPr>
          <w:sz w:val="20"/>
          <w:szCs w:val="20"/>
          <w:color w:val="auto"/>
        </w:rPr>
      </w:pPr>
    </w:p>
    <w:p>
      <w:pPr>
        <w:ind w:left="440" w:hanging="432"/>
        <w:spacing w:after="0"/>
        <w:tabs>
          <w:tab w:leader="none" w:pos="44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Compensation Recovery Requirement</w:t>
      </w:r>
    </w:p>
    <w:p>
      <w:pPr>
        <w:spacing w:after="0" w:line="210"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(ii) recovery would likely cause an otherwise tax-qualified retirement plan to fail to be so qualified under applicable regulations.</w:t>
      </w:r>
    </w:p>
    <w:p>
      <w:pPr>
        <w:spacing w:after="0" w:line="177" w:lineRule="exact"/>
        <w:rPr>
          <w:sz w:val="20"/>
          <w:szCs w:val="20"/>
          <w:color w:val="auto"/>
        </w:rPr>
      </w:pPr>
    </w:p>
    <w:p>
      <w:pPr>
        <w:ind w:left="440" w:hanging="432"/>
        <w:spacing w:after="0"/>
        <w:tabs>
          <w:tab w:leader="none" w:pos="44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Discretionary Compensation Recovery Circumstances</w:t>
      </w:r>
    </w:p>
    <w:p>
      <w:pPr>
        <w:spacing w:after="0" w:line="206" w:lineRule="exact"/>
        <w:rPr>
          <w:rFonts w:ascii="Times New Roman" w:cs="Times New Roman" w:eastAsia="Times New Roman" w:hAnsi="Times New Roman"/>
          <w:sz w:val="22"/>
          <w:szCs w:val="22"/>
          <w:b w:val="1"/>
          <w:bCs w:val="1"/>
          <w:color w:val="auto"/>
        </w:rPr>
      </w:pPr>
    </w:p>
    <w:p>
      <w:pPr>
        <w:ind w:left="1140" w:right="100" w:hanging="383"/>
        <w:spacing w:after="0" w:line="238" w:lineRule="auto"/>
        <w:tabs>
          <w:tab w:leader="none" w:pos="114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Recovery from Participating Employees. </w:t>
      </w:r>
      <w:r>
        <w:rPr>
          <w:rFonts w:ascii="Times New Roman" w:cs="Times New Roman" w:eastAsia="Times New Roman" w:hAnsi="Times New Roman"/>
          <w:sz w:val="22"/>
          <w:szCs w:val="22"/>
          <w:color w:val="auto"/>
        </w:rPr>
        <w:t>In addition to (and without limiting) the provisions of paragraph 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in the event the Company is required to prepare a Financial Restatement after the adoption of this Policy, the Company will use reasonable efforts to recover from any current or former employee of the Company who is not a Covered Person but who is described in the provision below and who received Incentive-Based Compensation from the Company during the three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4" w:lineRule="exact"/>
        <w:rPr>
          <w:sz w:val="20"/>
          <w:szCs w:val="20"/>
          <w:color w:val="auto"/>
        </w:rPr>
      </w:pPr>
    </w:p>
    <w:p>
      <w:pPr>
        <w:ind w:left="1140" w:right="20"/>
        <w:spacing w:after="0" w:line="234" w:lineRule="auto"/>
        <w:rPr>
          <w:sz w:val="20"/>
          <w:szCs w:val="20"/>
          <w:color w:val="auto"/>
        </w:rPr>
      </w:pPr>
      <w:r>
        <w:rPr>
          <w:rFonts w:ascii="Times New Roman" w:cs="Times New Roman" w:eastAsia="Times New Roman" w:hAnsi="Times New Roman"/>
          <w:sz w:val="22"/>
          <w:szCs w:val="22"/>
          <w:color w:val="auto"/>
        </w:rPr>
        <w:t>completed fiscal years immediately preceding the date on which the Board has determined that the Company is required to prepare a Financial Restatement (each a “</w:t>
      </w:r>
      <w:r>
        <w:rPr>
          <w:rFonts w:ascii="Times New Roman" w:cs="Times New Roman" w:eastAsia="Times New Roman" w:hAnsi="Times New Roman"/>
          <w:sz w:val="22"/>
          <w:szCs w:val="22"/>
          <w:u w:val="single" w:color="auto"/>
          <w:color w:val="auto"/>
        </w:rPr>
        <w:t>Participating Employee</w:t>
      </w:r>
      <w:r>
        <w:rPr>
          <w:rFonts w:ascii="Times New Roman" w:cs="Times New Roman" w:eastAsia="Times New Roman" w:hAnsi="Times New Roman"/>
          <w:sz w:val="22"/>
          <w:szCs w:val="22"/>
          <w:color w:val="auto"/>
        </w:rPr>
        <w:t>”), the amount that exceeds what would have been paid to the Participating Employee under the Financial Restatement; provided that, this paragraph 5 will apply only to the extent the Board (or a duly established committee thereof), in its sole discretion, determines that the Participating Employee committed any act or omission that materially contributed to the circumstances requiring the restatement and which involved any of the following: (i) misconduct, wrongdoing or a violation of any of the Company’s rules or of any applicable legal or regulatory requirements in the course of the Participating Employee’s employment by, or otherwise in connection with, the Company; or (ii) a breach of a fiduciary duty to the Company or its stockholders by the Participating employee.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40" w:hanging="383"/>
        <w:spacing w:after="0"/>
        <w:tabs>
          <w:tab w:leader="none" w:pos="1140"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Recovery Where Intentional Misconduct. </w:t>
      </w:r>
      <w:r>
        <w:rPr>
          <w:rFonts w:ascii="Times New Roman" w:cs="Times New Roman" w:eastAsia="Times New Roman" w:hAnsi="Times New Roman"/>
          <w:sz w:val="21"/>
          <w:szCs w:val="21"/>
          <w:color w:val="auto"/>
        </w:rPr>
        <w:t>In addition to (and without limiting) the provisions of paragraph 2 and</w:t>
      </w:r>
    </w:p>
    <w:p>
      <w:pPr>
        <w:spacing w:after="0" w:line="29" w:lineRule="exact"/>
        <w:rPr>
          <w:rFonts w:ascii="Times New Roman" w:cs="Times New Roman" w:eastAsia="Times New Roman" w:hAnsi="Times New Roman"/>
          <w:sz w:val="21"/>
          <w:szCs w:val="21"/>
          <w:color w:val="auto"/>
        </w:rPr>
      </w:pPr>
    </w:p>
    <w:p>
      <w:pPr>
        <w:ind w:left="1140"/>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 above, in the event that the Board (or a duly established committee thereof), in its sole discretion, determines that a Covered Person’s or a Participating Employee’s act or omission that contributed to the circumstances requiring the Material Financial Restatement involved any of the following: (i) willful, knowing or intentional misconduct or a willful, knowing or intentional violation of any of the Company’s rules or any applicable legal or regulatory requirements in the course of the Covered Person’s or the Participating Employee’s employment by, or otherwise in connection with, the Company or (ii) fraud in the course of the Covered Person’s or the Participating Employee’s employment by, or otherwise in connection with, the Company, then in each such case, the Company will use reasonable efforts to recover from such Covered Person or Participating Employee, up to 100% (as determined by the Board or a duly established committee thereof in its sole discretion as appropriate based on the conduct involved) of the Incentive-Based Compensation received by such Covered Person or Participating Employee from the Company during the three fiscal years preceding the date on which the Company determined that it is required to prepare a Financial Restatement, and not just the excess of what would have been paid to the Covered Person or the Participating Employee under the Financial Restatement.</w:t>
      </w:r>
    </w:p>
    <w:p>
      <w:pPr>
        <w:spacing w:after="0" w:line="181" w:lineRule="exact"/>
        <w:rPr>
          <w:rFonts w:ascii="Times New Roman" w:cs="Times New Roman" w:eastAsia="Times New Roman" w:hAnsi="Times New Roman"/>
          <w:sz w:val="21"/>
          <w:szCs w:val="21"/>
          <w:color w:val="auto"/>
        </w:rPr>
      </w:pPr>
    </w:p>
    <w:p>
      <w:pPr>
        <w:ind w:left="440" w:hanging="432"/>
        <w:spacing w:after="0"/>
        <w:tabs>
          <w:tab w:leader="none" w:pos="44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Considerations</w:t>
      </w:r>
    </w:p>
    <w:p>
      <w:pPr>
        <w:spacing w:after="0" w:line="210" w:lineRule="exact"/>
        <w:rPr>
          <w:sz w:val="20"/>
          <w:szCs w:val="20"/>
          <w:color w:val="auto"/>
        </w:rPr>
      </w:pPr>
    </w:p>
    <w:p>
      <w:pPr>
        <w:ind w:right="420"/>
        <w:spacing w:after="0" w:line="244" w:lineRule="auto"/>
        <w:rPr>
          <w:sz w:val="20"/>
          <w:szCs w:val="20"/>
          <w:color w:val="auto"/>
        </w:rPr>
      </w:pPr>
      <w:r>
        <w:rPr>
          <w:rFonts w:ascii="Times New Roman" w:cs="Times New Roman" w:eastAsia="Times New Roman" w:hAnsi="Times New Roman"/>
          <w:sz w:val="22"/>
          <w:szCs w:val="22"/>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69" w:lineRule="exact"/>
        <w:rPr>
          <w:sz w:val="20"/>
          <w:szCs w:val="20"/>
          <w:color w:val="auto"/>
        </w:rPr>
      </w:pPr>
    </w:p>
    <w:p>
      <w:pPr>
        <w:ind w:left="440" w:hanging="432"/>
        <w:spacing w:after="0"/>
        <w:tabs>
          <w:tab w:leader="none" w:pos="44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Method of Compensation Recovery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Committee shall determine, in its sole discretion, the method for recovering Erroneously Awarded Compensation hereunder, which may include, without limitation, any one or more of the following:</w:t>
      </w:r>
    </w:p>
    <w:p>
      <w:pPr>
        <w:spacing w:after="0" w:line="158" w:lineRule="exact"/>
        <w:rPr>
          <w:sz w:val="20"/>
          <w:szCs w:val="20"/>
          <w:color w:val="auto"/>
        </w:rPr>
      </w:pPr>
    </w:p>
    <w:p>
      <w:pPr>
        <w:ind w:left="1500" w:hanging="369"/>
        <w:spacing w:after="0"/>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Incentive-Based Compensation previously paid;</w:t>
      </w:r>
    </w:p>
    <w:p>
      <w:pPr>
        <w:spacing w:after="0" w:line="206" w:lineRule="exact"/>
        <w:rPr>
          <w:rFonts w:ascii="Times New Roman" w:cs="Times New Roman" w:eastAsia="Times New Roman" w:hAnsi="Times New Roman"/>
          <w:sz w:val="22"/>
          <w:szCs w:val="22"/>
          <w:color w:val="auto"/>
        </w:rPr>
      </w:pPr>
    </w:p>
    <w:p>
      <w:pPr>
        <w:ind w:left="1500" w:right="180" w:hanging="369"/>
        <w:spacing w:after="0" w:line="258" w:lineRule="auto"/>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rescinding some or all outstanding vested or unvested equity-based awards;</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adjusting or withholding from unpaid compensation or other set-off;</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offsetting against planned future grants of equity-based awards; and/or</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permitted by applicable law or contract.</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76" w:lineRule="exact"/>
        <w:rPr>
          <w:sz w:val="20"/>
          <w:szCs w:val="20"/>
          <w:color w:val="auto"/>
        </w:rPr>
      </w:pPr>
    </w:p>
    <w:p>
      <w:pPr>
        <w:ind w:left="440" w:hanging="432"/>
        <w:spacing w:after="0"/>
        <w:tabs>
          <w:tab w:leader="none" w:pos="44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Interpretation</w:t>
      </w:r>
    </w:p>
    <w:p>
      <w:pPr>
        <w:spacing w:after="0" w:line="210" w:lineRule="exact"/>
        <w:rPr>
          <w:sz w:val="20"/>
          <w:szCs w:val="20"/>
          <w:color w:val="auto"/>
        </w:rPr>
      </w:pPr>
    </w:p>
    <w:p>
      <w:pPr>
        <w:ind w:right="360"/>
        <w:spacing w:after="0" w:line="236" w:lineRule="auto"/>
        <w:rPr>
          <w:sz w:val="20"/>
          <w:szCs w:val="20"/>
          <w:color w:val="auto"/>
        </w:rPr>
      </w:pPr>
      <w:r>
        <w:rPr>
          <w:rFonts w:ascii="Times New Roman" w:cs="Times New Roman" w:eastAsia="Times New Roman" w:hAnsi="Times New Roman"/>
          <w:sz w:val="22"/>
          <w:szCs w:val="22"/>
          <w:color w:val="auto"/>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w:t>
      </w:r>
    </w:p>
    <w:p>
      <w:pPr>
        <w:spacing w:after="0" w:line="177" w:lineRule="exact"/>
        <w:rPr>
          <w:sz w:val="20"/>
          <w:szCs w:val="20"/>
          <w:color w:val="auto"/>
        </w:rPr>
      </w:pPr>
    </w:p>
    <w:p>
      <w:pPr>
        <w:ind w:left="440" w:hanging="432"/>
        <w:spacing w:after="0"/>
        <w:tabs>
          <w:tab w:leader="none" w:pos="44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Administration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Policy shall be administered by the Committee; provided, however, that the Board shall have exclusive authority to</w:t>
      </w:r>
    </w:p>
    <w:p>
      <w:pPr>
        <w:spacing w:after="0" w:line="2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authorize the Company to prepare a Financial Restatement. In doing so, the Board may rely on a recommendation of the Audit Committee of the Board.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64" w:name="page165"/>
    <w:bookmarkEnd w:id="164"/>
    <w:p>
      <w:pPr>
        <w:spacing w:after="0" w:line="14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Compensation Recovery Repayments not Subject to Indemnification</w:t>
      </w:r>
    </w:p>
    <w:p>
      <w:pPr>
        <w:spacing w:after="0" w:line="210" w:lineRule="exact"/>
        <w:rPr>
          <w:sz w:val="20"/>
          <w:szCs w:val="20"/>
          <w:color w:val="auto"/>
        </w:rPr>
      </w:pPr>
    </w:p>
    <w:p>
      <w:pPr>
        <w:jc w:val="both"/>
        <w:ind w:right="200"/>
        <w:spacing w:after="0" w:line="244" w:lineRule="auto"/>
        <w:rPr>
          <w:sz w:val="20"/>
          <w:szCs w:val="20"/>
          <w:color w:val="auto"/>
        </w:rPr>
      </w:pPr>
      <w:r>
        <w:rPr>
          <w:rFonts w:ascii="Times New Roman" w:cs="Times New Roman" w:eastAsia="Times New Roman" w:hAnsi="Times New Roman"/>
          <w:sz w:val="22"/>
          <w:szCs w:val="22"/>
          <w:color w:val="auto"/>
        </w:rPr>
        <w:t>Notwithstanding anything to the contrary set forth in any agreement with, or the organizational documents of, the Company or any of its subsidiaries, Covered Persons are not entitled to indemnification for Erroneously Awarded Compensation or for any losses arising out of or in any way related to Erroneously Awarded Compensation recovered under this Policy.</w:t>
      </w:r>
    </w:p>
    <w:p>
      <w:pPr>
        <w:spacing w:after="0" w:line="3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65" w:name="page166"/>
    <w:bookmarkEnd w:id="1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lvl w:ilvl="1">
      <w:lvlJc w:val="left"/>
      <w:lvlText w:val="o"/>
      <w:numFmt w:val="bullet"/>
      <w:start w:val="1"/>
    </w:lvl>
  </w:abstractNum>
  <w:abstractNum w:abstractNumId="7">
    <w:nsid w:val="275AC794"/>
    <w:multiLevelType w:val="hybridMultilevel"/>
    <w:lvl w:ilvl="0">
      <w:lvlJc w:val="left"/>
      <w:lvlText w:val="▪"/>
      <w:numFmt w:val="bullet"/>
      <w:start w:val="1"/>
    </w:lvl>
    <w:lvl w:ilvl="1">
      <w:lvlJc w:val="left"/>
      <w:lvlText w:val="•"/>
      <w:numFmt w:val="bullet"/>
      <w:start w:val="1"/>
    </w:lvl>
  </w:abstractNum>
  <w:abstractNum w:abstractNumId="8">
    <w:nsid w:val="39386575"/>
    <w:multiLevelType w:val="hybridMultilevel"/>
    <w:lvl w:ilvl="0">
      <w:lvlJc w:val="left"/>
      <w:lvlText w:val="•"/>
      <w:numFmt w:val="bullet"/>
      <w:start w:val="1"/>
    </w:lvl>
    <w:lvl w:ilvl="1">
      <w:lvlJc w:val="left"/>
      <w:lvlText w:val="o"/>
      <w:numFmt w:val="bullet"/>
      <w:start w:val="1"/>
    </w:lvl>
  </w:abstractNum>
  <w:abstractNum w:abstractNumId="9">
    <w:nsid w:val="1CF10FD8"/>
    <w:multiLevelType w:val="hybridMultilevel"/>
    <w:lvl w:ilvl="0">
      <w:lvlJc w:val="left"/>
      <w:lvlText w:val="o"/>
      <w:numFmt w:val="bullet"/>
      <w:start w:val="1"/>
    </w:lvl>
    <w:lvl w:ilvl="1">
      <w:lvlJc w:val="left"/>
      <w:lvlText w:val="▪"/>
      <w:numFmt w:val="bullet"/>
      <w:start w:val="1"/>
    </w:lvl>
    <w:lvl w:ilvl="2">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lvl w:ilvl="1">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
      <w:numFmt w:val="bullet"/>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
      <w:numFmt w:val="bullet"/>
      <w:start w:val="1"/>
    </w:lvl>
    <w:lvl w:ilvl="1">
      <w:lvlJc w:val="left"/>
      <w:lvlText w:val="o"/>
      <w:numFmt w:val="bullet"/>
      <w:start w:val="1"/>
    </w:lvl>
  </w:abstractNum>
  <w:abstractNum w:abstractNumId="65">
    <w:nsid w:val="6EB5BD4"/>
    <w:multiLevelType w:val="hybridMultilevel"/>
    <w:lvl w:ilvl="0">
      <w:lvlJc w:val="left"/>
      <w:lvlText w:val="o"/>
      <w:numFmt w:val="bullet"/>
      <w:start w:val="1"/>
    </w:lvl>
    <w:lvl w:ilvl="1">
      <w:lvlJc w:val="left"/>
      <w:lvlText w:val="▪"/>
      <w:numFmt w:val="bullet"/>
      <w:start w:val="1"/>
    </w:lvl>
    <w:lvl w:ilvl="2">
      <w:lvlJc w:val="left"/>
      <w:lvlText w:val="•"/>
      <w:numFmt w:val="bullet"/>
      <w:start w:val="1"/>
    </w:lvl>
  </w:abstractNum>
  <w:abstractNum w:abstractNumId="66">
    <w:nsid w:val="6F6DD9AC"/>
    <w:multiLevelType w:val="hybridMultilevel"/>
    <w:lvl w:ilvl="0">
      <w:lvlJc w:val="left"/>
      <w:lvlText w:val="•"/>
      <w:numFmt w:val="bullet"/>
      <w:start w:val="1"/>
    </w:lvl>
    <w:lvl w:ilvl="1">
      <w:lvlJc w:val="left"/>
      <w:lvlText w:val="o"/>
      <w:numFmt w:val="bullet"/>
      <w:start w:val="1"/>
    </w:lvl>
  </w:abstractNum>
  <w:abstractNum w:abstractNumId="67">
    <w:nsid w:val="94211F2"/>
    <w:multiLevelType w:val="hybridMultilevel"/>
    <w:lvl w:ilvl="0">
      <w:lvlJc w:val="left"/>
      <w:lvlText w:val="o"/>
      <w:numFmt w:val="bullet"/>
      <w:start w:val="1"/>
    </w:lvl>
    <w:lvl w:ilvl="1">
      <w:lvlJc w:val="left"/>
      <w:lvlText w:val="▪"/>
      <w:numFmt w:val="bullet"/>
      <w:start w:val="1"/>
    </w:lvl>
    <w:lvl w:ilvl="2">
      <w:lvlJc w:val="left"/>
      <w:lvlText w:val="•"/>
      <w:numFmt w:val="bullet"/>
      <w:start w:val="1"/>
    </w:lvl>
  </w:abstractNum>
  <w:abstractNum w:abstractNumId="68">
    <w:nsid w:val="885E1B"/>
    <w:multiLevelType w:val="hybridMultilevel"/>
    <w:lvl w:ilvl="0">
      <w:lvlJc w:val="left"/>
      <w:lvlText w:val="•"/>
      <w:numFmt w:val="bullet"/>
      <w:start w:val="1"/>
    </w:lvl>
  </w:abstractNum>
  <w:abstractNum w:abstractNumId="69">
    <w:nsid w:val="76272110"/>
    <w:multiLevelType w:val="hybridMultilevel"/>
    <w:lvl w:ilvl="0">
      <w:lvlJc w:val="left"/>
      <w:lvlText w:val="•"/>
      <w:numFmt w:val="bullet"/>
      <w:start w:val="1"/>
    </w:lvl>
  </w:abstractNum>
  <w:abstractNum w:abstractNumId="70">
    <w:nsid w:val="4C04A8AF"/>
    <w:multiLevelType w:val="hybridMultilevel"/>
    <w:lvl w:ilvl="0">
      <w:lvlJc w:val="left"/>
      <w:lvlText w:val="•"/>
      <w:numFmt w:val="bullet"/>
      <w:start w:val="1"/>
    </w:lvl>
  </w:abstractNum>
  <w:abstractNum w:abstractNumId="71">
    <w:nsid w:val="1716703B"/>
    <w:multiLevelType w:val="hybridMultilevel"/>
    <w:lvl w:ilvl="0">
      <w:lvlJc w:val="left"/>
      <w:lvlText w:val="•"/>
      <w:numFmt w:val="bullet"/>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1)"/>
      <w:numFmt w:val="decimal"/>
      <w:start w:val="1"/>
    </w:lvl>
  </w:abstractNum>
  <w:abstractNum w:abstractNumId="74">
    <w:nsid w:val="74DE0EE3"/>
    <w:multiLevelType w:val="hybridMultilevel"/>
    <w:lvl w:ilvl="0">
      <w:lvlJc w:val="left"/>
      <w:lvlText w:val="•"/>
      <w:numFmt w:val="bullet"/>
      <w:start w:val="1"/>
    </w:lvl>
  </w:abstractNum>
  <w:abstractNum w:abstractNumId="75">
    <w:nsid w:val="68EBC550"/>
    <w:multiLevelType w:val="hybridMultilevel"/>
    <w:lvl w:ilvl="0">
      <w:lvlJc w:val="left"/>
      <w:lvlText w:val="•"/>
      <w:numFmt w:val="bullet"/>
      <w:start w:val="1"/>
    </w:lvl>
  </w:abstractNum>
  <w:abstractNum w:abstractNumId="76">
    <w:nsid w:val="2DF6D648"/>
    <w:multiLevelType w:val="hybridMultilevel"/>
    <w:lvl w:ilvl="0">
      <w:lvlJc w:val="left"/>
      <w:lvlText w:val="*"/>
      <w:numFmt w:val="bullet"/>
      <w:start w:val="1"/>
    </w:lvl>
    <w:lvl w:ilvl="1">
      <w:lvlJc w:val="left"/>
      <w:lvlText w:val="%2"/>
      <w:numFmt w:val="decimal"/>
      <w:start w:val="104"/>
    </w:lvl>
  </w:abstractNum>
  <w:abstractNum w:abstractNumId="77">
    <w:nsid w:val="46B7D447"/>
    <w:multiLevelType w:val="hybridMultilevel"/>
    <w:lvl w:ilvl="0">
      <w:lvlJc w:val="left"/>
      <w:lvlText w:val="+"/>
      <w:numFmt w:val="bullet"/>
      <w:start w:val="1"/>
    </w:lvl>
  </w:abstractNum>
  <w:abstractNum w:abstractNumId="78">
    <w:nsid w:val="4A2AC315"/>
    <w:multiLevelType w:val="hybridMultilevel"/>
    <w:lvl w:ilvl="0">
      <w:lvlJc w:val="left"/>
      <w:lvlText w:val="#"/>
      <w:numFmt w:val="bullet"/>
      <w:start w:val="1"/>
    </w:lvl>
  </w:abstractNum>
  <w:abstractNum w:abstractNumId="79">
    <w:nsid w:val="39EE015C"/>
    <w:multiLevelType w:val="hybridMultilevel"/>
    <w:lvl w:ilvl="0">
      <w:lvlJc w:val="left"/>
      <w:lvlText w:val="**"/>
      <w:numFmt w:val="bullet"/>
      <w:start w:val="1"/>
    </w:lvl>
  </w:abstractNum>
  <w:abstractNum w:abstractNumId="80">
    <w:nsid w:val="57FC4FBB"/>
    <w:multiLevelType w:val="hybridMultilevel"/>
    <w:lvl w:ilvl="0">
      <w:lvlJc w:val="left"/>
      <w:lvlText w:val="•"/>
      <w:numFmt w:val="bullet"/>
      <w:start w:val="1"/>
    </w:lvl>
  </w:abstractNum>
  <w:abstractNum w:abstractNumId="81">
    <w:nsid w:val="CC1016F"/>
    <w:multiLevelType w:val="hybridMultilevel"/>
    <w:lvl w:ilvl="0">
      <w:lvlJc w:val="left"/>
      <w:lvlText w:val="•"/>
      <w:numFmt w:val="bullet"/>
      <w:start w:val="1"/>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1)"/>
      <w:numFmt w:val="lowerLetter"/>
      <w:start w:val="3"/>
    </w:lvl>
  </w:abstractNum>
  <w:abstractNum w:abstractNumId="84">
    <w:nsid w:val="26F324BA"/>
    <w:multiLevelType w:val="hybridMultilevel"/>
    <w:lvl w:ilvl="0">
      <w:lvlJc w:val="left"/>
      <w:lvlText w:val="(%1)"/>
      <w:numFmt w:val="lowerRoman"/>
      <w:start w:val="1"/>
    </w:lvl>
  </w:abstractNum>
  <w:abstractNum w:abstractNumId="85">
    <w:nsid w:val="7F01579B"/>
    <w:multiLevelType w:val="hybridMultilevel"/>
    <w:lvl w:ilvl="0">
      <w:lvlJc w:val="left"/>
      <w:lvlText w:val="%1."/>
      <w:numFmt w:val="decimal"/>
      <w:start w:val="1"/>
    </w:lvl>
    <w:lvl w:ilvl="1">
      <w:lvlJc w:val="left"/>
      <w:lvlText w:val="(%2)"/>
      <w:numFmt w:val="lowerLetter"/>
      <w:start w:val="1"/>
    </w:lvl>
  </w:abstractNum>
  <w:abstractNum w:abstractNumId="86">
    <w:nsid w:val="49DA307D"/>
    <w:multiLevelType w:val="hybridMultilevel"/>
    <w:lvl w:ilvl="0">
      <w:lvlJc w:val="left"/>
      <w:lvlText w:val="%1."/>
      <w:numFmt w:val="decimal"/>
      <w:start w:val="5"/>
    </w:lvl>
    <w:lvl w:ilvl="1">
      <w:lvlJc w:val="left"/>
      <w:lvlText w:val="(%2)"/>
      <w:numFmt w:val="lowerLetter"/>
      <w:start w:val="1"/>
    </w:lvl>
  </w:abstractNum>
  <w:abstractNum w:abstractNumId="87">
    <w:nsid w:val="7055A5F5"/>
    <w:multiLevelType w:val="hybridMultilevel"/>
    <w:lvl w:ilvl="0">
      <w:lvlJc w:val="left"/>
      <w:lvlText w:val="%1."/>
      <w:numFmt w:val="decimal"/>
      <w:start w:val="1"/>
    </w:lvl>
    <w:lvl w:ilvl="1">
      <w:lvlJc w:val="left"/>
      <w:lvlText w:val="(%2)"/>
      <w:numFmt w:val="lowerLetter"/>
      <w:start w:val="1"/>
    </w:lvl>
  </w:abstractNum>
  <w:abstractNum w:abstractNumId="88">
    <w:nsid w:val="5FB8370B"/>
    <w:multiLevelType w:val="hybridMultilevel"/>
    <w:lvl w:ilvl="0">
      <w:lvlJc w:val="left"/>
      <w:lvlText w:val="%1."/>
      <w:numFmt w:val="decimal"/>
      <w:start w:val="5"/>
    </w:lvl>
    <w:lvl w:ilvl="1">
      <w:lvlJc w:val="left"/>
      <w:lvlText w:val="(%2)"/>
      <w:numFmt w:val="lowerLetter"/>
      <w:start w:val="1"/>
    </w:lvl>
  </w:abstractNum>
  <w:abstractNum w:abstractNumId="89">
    <w:nsid w:val="50801EE1"/>
    <w:multiLevelType w:val="hybridMultilevel"/>
    <w:lvl w:ilvl="0">
      <w:lvlJc w:val="left"/>
      <w:lvlText w:val="%1."/>
      <w:numFmt w:val="decimal"/>
      <w:start w:val="1"/>
    </w:lvl>
  </w:abstractNum>
  <w:abstractNum w:abstractNumId="90">
    <w:nsid w:val="488AC1A"/>
    <w:multiLevelType w:val="hybridMultilevel"/>
    <w:lvl w:ilvl="0">
      <w:lvlJc w:val="left"/>
      <w:lvlText w:val="%1."/>
      <w:numFmt w:val="decimal"/>
      <w:start w:val="1"/>
    </w:lvl>
  </w:abstractNum>
  <w:abstractNum w:abstractNumId="91">
    <w:nsid w:val="5FB8011C"/>
    <w:multiLevelType w:val="hybridMultilevel"/>
    <w:lvl w:ilvl="0">
      <w:lvlJc w:val="left"/>
      <w:lvlText w:val="%1."/>
      <w:numFmt w:val="decimal"/>
      <w:start w:val="1"/>
    </w:lvl>
  </w:abstractNum>
  <w:abstractNum w:abstractNumId="92">
    <w:nsid w:val="6AA78F7F"/>
    <w:multiLevelType w:val="hybridMultilevel"/>
    <w:lvl w:ilvl="0">
      <w:lvlJc w:val="left"/>
      <w:lvlText w:val="%1."/>
      <w:numFmt w:val="decimal"/>
      <w:start w:val="2"/>
    </w:lvl>
  </w:abstractNum>
  <w:abstractNum w:abstractNumId="93">
    <w:nsid w:val="7672BD23"/>
    <w:multiLevelType w:val="hybridMultilevel"/>
    <w:lvl w:ilvl="0">
      <w:lvlJc w:val="left"/>
      <w:lvlText w:val="%1."/>
      <w:numFmt w:val="decimal"/>
      <w:start w:val="3"/>
    </w:lvl>
    <w:lvl w:ilvl="1">
      <w:lvlJc w:val="left"/>
      <w:lvlText w:val="%2."/>
      <w:numFmt w:val="lowerLetter"/>
      <w:start w:val="1"/>
    </w:lvl>
  </w:abstractNum>
  <w:abstractNum w:abstractNumId="94">
    <w:nsid w:val="6FC75AF8"/>
    <w:multiLevelType w:val="hybridMultilevel"/>
    <w:lvl w:ilvl="0">
      <w:lvlJc w:val="left"/>
      <w:lvlText w:val="%1."/>
      <w:numFmt w:val="lowerLetter"/>
      <w:start w:val="6"/>
    </w:lvl>
  </w:abstractNum>
  <w:abstractNum w:abstractNumId="95">
    <w:nsid w:val="6A5F7029"/>
    <w:multiLevelType w:val="hybridMultilevel"/>
    <w:lvl w:ilvl="0">
      <w:lvlJc w:val="left"/>
      <w:lvlText w:val="%1."/>
      <w:numFmt w:val="lowerLetter"/>
      <w:start w:val="10"/>
    </w:lvl>
  </w:abstractNum>
  <w:abstractNum w:abstractNumId="96">
    <w:nsid w:val="7D5E18F8"/>
    <w:multiLevelType w:val="hybridMultilevel"/>
    <w:lvl w:ilvl="0">
      <w:lvlJc w:val="left"/>
      <w:lvlText w:val="%1."/>
      <w:numFmt w:val="decimal"/>
      <w:start w:val="4"/>
    </w:lvl>
  </w:abstractNum>
  <w:abstractNum w:abstractNumId="97">
    <w:nsid w:val="5F3534A4"/>
    <w:multiLevelType w:val="hybridMultilevel"/>
    <w:lvl w:ilvl="0">
      <w:lvlJc w:val="left"/>
      <w:lvlText w:val="%1."/>
      <w:numFmt w:val="decimal"/>
      <w:start w:val="5"/>
    </w:lvl>
    <w:lvl w:ilvl="1">
      <w:lvlJc w:val="left"/>
      <w:lvlText w:val="%2."/>
      <w:numFmt w:val="lowerLetter"/>
      <w:start w:val="1"/>
    </w:lvl>
  </w:abstractNum>
  <w:abstractNum w:abstractNumId="98">
    <w:nsid w:val="73A1821B"/>
    <w:multiLevelType w:val="hybridMultilevel"/>
    <w:lvl w:ilvl="0">
      <w:lvlJc w:val="left"/>
      <w:lvlText w:val="%1"/>
      <w:numFmt w:val="decimal"/>
      <w:start w:val="1"/>
    </w:lvl>
    <w:lvl w:ilvl="1">
      <w:lvlJc w:val="left"/>
      <w:lvlText w:val="%2."/>
      <w:numFmt w:val="lowerLetter"/>
      <w:start w:val="2"/>
    </w:lvl>
  </w:abstractNum>
  <w:abstractNum w:abstractNumId="99">
    <w:nsid w:val="7DE67713"/>
    <w:multiLevelType w:val="hybridMultilevel"/>
    <w:lvl w:ilvl="0">
      <w:lvlJc w:val="left"/>
      <w:lvlText w:val="%1."/>
      <w:numFmt w:val="decimal"/>
      <w:start w:val="6"/>
    </w:lvl>
    <w:lvl w:ilvl="1">
      <w:lvlJc w:val="left"/>
      <w:lvlText w:val="%2"/>
      <w:numFmt w:val="lowerLetter"/>
      <w:start w:val="1"/>
    </w:lvl>
  </w:abstractNum>
  <w:abstractNum w:abstractNumId="100">
    <w:nsid w:val="555C55B5"/>
    <w:multiLevelType w:val="hybridMultilevel"/>
    <w:lvl w:ilvl="0">
      <w:lvlJc w:val="left"/>
      <w:lvlText w:val="%1."/>
      <w:numFmt w:val="decimal"/>
      <w:start w:val="7"/>
    </w:lvl>
  </w:abstractNum>
  <w:abstractNum w:abstractNumId="101">
    <w:nsid w:val="3FA62ACA"/>
    <w:multiLevelType w:val="hybridMultilevel"/>
    <w:lvl w:ilvl="0">
      <w:lvlJc w:val="left"/>
      <w:lvlText w:val="%1."/>
      <w:numFmt w:val="lowerLetter"/>
      <w:start w:val="1"/>
    </w:lvl>
  </w:abstractNum>
  <w:abstractNum w:abstractNumId="102">
    <w:nsid w:val="14FCE74E"/>
    <w:multiLevelType w:val="hybridMultilevel"/>
    <w:lvl w:ilvl="0">
      <w:lvlJc w:val="left"/>
      <w:lvlText w:val="%1."/>
      <w:numFmt w:val="decimal"/>
      <w:start w:val="8"/>
    </w:lvl>
  </w:abstractNum>
  <w:abstractNum w:abstractNumId="103">
    <w:nsid w:val="6A3DD3E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0" Type="http://schemas.openxmlformats.org/officeDocument/2006/relationships/image" Target="media/image206.png"/><Relationship Id="rId241" Type="http://schemas.openxmlformats.org/officeDocument/2006/relationships/image" Target="media/image207.png"/><Relationship Id="rId242" Type="http://schemas.openxmlformats.org/officeDocument/2006/relationships/image" Target="media/image208.png"/><Relationship Id="rId243" Type="http://schemas.openxmlformats.org/officeDocument/2006/relationships/image" Target="media/image209.png"/><Relationship Id="rId244" Type="http://schemas.openxmlformats.org/officeDocument/2006/relationships/image" Target="media/image210.png"/><Relationship Id="rId245" Type="http://schemas.openxmlformats.org/officeDocument/2006/relationships/image" Target="media/image211.png"/><Relationship Id="rId246" Type="http://schemas.openxmlformats.org/officeDocument/2006/relationships/image" Target="media/image212.png"/><Relationship Id="rId247" Type="http://schemas.openxmlformats.org/officeDocument/2006/relationships/image" Target="media/image213.png"/><Relationship Id="rId248" Type="http://schemas.openxmlformats.org/officeDocument/2006/relationships/image" Target="media/image214.png"/><Relationship Id="rId249" Type="http://schemas.openxmlformats.org/officeDocument/2006/relationships/image" Target="media/image215.png"/><Relationship Id="rId250" Type="http://schemas.openxmlformats.org/officeDocument/2006/relationships/image" Target="media/image216.png"/><Relationship Id="rId251"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56" Type="http://schemas.openxmlformats.org/officeDocument/2006/relationships/image" Target="media/image222.png"/><Relationship Id="rId257" Type="http://schemas.openxmlformats.org/officeDocument/2006/relationships/image" Target="media/image223.png"/><Relationship Id="rId258" Type="http://schemas.openxmlformats.org/officeDocument/2006/relationships/image" Target="media/image224.png"/><Relationship Id="rId259" Type="http://schemas.openxmlformats.org/officeDocument/2006/relationships/image" Target="media/image225.png"/><Relationship Id="rId260" Type="http://schemas.openxmlformats.org/officeDocument/2006/relationships/image" Target="media/image226.png"/><Relationship Id="rId261" Type="http://schemas.openxmlformats.org/officeDocument/2006/relationships/image" Target="media/image227.png"/><Relationship Id="rId262" Type="http://schemas.openxmlformats.org/officeDocument/2006/relationships/image" Target="media/image228.png"/><Relationship Id="rId263" Type="http://schemas.openxmlformats.org/officeDocument/2006/relationships/image" Target="media/image229.png"/><Relationship Id="rId264" Type="http://schemas.openxmlformats.org/officeDocument/2006/relationships/image" Target="media/image230.png"/><Relationship Id="rId265" Type="http://schemas.openxmlformats.org/officeDocument/2006/relationships/image" Target="media/image231.png"/><Relationship Id="rId266" Type="http://schemas.openxmlformats.org/officeDocument/2006/relationships/image" Target="media/image232.png"/><Relationship Id="rId267" Type="http://schemas.openxmlformats.org/officeDocument/2006/relationships/image" Target="media/image233.png"/><Relationship Id="rId268" Type="http://schemas.openxmlformats.org/officeDocument/2006/relationships/image" Target="media/image234.png"/><Relationship Id="rId269" Type="http://schemas.openxmlformats.org/officeDocument/2006/relationships/image" Target="media/image235.png"/><Relationship Id="rId270" Type="http://schemas.openxmlformats.org/officeDocument/2006/relationships/image" Target="media/image236.png"/><Relationship Id="rId271" Type="http://schemas.openxmlformats.org/officeDocument/2006/relationships/image" Target="media/image237.png"/><Relationship Id="rId272" Type="http://schemas.openxmlformats.org/officeDocument/2006/relationships/image" Target="media/image238.png"/><Relationship Id="rId273" Type="http://schemas.openxmlformats.org/officeDocument/2006/relationships/image" Target="media/image239.png"/><Relationship Id="rId274" Type="http://schemas.openxmlformats.org/officeDocument/2006/relationships/image" Target="media/image240.png"/><Relationship Id="rId275" Type="http://schemas.openxmlformats.org/officeDocument/2006/relationships/image" Target="media/image241.png"/><Relationship Id="rId276" Type="http://schemas.openxmlformats.org/officeDocument/2006/relationships/image" Target="media/image242.png"/><Relationship Id="rId277" Type="http://schemas.openxmlformats.org/officeDocument/2006/relationships/image" Target="media/image243.png"/><Relationship Id="rId278" Type="http://schemas.openxmlformats.org/officeDocument/2006/relationships/image" Target="media/image244.png"/><Relationship Id="rId279" Type="http://schemas.openxmlformats.org/officeDocument/2006/relationships/image" Target="media/image245.png"/><Relationship Id="rId280" Type="http://schemas.openxmlformats.org/officeDocument/2006/relationships/image" Target="media/image246.png"/><Relationship Id="rId281" Type="http://schemas.openxmlformats.org/officeDocument/2006/relationships/image" Target="media/image247.png"/><Relationship Id="rId282" Type="http://schemas.openxmlformats.org/officeDocument/2006/relationships/image" Target="media/image248.png"/><Relationship Id="rId283" Type="http://schemas.openxmlformats.org/officeDocument/2006/relationships/image" Target="media/image249.png"/><Relationship Id="rId284" Type="http://schemas.openxmlformats.org/officeDocument/2006/relationships/image" Target="media/image250.png"/><Relationship Id="rId285" Type="http://schemas.openxmlformats.org/officeDocument/2006/relationships/image" Target="media/image251.png"/><Relationship Id="rId286" Type="http://schemas.openxmlformats.org/officeDocument/2006/relationships/image" Target="media/image252.png"/><Relationship Id="rId287" Type="http://schemas.openxmlformats.org/officeDocument/2006/relationships/image" Target="media/image253.png"/><Relationship Id="rId288" Type="http://schemas.openxmlformats.org/officeDocument/2006/relationships/image" Target="media/image254.png"/><Relationship Id="rId289" Type="http://schemas.openxmlformats.org/officeDocument/2006/relationships/image" Target="media/image255.png"/><Relationship Id="rId290" Type="http://schemas.openxmlformats.org/officeDocument/2006/relationships/image" Target="media/image256.png"/><Relationship Id="rId291" Type="http://schemas.openxmlformats.org/officeDocument/2006/relationships/image" Target="media/image257.png"/><Relationship Id="rId292" Type="http://schemas.openxmlformats.org/officeDocument/2006/relationships/image" Target="media/image258.png"/><Relationship Id="rId293" Type="http://schemas.openxmlformats.org/officeDocument/2006/relationships/image" Target="media/image259.png"/><Relationship Id="rId294" Type="http://schemas.openxmlformats.org/officeDocument/2006/relationships/image" Target="media/image260.png"/><Relationship Id="rId295" Type="http://schemas.openxmlformats.org/officeDocument/2006/relationships/image" Target="media/image261.png"/><Relationship Id="rId296" Type="http://schemas.openxmlformats.org/officeDocument/2006/relationships/image" Target="media/image262.png"/><Relationship Id="rId297" Type="http://schemas.openxmlformats.org/officeDocument/2006/relationships/image" Target="media/image263.png"/><Relationship Id="rId298" Type="http://schemas.openxmlformats.org/officeDocument/2006/relationships/image" Target="media/image264.png"/><Relationship Id="rId299" Type="http://schemas.openxmlformats.org/officeDocument/2006/relationships/image" Target="media/image265.png"/><Relationship Id="rId300" Type="http://schemas.openxmlformats.org/officeDocument/2006/relationships/image" Target="media/image266.png"/><Relationship Id="rId301" Type="http://schemas.openxmlformats.org/officeDocument/2006/relationships/image" Target="media/image267.png"/><Relationship Id="rId302" Type="http://schemas.openxmlformats.org/officeDocument/2006/relationships/image" Target="media/image268.png"/><Relationship Id="rId303" Type="http://schemas.openxmlformats.org/officeDocument/2006/relationships/image" Target="media/image269.png"/><Relationship Id="rId304" Type="http://schemas.openxmlformats.org/officeDocument/2006/relationships/image" Target="media/image270.png"/><Relationship Id="rId305" Type="http://schemas.openxmlformats.org/officeDocument/2006/relationships/image" Target="media/image271.png"/><Relationship Id="rId306" Type="http://schemas.openxmlformats.org/officeDocument/2006/relationships/image" Target="media/image272.png"/><Relationship Id="rId307" Type="http://schemas.openxmlformats.org/officeDocument/2006/relationships/image" Target="media/image273.png"/><Relationship Id="rId308" Type="http://schemas.openxmlformats.org/officeDocument/2006/relationships/image" Target="media/image274.png"/><Relationship Id="rId309" Type="http://schemas.openxmlformats.org/officeDocument/2006/relationships/image" Target="media/image275.png"/><Relationship Id="rId310" Type="http://schemas.openxmlformats.org/officeDocument/2006/relationships/image" Target="media/image276.png"/><Relationship Id="rId311" Type="http://schemas.openxmlformats.org/officeDocument/2006/relationships/image" Target="media/image277.png"/><Relationship Id="rId312" Type="http://schemas.openxmlformats.org/officeDocument/2006/relationships/image" Target="media/image278.png"/><Relationship Id="rId313" Type="http://schemas.openxmlformats.org/officeDocument/2006/relationships/image" Target="media/image279.png"/><Relationship Id="rId314" Type="http://schemas.openxmlformats.org/officeDocument/2006/relationships/image" Target="media/image280.png"/><Relationship Id="rId315" Type="http://schemas.openxmlformats.org/officeDocument/2006/relationships/image" Target="media/image281.png"/><Relationship Id="rId316" Type="http://schemas.openxmlformats.org/officeDocument/2006/relationships/image" Target="media/image282.png"/><Relationship Id="rId317" Type="http://schemas.openxmlformats.org/officeDocument/2006/relationships/image" Target="media/image283.png"/><Relationship Id="rId318" Type="http://schemas.openxmlformats.org/officeDocument/2006/relationships/image" Target="media/image284.png"/><Relationship Id="rId319" Type="http://schemas.openxmlformats.org/officeDocument/2006/relationships/image" Target="media/image285.png"/><Relationship Id="rId320" Type="http://schemas.openxmlformats.org/officeDocument/2006/relationships/image" Target="media/image286.png"/><Relationship Id="rId321" Type="http://schemas.openxmlformats.org/officeDocument/2006/relationships/image" Target="media/image287.png"/><Relationship Id="rId322" Type="http://schemas.openxmlformats.org/officeDocument/2006/relationships/image" Target="media/image288.png"/><Relationship Id="rId323" Type="http://schemas.openxmlformats.org/officeDocument/2006/relationships/image" Target="media/image289.png"/><Relationship Id="rId324" Type="http://schemas.openxmlformats.org/officeDocument/2006/relationships/image" Target="media/image290.png"/><Relationship Id="rId325" Type="http://schemas.openxmlformats.org/officeDocument/2006/relationships/image" Target="media/image291.png"/><Relationship Id="rId326" Type="http://schemas.openxmlformats.org/officeDocument/2006/relationships/image" Target="media/image292.png"/><Relationship Id="rId327" Type="http://schemas.openxmlformats.org/officeDocument/2006/relationships/image" Target="media/image293.png"/><Relationship Id="rId328" Type="http://schemas.openxmlformats.org/officeDocument/2006/relationships/image" Target="media/image294.png"/><Relationship Id="rId329" Type="http://schemas.openxmlformats.org/officeDocument/2006/relationships/image" Target="media/image295.png"/><Relationship Id="rId330" Type="http://schemas.openxmlformats.org/officeDocument/2006/relationships/image" Target="media/image296.png"/><Relationship Id="rId331" Type="http://schemas.openxmlformats.org/officeDocument/2006/relationships/image" Target="media/image297.png"/><Relationship Id="rId332" Type="http://schemas.openxmlformats.org/officeDocument/2006/relationships/image" Target="media/image298.png"/><Relationship Id="rId333" Type="http://schemas.openxmlformats.org/officeDocument/2006/relationships/image" Target="media/image299.png"/><Relationship Id="rId334" Type="http://schemas.openxmlformats.org/officeDocument/2006/relationships/image" Target="media/image300.png"/><Relationship Id="rId335" Type="http://schemas.openxmlformats.org/officeDocument/2006/relationships/image" Target="media/image301.png"/><Relationship Id="rId336" Type="http://schemas.openxmlformats.org/officeDocument/2006/relationships/image" Target="media/image302.png"/><Relationship Id="rId337" Type="http://schemas.openxmlformats.org/officeDocument/2006/relationships/image" Target="media/image303.png"/><Relationship Id="rId338" Type="http://schemas.openxmlformats.org/officeDocument/2006/relationships/image" Target="media/image304.png"/><Relationship Id="rId339" Type="http://schemas.openxmlformats.org/officeDocument/2006/relationships/image" Target="media/image305.png"/><Relationship Id="rId340" Type="http://schemas.openxmlformats.org/officeDocument/2006/relationships/image" Target="media/image306.png"/><Relationship Id="rId341" Type="http://schemas.openxmlformats.org/officeDocument/2006/relationships/image" Target="media/image307.png"/><Relationship Id="rId342" Type="http://schemas.openxmlformats.org/officeDocument/2006/relationships/image" Target="media/image308.png"/><Relationship Id="rId343" Type="http://schemas.openxmlformats.org/officeDocument/2006/relationships/image" Target="media/image309.png"/><Relationship Id="rId344" Type="http://schemas.openxmlformats.org/officeDocument/2006/relationships/image" Target="media/image310.png"/><Relationship Id="rId345" Type="http://schemas.openxmlformats.org/officeDocument/2006/relationships/image" Target="media/image311.png"/><Relationship Id="rId346" Type="http://schemas.openxmlformats.org/officeDocument/2006/relationships/image" Target="media/image312.png"/><Relationship Id="rId347" Type="http://schemas.openxmlformats.org/officeDocument/2006/relationships/image" Target="media/image313.png"/><Relationship Id="rId348" Type="http://schemas.openxmlformats.org/officeDocument/2006/relationships/image" Target="media/image314.png"/><Relationship Id="rId349" Type="http://schemas.openxmlformats.org/officeDocument/2006/relationships/image" Target="media/image315.png"/><Relationship Id="rId350" Type="http://schemas.openxmlformats.org/officeDocument/2006/relationships/image" Target="media/image316.png"/><Relationship Id="rId351" Type="http://schemas.openxmlformats.org/officeDocument/2006/relationships/image" Target="media/image317.png"/><Relationship Id="rId352" Type="http://schemas.openxmlformats.org/officeDocument/2006/relationships/image" Target="media/image318.png"/><Relationship Id="rId353" Type="http://schemas.openxmlformats.org/officeDocument/2006/relationships/image" Target="media/image319.png"/><Relationship Id="rId354" Type="http://schemas.openxmlformats.org/officeDocument/2006/relationships/image" Target="media/image320.png"/><Relationship Id="rId355" Type="http://schemas.openxmlformats.org/officeDocument/2006/relationships/image" Target="media/image321.png"/><Relationship Id="rId356" Type="http://schemas.openxmlformats.org/officeDocument/2006/relationships/image" Target="media/image322.png"/><Relationship Id="rId357" Type="http://schemas.openxmlformats.org/officeDocument/2006/relationships/image" Target="media/image323.png"/><Relationship Id="rId358" Type="http://schemas.openxmlformats.org/officeDocument/2006/relationships/image" Target="media/image324.png"/><Relationship Id="rId359" Type="http://schemas.openxmlformats.org/officeDocument/2006/relationships/image" Target="media/image325.png"/><Relationship Id="rId360" Type="http://schemas.openxmlformats.org/officeDocument/2006/relationships/image" Target="media/image326.png"/><Relationship Id="rId361" Type="http://schemas.openxmlformats.org/officeDocument/2006/relationships/image" Target="media/image327.png"/><Relationship Id="rId362" Type="http://schemas.openxmlformats.org/officeDocument/2006/relationships/image" Target="media/image328.png"/><Relationship Id="rId363" Type="http://schemas.openxmlformats.org/officeDocument/2006/relationships/image" Target="media/image329.png"/><Relationship Id="rId364" Type="http://schemas.openxmlformats.org/officeDocument/2006/relationships/image" Target="media/image330.png"/><Relationship Id="rId365" Type="http://schemas.openxmlformats.org/officeDocument/2006/relationships/image" Target="media/image331.png"/><Relationship Id="rId366" Type="http://schemas.openxmlformats.org/officeDocument/2006/relationships/image" Target="media/image332.png"/><Relationship Id="rId367" Type="http://schemas.openxmlformats.org/officeDocument/2006/relationships/image" Target="media/image333.png"/><Relationship Id="rId368" Type="http://schemas.openxmlformats.org/officeDocument/2006/relationships/image" Target="media/image334.png"/><Relationship Id="rId369" Type="http://schemas.openxmlformats.org/officeDocument/2006/relationships/image" Target="media/image335.png"/><Relationship Id="rId370" Type="http://schemas.openxmlformats.org/officeDocument/2006/relationships/image" Target="media/image336.png"/><Relationship Id="rId371" Type="http://schemas.openxmlformats.org/officeDocument/2006/relationships/image" Target="media/image337.png"/><Relationship Id="rId372" Type="http://schemas.openxmlformats.org/officeDocument/2006/relationships/image" Target="media/image338.png"/><Relationship Id="rId373" Type="http://schemas.openxmlformats.org/officeDocument/2006/relationships/image" Target="media/image339.png"/><Relationship Id="rId374" Type="http://schemas.openxmlformats.org/officeDocument/2006/relationships/image" Target="media/image340.png"/><Relationship Id="rId375" Type="http://schemas.openxmlformats.org/officeDocument/2006/relationships/image" Target="media/image341.png"/><Relationship Id="rId376" Type="http://schemas.openxmlformats.org/officeDocument/2006/relationships/image" Target="media/image342.png"/><Relationship Id="rId377" Type="http://schemas.openxmlformats.org/officeDocument/2006/relationships/image" Target="media/image343.png"/><Relationship Id="rId378" Type="http://schemas.openxmlformats.org/officeDocument/2006/relationships/image" Target="media/image344.png"/><Relationship Id="rId379" Type="http://schemas.openxmlformats.org/officeDocument/2006/relationships/image" Target="media/image345.png"/><Relationship Id="rId380" Type="http://schemas.openxmlformats.org/officeDocument/2006/relationships/image" Target="media/image346.png"/><Relationship Id="rId381" Type="http://schemas.openxmlformats.org/officeDocument/2006/relationships/image" Target="media/image347.png"/><Relationship Id="rId382" Type="http://schemas.openxmlformats.org/officeDocument/2006/relationships/image" Target="media/image348.png"/><Relationship Id="rId383" Type="http://schemas.openxmlformats.org/officeDocument/2006/relationships/image" Target="media/image349.png"/><Relationship Id="rId384" Type="http://schemas.openxmlformats.org/officeDocument/2006/relationships/image" Target="media/image350.png"/><Relationship Id="rId385" Type="http://schemas.openxmlformats.org/officeDocument/2006/relationships/image" Target="media/image351.png"/><Relationship Id="rId386" Type="http://schemas.openxmlformats.org/officeDocument/2006/relationships/image" Target="media/image352.png"/><Relationship Id="rId387" Type="http://schemas.openxmlformats.org/officeDocument/2006/relationships/image" Target="media/image353.png"/><Relationship Id="rId388" Type="http://schemas.openxmlformats.org/officeDocument/2006/relationships/image" Target="media/image354.png"/><Relationship Id="rId389" Type="http://schemas.openxmlformats.org/officeDocument/2006/relationships/image" Target="media/image355.png"/><Relationship Id="rId390" Type="http://schemas.openxmlformats.org/officeDocument/2006/relationships/image" Target="media/image356.png"/><Relationship Id="rId391" Type="http://schemas.openxmlformats.org/officeDocument/2006/relationships/image" Target="media/image357.png"/><Relationship Id="rId392" Type="http://schemas.openxmlformats.org/officeDocument/2006/relationships/image" Target="media/image358.png"/><Relationship Id="rId393" Type="http://schemas.openxmlformats.org/officeDocument/2006/relationships/image" Target="media/image359.png"/><Relationship Id="rId394" Type="http://schemas.openxmlformats.org/officeDocument/2006/relationships/image" Target="media/image360.png"/><Relationship Id="rId395" Type="http://schemas.openxmlformats.org/officeDocument/2006/relationships/image" Target="media/image361.png"/><Relationship Id="rId396" Type="http://schemas.openxmlformats.org/officeDocument/2006/relationships/image" Target="media/image362.png"/><Relationship Id="rId397" Type="http://schemas.openxmlformats.org/officeDocument/2006/relationships/image" Target="media/image363.png"/><Relationship Id="rId398" Type="http://schemas.openxmlformats.org/officeDocument/2006/relationships/image" Target="media/image364.png"/><Relationship Id="rId399" Type="http://schemas.openxmlformats.org/officeDocument/2006/relationships/image" Target="media/image365.png"/><Relationship Id="rId400" Type="http://schemas.openxmlformats.org/officeDocument/2006/relationships/image" Target="media/image366.png"/><Relationship Id="rId401" Type="http://schemas.openxmlformats.org/officeDocument/2006/relationships/image" Target="media/image367.png"/><Relationship Id="rId402" Type="http://schemas.openxmlformats.org/officeDocument/2006/relationships/image" Target="media/image368.png"/><Relationship Id="rId403" Type="http://schemas.openxmlformats.org/officeDocument/2006/relationships/image" Target="media/image369.png"/><Relationship Id="rId404" Type="http://schemas.openxmlformats.org/officeDocument/2006/relationships/image" Target="media/image370.png"/><Relationship Id="rId163" Type="http://schemas.openxmlformats.org/officeDocument/2006/relationships/hyperlink" Target="https://www.sec.gov/Archives/edgar/data/0001841387/000119312521229437/d203496dex31.htm" TargetMode="External"/><Relationship Id="rId164" Type="http://schemas.openxmlformats.org/officeDocument/2006/relationships/hyperlink" Target="https://www.sec.gov/Archives/edgar/data/1841387/000119312521229437/d203496dex32.htm" TargetMode="External"/><Relationship Id="rId165" Type="http://schemas.openxmlformats.org/officeDocument/2006/relationships/hyperlink" Target="https://www.sec.gov/Archives/edgar/data/1841387/000119312521216891/d120909dex41.htm" TargetMode="External"/><Relationship Id="rId166" Type="http://schemas.openxmlformats.org/officeDocument/2006/relationships/hyperlink" Target="https://www.sec.gov/Archives/edgar/data/1841387/000095017022004857/cadl-ex4_2.htm" TargetMode="External"/><Relationship Id="rId167" Type="http://schemas.openxmlformats.org/officeDocument/2006/relationships/hyperlink" Target="https://www.sec.gov/Archives/edgar/data/1841387/000119312521200639/d120909dex42.htm" TargetMode="External"/><Relationship Id="rId168" Type="http://schemas.openxmlformats.org/officeDocument/2006/relationships/hyperlink" Target="https://www.sec.gov/Archives/edgar/data/1841387/000119312521216891/d120909dex43.htm" TargetMode="External"/><Relationship Id="rId169" Type="http://schemas.openxmlformats.org/officeDocument/2006/relationships/hyperlink" Target="https://www.sec.gov/Archives/edgar/data/1841387/000119312521216891/d120909dex44.htm" TargetMode="External"/><Relationship Id="rId170" Type="http://schemas.openxmlformats.org/officeDocument/2006/relationships/hyperlink" Target="https://www.sec.gov/Archives/edgar/data/1841387/000119312521200639/d120909dex45.htm" TargetMode="External"/><Relationship Id="rId171" Type="http://schemas.openxmlformats.org/officeDocument/2006/relationships/hyperlink" Target="https://www.sec.gov/Archives/edgar/data/1841387/000119312521216891/d120909dex101.htm" TargetMode="External"/><Relationship Id="rId172" Type="http://schemas.openxmlformats.org/officeDocument/2006/relationships/hyperlink" Target="https://www.sec.gov/Archives/edgar/data/1841387/000119312521216891/d120909dex102.htm" TargetMode="External"/><Relationship Id="rId173" Type="http://schemas.openxmlformats.org/officeDocument/2006/relationships/hyperlink" Target="https://www.sec.gov/Archives/edgar/data/1841387/000119312521216891/d120909dex103.htm" TargetMode="External"/><Relationship Id="rId174" Type="http://schemas.openxmlformats.org/officeDocument/2006/relationships/hyperlink" Target="https://www.sec.gov/Archives/edgar/data/1841387/000119312521216891/d120909dex104.htm" TargetMode="External"/><Relationship Id="rId175" Type="http://schemas.openxmlformats.org/officeDocument/2006/relationships/hyperlink" Target="https://www.sec.gov/Archives/edgar/data/1841387/000119312521216891/d120909dex1051.htm" TargetMode="External"/><Relationship Id="rId176" Type="http://schemas.openxmlformats.org/officeDocument/2006/relationships/hyperlink" Target="https://www.sec.gov/Archives/edgar/data/1841387/000119312521216891/d120909dex106.htm" TargetMode="External"/><Relationship Id="rId177" Type="http://schemas.openxmlformats.org/officeDocument/2006/relationships/hyperlink" Target="https://www.sec.gov/Archives/edgar/data/1841387/000119312521216891/d120909dex107.htm" TargetMode="External"/><Relationship Id="rId178" Type="http://schemas.openxmlformats.org/officeDocument/2006/relationships/hyperlink" Target="https://www.sec.gov/Archives/edgar/data/1841387/000119312521200639/d120909dex108.htm" TargetMode="External"/><Relationship Id="rId179" Type="http://schemas.openxmlformats.org/officeDocument/2006/relationships/hyperlink" Target="https://www.sec.gov/Archives/edgar/data/1841387/000119312521216891/d120909dex109.htm" TargetMode="External"/><Relationship Id="rId182" Type="http://schemas.openxmlformats.org/officeDocument/2006/relationships/hyperlink" Target="https://www.sec.gov/Archives/edgar/data/1841387/000119312521216891/d120909dex1010.htm" TargetMode="External"/><Relationship Id="rId183" Type="http://schemas.openxmlformats.org/officeDocument/2006/relationships/hyperlink" Target="https://www.sec.gov/Archives/edgar/data/1841387/000095017022004857/cadl-ex10_11.htm" TargetMode="External"/><Relationship Id="rId184" Type="http://schemas.openxmlformats.org/officeDocument/2006/relationships/hyperlink" Target="https://www.sec.gov/Archives/edgar/data/1841387/000095017022004857/cadl-ex10_12.htm" TargetMode="External"/><Relationship Id="rId185" Type="http://schemas.openxmlformats.org/officeDocument/2006/relationships/hyperlink" Target="https://www.sec.gov/Archives/edgar/data/1841387/000095017022004857/cadl-ex10_13.htm" TargetMode="External"/><Relationship Id="rId186" Type="http://schemas.openxmlformats.org/officeDocument/2006/relationships/hyperlink" Target="https://www.sec.gov/Archives/edgar/data/1841387/000095017022009479/cadl-ex10_8.htm" TargetMode="External"/><Relationship Id="rId187" Type="http://schemas.openxmlformats.org/officeDocument/2006/relationships/hyperlink" Target="https://www.sec.gov/Archives/edgar/data/1841387/000095017022024197/cadl-ex10_1.htm" TargetMode="External"/><Relationship Id="rId188" Type="http://schemas.openxmlformats.org/officeDocument/2006/relationships/hyperlink" Target="https://www.sec.gov/Archives/edgar/data/1841387/000095017023010760/cadl-ex10_16.htm" TargetMode="External"/><Relationship Id="rId189" Type="http://schemas.openxmlformats.org/officeDocument/2006/relationships/hyperlink" Target="https://www.sec.gov/Archives/edgar/data/1841387/000095017023040984/cadl-ex10_1.htm" TargetMode="External"/><Relationship Id="rId190" Type="http://schemas.openxmlformats.org/officeDocument/2006/relationships/hyperlink" Target="https://www.sec.gov/Archives/edgar/data/1841387/000095017023040984/cadl-ex10_2.htm" TargetMode="External"/><Relationship Id="rId191" Type="http://schemas.openxmlformats.org/officeDocument/2006/relationships/hyperlink" Target="https://www.sec.gov/Archives/edgar/data/1841387/000095017022004857/cadl-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2024-03-28T07:17:46Z</dcterms:created>
  <dcterms:modified xsi:type="dcterms:W3CDTF">2024-03-28T07:17:46Z</dcterms:modified>
</cp:coreProperties>
</file>